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654" w:rsidRDefault="00AE0602" w:rsidP="00381142">
      <w:pPr>
        <w:pBdr>
          <w:top w:val="single" w:sz="4" w:space="1" w:color="auto"/>
          <w:left w:val="single" w:sz="4" w:space="4" w:color="auto"/>
          <w:bottom w:val="single" w:sz="4" w:space="1" w:color="auto"/>
          <w:right w:val="single" w:sz="4" w:space="4" w:color="auto"/>
        </w:pBdr>
        <w:spacing w:after="120" w:line="240" w:lineRule="auto"/>
        <w:jc w:val="center"/>
        <w:rPr>
          <w:b/>
        </w:rPr>
      </w:pPr>
      <w:r>
        <w:rPr>
          <w:b/>
        </w:rPr>
        <w:t>JOINT PROGRAMMING</w:t>
      </w:r>
    </w:p>
    <w:p w:rsidR="00442AE1" w:rsidRDefault="00AE0602" w:rsidP="008731AA">
      <w:pPr>
        <w:pBdr>
          <w:top w:val="single" w:sz="4" w:space="1" w:color="auto"/>
          <w:left w:val="single" w:sz="4" w:space="4" w:color="auto"/>
          <w:bottom w:val="single" w:sz="4" w:space="1" w:color="auto"/>
          <w:right w:val="single" w:sz="4" w:space="4" w:color="auto"/>
        </w:pBdr>
        <w:spacing w:after="120" w:line="240" w:lineRule="auto"/>
        <w:jc w:val="center"/>
        <w:rPr>
          <w:b/>
        </w:rPr>
      </w:pPr>
      <w:r w:rsidRPr="008B1F84">
        <w:rPr>
          <w:b/>
        </w:rPr>
        <w:t xml:space="preserve">Concept Paper for a Regional </w:t>
      </w:r>
      <w:r w:rsidR="00302035">
        <w:rPr>
          <w:b/>
        </w:rPr>
        <w:t>Workshop</w:t>
      </w:r>
      <w:r w:rsidR="0067399C" w:rsidRPr="008B1F84">
        <w:rPr>
          <w:b/>
        </w:rPr>
        <w:t xml:space="preserve"> </w:t>
      </w:r>
      <w:r w:rsidR="00DA7654">
        <w:rPr>
          <w:b/>
        </w:rPr>
        <w:t>on SOUTHERN AFRICA AND INDIAN OCEAN</w:t>
      </w:r>
      <w:r w:rsidR="00193F77">
        <w:rPr>
          <w:b/>
        </w:rPr>
        <w:t>:</w:t>
      </w:r>
    </w:p>
    <w:p w:rsidR="008731AA" w:rsidRDefault="00193F77" w:rsidP="00E258B1">
      <w:pPr>
        <w:pBdr>
          <w:top w:val="single" w:sz="4" w:space="1" w:color="auto"/>
          <w:left w:val="single" w:sz="4" w:space="4" w:color="auto"/>
          <w:bottom w:val="single" w:sz="4" w:space="1" w:color="auto"/>
          <w:right w:val="single" w:sz="4" w:space="4" w:color="auto"/>
        </w:pBdr>
        <w:spacing w:after="120" w:line="240" w:lineRule="auto"/>
        <w:rPr>
          <w:i/>
        </w:rPr>
      </w:pPr>
      <w:r w:rsidRPr="00193F77">
        <w:rPr>
          <w:b/>
        </w:rPr>
        <w:t>Angola</w:t>
      </w:r>
      <w:r w:rsidR="008731AA">
        <w:rPr>
          <w:b/>
        </w:rPr>
        <w:t xml:space="preserve"> – </w:t>
      </w:r>
      <w:r w:rsidRPr="00193F77">
        <w:rPr>
          <w:b/>
        </w:rPr>
        <w:t>Botswana</w:t>
      </w:r>
      <w:r w:rsidR="008731AA">
        <w:rPr>
          <w:b/>
        </w:rPr>
        <w:t xml:space="preserve"> – </w:t>
      </w:r>
      <w:r w:rsidRPr="00193F77">
        <w:rPr>
          <w:b/>
        </w:rPr>
        <w:t>Lesotho</w:t>
      </w:r>
      <w:r w:rsidR="008731AA">
        <w:rPr>
          <w:b/>
        </w:rPr>
        <w:t xml:space="preserve"> – </w:t>
      </w:r>
      <w:r w:rsidRPr="00193F77">
        <w:rPr>
          <w:b/>
        </w:rPr>
        <w:t>Namibia</w:t>
      </w:r>
      <w:r w:rsidR="008731AA">
        <w:rPr>
          <w:b/>
        </w:rPr>
        <w:t xml:space="preserve"> – </w:t>
      </w:r>
      <w:r w:rsidRPr="00193F77">
        <w:rPr>
          <w:b/>
        </w:rPr>
        <w:t>Malawi</w:t>
      </w:r>
      <w:r w:rsidR="008731AA">
        <w:rPr>
          <w:b/>
        </w:rPr>
        <w:t xml:space="preserve"> – </w:t>
      </w:r>
      <w:r w:rsidRPr="00193F77">
        <w:rPr>
          <w:b/>
        </w:rPr>
        <w:t>Mozambique</w:t>
      </w:r>
      <w:r w:rsidR="008731AA">
        <w:rPr>
          <w:b/>
        </w:rPr>
        <w:t xml:space="preserve"> </w:t>
      </w:r>
      <w:r w:rsidRPr="00193F77">
        <w:rPr>
          <w:b/>
        </w:rPr>
        <w:t>-</w:t>
      </w:r>
      <w:r w:rsidR="008731AA">
        <w:rPr>
          <w:b/>
        </w:rPr>
        <w:t xml:space="preserve"> </w:t>
      </w:r>
      <w:r w:rsidRPr="00193F77">
        <w:rPr>
          <w:b/>
        </w:rPr>
        <w:t>South Africa</w:t>
      </w:r>
      <w:r w:rsidR="008731AA">
        <w:rPr>
          <w:b/>
        </w:rPr>
        <w:t xml:space="preserve"> – </w:t>
      </w:r>
      <w:r w:rsidRPr="00193F77">
        <w:rPr>
          <w:b/>
        </w:rPr>
        <w:t>Swaziland</w:t>
      </w:r>
      <w:r w:rsidR="008731AA">
        <w:rPr>
          <w:b/>
        </w:rPr>
        <w:t xml:space="preserve"> </w:t>
      </w:r>
      <w:r w:rsidRPr="00193F77">
        <w:rPr>
          <w:b/>
        </w:rPr>
        <w:t>-</w:t>
      </w:r>
      <w:r w:rsidR="008731AA">
        <w:rPr>
          <w:b/>
        </w:rPr>
        <w:t xml:space="preserve"> </w:t>
      </w:r>
      <w:r>
        <w:rPr>
          <w:b/>
        </w:rPr>
        <w:t xml:space="preserve"> </w:t>
      </w:r>
      <w:r w:rsidRPr="00193F77">
        <w:rPr>
          <w:b/>
        </w:rPr>
        <w:t>Zambia</w:t>
      </w:r>
      <w:r w:rsidR="008731AA">
        <w:rPr>
          <w:b/>
        </w:rPr>
        <w:t xml:space="preserve"> </w:t>
      </w:r>
      <w:r w:rsidRPr="00193F77">
        <w:rPr>
          <w:b/>
        </w:rPr>
        <w:t>-</w:t>
      </w:r>
      <w:r w:rsidR="008731AA">
        <w:rPr>
          <w:b/>
        </w:rPr>
        <w:t xml:space="preserve"> </w:t>
      </w:r>
      <w:r w:rsidR="00E258B1" w:rsidRPr="00193F77">
        <w:rPr>
          <w:b/>
        </w:rPr>
        <w:t>Zimbabwe</w:t>
      </w:r>
      <w:r>
        <w:rPr>
          <w:b/>
        </w:rPr>
        <w:t xml:space="preserve"> </w:t>
      </w:r>
    </w:p>
    <w:p w:rsidR="00AE0602" w:rsidRPr="004B3EBD" w:rsidRDefault="00193F77" w:rsidP="00E258B1">
      <w:pPr>
        <w:pBdr>
          <w:top w:val="single" w:sz="4" w:space="1" w:color="auto"/>
          <w:left w:val="single" w:sz="4" w:space="4" w:color="auto"/>
          <w:bottom w:val="single" w:sz="4" w:space="1" w:color="auto"/>
          <w:right w:val="single" w:sz="4" w:space="4" w:color="auto"/>
        </w:pBdr>
        <w:spacing w:after="120" w:line="240" w:lineRule="auto"/>
        <w:rPr>
          <w:b/>
        </w:rPr>
      </w:pPr>
      <w:r w:rsidRPr="004B3EBD">
        <w:rPr>
          <w:b/>
        </w:rPr>
        <w:t>Comoros</w:t>
      </w:r>
      <w:r w:rsidR="008731AA">
        <w:rPr>
          <w:b/>
        </w:rPr>
        <w:t xml:space="preserve"> – </w:t>
      </w:r>
      <w:r w:rsidRPr="004B3EBD">
        <w:rPr>
          <w:b/>
        </w:rPr>
        <w:t>Madagascar</w:t>
      </w:r>
      <w:r w:rsidR="008731AA">
        <w:rPr>
          <w:b/>
        </w:rPr>
        <w:t xml:space="preserve"> – </w:t>
      </w:r>
      <w:r w:rsidRPr="004B3EBD">
        <w:rPr>
          <w:b/>
        </w:rPr>
        <w:t>Mauritius</w:t>
      </w:r>
      <w:r w:rsidR="008731AA">
        <w:rPr>
          <w:b/>
        </w:rPr>
        <w:t xml:space="preserve"> </w:t>
      </w:r>
      <w:r w:rsidRPr="004B3EBD">
        <w:rPr>
          <w:b/>
        </w:rPr>
        <w:t>-</w:t>
      </w:r>
      <w:r w:rsidR="008731AA">
        <w:rPr>
          <w:b/>
        </w:rPr>
        <w:t xml:space="preserve"> </w:t>
      </w:r>
      <w:r w:rsidRPr="004B3EBD">
        <w:rPr>
          <w:b/>
        </w:rPr>
        <w:t>Seychelles</w:t>
      </w:r>
    </w:p>
    <w:p w:rsidR="00AE0602" w:rsidRPr="00CF160E" w:rsidRDefault="00DA7654" w:rsidP="008731AA">
      <w:pPr>
        <w:pBdr>
          <w:top w:val="single" w:sz="4" w:space="1" w:color="auto"/>
          <w:left w:val="single" w:sz="4" w:space="4" w:color="auto"/>
          <w:bottom w:val="single" w:sz="4" w:space="1" w:color="auto"/>
          <w:right w:val="single" w:sz="4" w:space="4" w:color="auto"/>
        </w:pBdr>
        <w:spacing w:after="0" w:line="240" w:lineRule="auto"/>
        <w:jc w:val="center"/>
        <w:rPr>
          <w:i/>
        </w:rPr>
      </w:pPr>
      <w:r>
        <w:rPr>
          <w:b/>
        </w:rPr>
        <w:t>Pretoria</w:t>
      </w:r>
      <w:r w:rsidR="003A1356">
        <w:rPr>
          <w:b/>
        </w:rPr>
        <w:t xml:space="preserve">, </w:t>
      </w:r>
      <w:r>
        <w:rPr>
          <w:b/>
        </w:rPr>
        <w:t>South Africa</w:t>
      </w:r>
      <w:r w:rsidR="00E344B3">
        <w:rPr>
          <w:b/>
        </w:rPr>
        <w:t xml:space="preserve"> </w:t>
      </w:r>
      <w:r w:rsidR="008122D9" w:rsidRPr="00D01415">
        <w:rPr>
          <w:b/>
        </w:rPr>
        <w:t>–</w:t>
      </w:r>
      <w:r w:rsidR="00E344B3">
        <w:rPr>
          <w:b/>
        </w:rPr>
        <w:t xml:space="preserve"> 4 </w:t>
      </w:r>
      <w:r>
        <w:rPr>
          <w:b/>
        </w:rPr>
        <w:t>October</w:t>
      </w:r>
      <w:r w:rsidR="00E344B3">
        <w:rPr>
          <w:b/>
        </w:rPr>
        <w:t xml:space="preserve"> </w:t>
      </w:r>
      <w:r w:rsidR="008122D9" w:rsidRPr="00D01415">
        <w:rPr>
          <w:b/>
        </w:rPr>
        <w:t>2017</w:t>
      </w:r>
      <w:r w:rsidR="00D01415" w:rsidRPr="00D01415">
        <w:rPr>
          <w:b/>
        </w:rPr>
        <w:t xml:space="preserve"> </w:t>
      </w:r>
      <w:r w:rsidR="00D01415" w:rsidRPr="00CF160E">
        <w:rPr>
          <w:i/>
        </w:rPr>
        <w:t>(</w:t>
      </w:r>
      <w:r w:rsidR="00E344B3">
        <w:rPr>
          <w:i/>
        </w:rPr>
        <w:t xml:space="preserve">part of </w:t>
      </w:r>
      <w:r>
        <w:rPr>
          <w:i/>
        </w:rPr>
        <w:t>DEVCO R</w:t>
      </w:r>
      <w:r w:rsidR="00D01415" w:rsidRPr="00CF160E">
        <w:rPr>
          <w:i/>
        </w:rPr>
        <w:t xml:space="preserve">egional </w:t>
      </w:r>
      <w:r>
        <w:rPr>
          <w:i/>
        </w:rPr>
        <w:t>S</w:t>
      </w:r>
      <w:r w:rsidR="00D01415" w:rsidRPr="00CF160E">
        <w:rPr>
          <w:i/>
        </w:rPr>
        <w:t xml:space="preserve">eminar </w:t>
      </w:r>
      <w:r>
        <w:rPr>
          <w:i/>
        </w:rPr>
        <w:t>4-6</w:t>
      </w:r>
      <w:r w:rsidR="00E344B3">
        <w:rPr>
          <w:i/>
        </w:rPr>
        <w:t xml:space="preserve"> </w:t>
      </w:r>
      <w:r>
        <w:rPr>
          <w:i/>
        </w:rPr>
        <w:t>October</w:t>
      </w:r>
      <w:r w:rsidR="00E344B3">
        <w:rPr>
          <w:i/>
        </w:rPr>
        <w:t xml:space="preserve"> </w:t>
      </w:r>
      <w:r w:rsidR="00D01415" w:rsidRPr="00CF160E">
        <w:rPr>
          <w:i/>
        </w:rPr>
        <w:t>2017)</w:t>
      </w:r>
    </w:p>
    <w:p w:rsidR="00E344B3" w:rsidRDefault="00E344B3" w:rsidP="00E258B1">
      <w:pPr>
        <w:spacing w:before="40" w:after="40" w:line="240" w:lineRule="auto"/>
        <w:rPr>
          <w:b/>
        </w:rPr>
      </w:pPr>
    </w:p>
    <w:p w:rsidR="00E344B3" w:rsidRPr="003A1356" w:rsidRDefault="00E344B3" w:rsidP="008206A2">
      <w:pPr>
        <w:spacing w:before="120" w:after="120" w:line="360" w:lineRule="auto"/>
        <w:contextualSpacing/>
        <w:jc w:val="both"/>
        <w:rPr>
          <w:b/>
        </w:rPr>
      </w:pPr>
      <w:r w:rsidRPr="003A1356">
        <w:rPr>
          <w:b/>
        </w:rPr>
        <w:t xml:space="preserve">Purpose of </w:t>
      </w:r>
      <w:r w:rsidR="00FC1092">
        <w:rPr>
          <w:b/>
        </w:rPr>
        <w:t>JP</w:t>
      </w:r>
      <w:r w:rsidR="0011788B" w:rsidRPr="003A1356">
        <w:rPr>
          <w:b/>
        </w:rPr>
        <w:t xml:space="preserve"> Regional </w:t>
      </w:r>
      <w:r w:rsidRPr="003A1356">
        <w:rPr>
          <w:b/>
        </w:rPr>
        <w:t>Workshop</w:t>
      </w:r>
      <w:r w:rsidR="0011788B" w:rsidRPr="003A1356">
        <w:rPr>
          <w:b/>
        </w:rPr>
        <w:t xml:space="preserve"> for </w:t>
      </w:r>
      <w:r w:rsidR="00FC1092">
        <w:rPr>
          <w:b/>
        </w:rPr>
        <w:t>SA-IO</w:t>
      </w:r>
      <w:r w:rsidR="00DC56AB" w:rsidRPr="003A1356">
        <w:rPr>
          <w:b/>
        </w:rPr>
        <w:t xml:space="preserve"> (co-organised with the EEAS)</w:t>
      </w:r>
      <w:r w:rsidRPr="003A1356">
        <w:rPr>
          <w:b/>
        </w:rPr>
        <w:t>:</w:t>
      </w:r>
    </w:p>
    <w:p w:rsidR="003A1356" w:rsidRPr="003A1356" w:rsidRDefault="003A1356" w:rsidP="0000684A">
      <w:pPr>
        <w:numPr>
          <w:ilvl w:val="0"/>
          <w:numId w:val="17"/>
        </w:numPr>
        <w:spacing w:before="120" w:after="120" w:line="360" w:lineRule="auto"/>
        <w:ind w:left="284" w:hanging="284"/>
        <w:contextualSpacing/>
        <w:jc w:val="both"/>
        <w:rPr>
          <w:u w:val="single"/>
        </w:rPr>
      </w:pPr>
      <w:r w:rsidRPr="003A1356">
        <w:rPr>
          <w:u w:val="single"/>
        </w:rPr>
        <w:t xml:space="preserve">Target </w:t>
      </w:r>
      <w:r w:rsidR="00326EDB">
        <w:rPr>
          <w:u w:val="single"/>
        </w:rPr>
        <w:t xml:space="preserve">discussion with </w:t>
      </w:r>
      <w:r w:rsidRPr="003A1356">
        <w:rPr>
          <w:u w:val="single"/>
        </w:rPr>
        <w:t>Heads of Delegations/Cooperation, as well as Member States</w:t>
      </w:r>
      <w:r w:rsidRPr="003A1356">
        <w:t>,</w:t>
      </w:r>
      <w:r w:rsidRPr="003A1356">
        <w:rPr>
          <w:b/>
          <w:i/>
        </w:rPr>
        <w:t xml:space="preserve"> </w:t>
      </w:r>
      <w:r w:rsidRPr="003A1356">
        <w:t>to identify opportunities and challenges, exchange experiences and lessons learned and share practices on Jo</w:t>
      </w:r>
      <w:r w:rsidR="00E03F42">
        <w:t xml:space="preserve">int Programming in </w:t>
      </w:r>
      <w:r w:rsidR="00DA7654">
        <w:t>the two regions</w:t>
      </w:r>
      <w:r w:rsidR="00E03F42">
        <w:t>;</w:t>
      </w:r>
      <w:r w:rsidR="00942417">
        <w:t xml:space="preserve"> including on </w:t>
      </w:r>
      <w:r w:rsidR="00942417" w:rsidRPr="00942417">
        <w:t>engaging with MS, other like-minded partners and national stakeholders;</w:t>
      </w:r>
    </w:p>
    <w:p w:rsidR="007712C0" w:rsidRPr="003A1356" w:rsidRDefault="007712C0" w:rsidP="0000684A">
      <w:pPr>
        <w:pStyle w:val="ListParagraph"/>
        <w:numPr>
          <w:ilvl w:val="0"/>
          <w:numId w:val="17"/>
        </w:numPr>
        <w:spacing w:before="120" w:after="120" w:line="360" w:lineRule="auto"/>
        <w:ind w:left="284" w:hanging="284"/>
        <w:contextualSpacing/>
        <w:jc w:val="both"/>
      </w:pPr>
      <w:r w:rsidRPr="00CD5C0C">
        <w:rPr>
          <w:u w:val="single"/>
        </w:rPr>
        <w:t>Create a joint understanding of Joint Programming</w:t>
      </w:r>
      <w:r w:rsidRPr="003A1356">
        <w:t xml:space="preserve"> by sharing the overall analysis of the </w:t>
      </w:r>
      <w:hyperlink r:id="rId9" w:history="1">
        <w:r w:rsidRPr="003A1356">
          <w:rPr>
            <w:rStyle w:val="Hyperlink"/>
          </w:rPr>
          <w:t>Head of Mission reports</w:t>
        </w:r>
      </w:hyperlink>
      <w:bookmarkStart w:id="0" w:name="_Ref486846304"/>
      <w:r w:rsidR="00C51AD5">
        <w:rPr>
          <w:rStyle w:val="FootnoteReference"/>
          <w:color w:val="0000FF" w:themeColor="hyperlink"/>
          <w:u w:val="single"/>
        </w:rPr>
        <w:footnoteReference w:id="1"/>
      </w:r>
      <w:bookmarkEnd w:id="0"/>
      <w:r w:rsidRPr="003A1356">
        <w:t xml:space="preserve"> and the </w:t>
      </w:r>
      <w:hyperlink r:id="rId10" w:history="1">
        <w:r w:rsidRPr="003A1356">
          <w:rPr>
            <w:rStyle w:val="Hyperlink"/>
          </w:rPr>
          <w:t>independent evaluation of Joint Programming</w:t>
        </w:r>
      </w:hyperlink>
      <w:r w:rsidRPr="003A1356">
        <w:t xml:space="preserve"> – </w:t>
      </w:r>
      <w:r w:rsidR="003A1356">
        <w:t xml:space="preserve">and </w:t>
      </w:r>
      <w:r w:rsidRPr="003A1356">
        <w:t xml:space="preserve">by bringing to </w:t>
      </w:r>
      <w:r w:rsidR="00DA7654">
        <w:t>SA-IO</w:t>
      </w:r>
      <w:r w:rsidRPr="003A1356">
        <w:t xml:space="preserve"> the experience of Joint Programming</w:t>
      </w:r>
      <w:r w:rsidR="00552290" w:rsidRPr="003A1356">
        <w:t xml:space="preserve"> built in other countries</w:t>
      </w:r>
      <w:r w:rsidR="003A1356">
        <w:t>/regions</w:t>
      </w:r>
      <w:r w:rsidR="00552290" w:rsidRPr="003A1356">
        <w:t>;</w:t>
      </w:r>
    </w:p>
    <w:p w:rsidR="00CD5C0C" w:rsidRPr="00CD5C0C" w:rsidRDefault="00CD5C0C" w:rsidP="0000684A">
      <w:pPr>
        <w:pStyle w:val="ListParagraph"/>
        <w:numPr>
          <w:ilvl w:val="0"/>
          <w:numId w:val="17"/>
        </w:numPr>
        <w:spacing w:before="120" w:after="120" w:line="360" w:lineRule="auto"/>
        <w:ind w:left="284" w:hanging="284"/>
        <w:contextualSpacing/>
        <w:jc w:val="both"/>
        <w:rPr>
          <w:u w:val="single"/>
        </w:rPr>
      </w:pPr>
      <w:r w:rsidRPr="00CD5C0C">
        <w:rPr>
          <w:u w:val="single"/>
        </w:rPr>
        <w:t xml:space="preserve">Better integrate global / strategic issue (i.e. </w:t>
      </w:r>
      <w:r w:rsidR="00DA7654">
        <w:rPr>
          <w:u w:val="single"/>
        </w:rPr>
        <w:t>SDGs</w:t>
      </w:r>
      <w:r w:rsidR="0000684A">
        <w:rPr>
          <w:u w:val="single"/>
        </w:rPr>
        <w:t xml:space="preserve">, </w:t>
      </w:r>
      <w:r w:rsidR="000460BA">
        <w:rPr>
          <w:u w:val="single"/>
        </w:rPr>
        <w:t>trade</w:t>
      </w:r>
      <w:r w:rsidR="00DA7654">
        <w:rPr>
          <w:u w:val="single"/>
        </w:rPr>
        <w:t>, energy</w:t>
      </w:r>
      <w:r w:rsidRPr="00CD5C0C">
        <w:rPr>
          <w:u w:val="single"/>
        </w:rPr>
        <w:t>, migration)</w:t>
      </w:r>
      <w:r w:rsidRPr="00DA7654">
        <w:t xml:space="preserve"> </w:t>
      </w:r>
      <w:r w:rsidRPr="00CD5C0C">
        <w:t xml:space="preserve">into </w:t>
      </w:r>
      <w:r w:rsidR="000460BA">
        <w:t>Joint P</w:t>
      </w:r>
      <w:r w:rsidRPr="00CD5C0C">
        <w:t xml:space="preserve">rogramming </w:t>
      </w:r>
      <w:r w:rsidR="004B3EBD">
        <w:t xml:space="preserve">and </w:t>
      </w:r>
      <w:r w:rsidR="000460BA">
        <w:t xml:space="preserve">in leveraging broader EU influence, especially in countries transitioning to </w:t>
      </w:r>
      <w:r w:rsidR="0000684A">
        <w:t>Middle</w:t>
      </w:r>
      <w:r w:rsidR="000460BA">
        <w:t xml:space="preserve"> Income level; </w:t>
      </w:r>
    </w:p>
    <w:p w:rsidR="00695E80" w:rsidRPr="003A1356" w:rsidRDefault="000E7343" w:rsidP="0000684A">
      <w:pPr>
        <w:pStyle w:val="ListParagraph"/>
        <w:numPr>
          <w:ilvl w:val="0"/>
          <w:numId w:val="17"/>
        </w:numPr>
        <w:spacing w:before="120" w:after="120" w:line="360" w:lineRule="auto"/>
        <w:ind w:left="284" w:hanging="284"/>
        <w:contextualSpacing/>
        <w:jc w:val="both"/>
      </w:pPr>
      <w:r w:rsidRPr="00CD5C0C">
        <w:rPr>
          <w:u w:val="single"/>
        </w:rPr>
        <w:t>Bridge the communication gap</w:t>
      </w:r>
      <w:r w:rsidRPr="003A1356">
        <w:t xml:space="preserve"> between HQ and field, improve networking of field actors</w:t>
      </w:r>
      <w:r w:rsidR="00E03F42">
        <w:t>.</w:t>
      </w:r>
    </w:p>
    <w:p w:rsidR="004B3EBD" w:rsidRDefault="004B3EBD" w:rsidP="008206A2">
      <w:pPr>
        <w:spacing w:before="120" w:after="120" w:line="360" w:lineRule="auto"/>
        <w:contextualSpacing/>
        <w:jc w:val="both"/>
        <w:rPr>
          <w:b/>
        </w:rPr>
      </w:pPr>
    </w:p>
    <w:p w:rsidR="000D4C44" w:rsidRPr="003A1356" w:rsidRDefault="00DC56AB" w:rsidP="008206A2">
      <w:pPr>
        <w:spacing w:before="120" w:after="120" w:line="360" w:lineRule="auto"/>
        <w:contextualSpacing/>
        <w:jc w:val="both"/>
        <w:rPr>
          <w:b/>
        </w:rPr>
      </w:pPr>
      <w:r w:rsidRPr="003A1356">
        <w:rPr>
          <w:b/>
        </w:rPr>
        <w:t>Content of the JP</w:t>
      </w:r>
      <w:r w:rsidR="00302035" w:rsidRPr="003A1356">
        <w:rPr>
          <w:b/>
        </w:rPr>
        <w:t xml:space="preserve"> </w:t>
      </w:r>
      <w:r w:rsidRPr="003A1356">
        <w:rPr>
          <w:b/>
        </w:rPr>
        <w:t>R</w:t>
      </w:r>
      <w:r w:rsidR="004450F4" w:rsidRPr="003A1356">
        <w:rPr>
          <w:b/>
        </w:rPr>
        <w:t xml:space="preserve">egional </w:t>
      </w:r>
      <w:r w:rsidRPr="003A1356">
        <w:rPr>
          <w:b/>
        </w:rPr>
        <w:t>W</w:t>
      </w:r>
      <w:r w:rsidR="00302035" w:rsidRPr="003A1356">
        <w:rPr>
          <w:b/>
        </w:rPr>
        <w:t xml:space="preserve">orkshop </w:t>
      </w:r>
      <w:r w:rsidRPr="003A1356">
        <w:rPr>
          <w:b/>
        </w:rPr>
        <w:t xml:space="preserve">for </w:t>
      </w:r>
      <w:r w:rsidR="00495959">
        <w:rPr>
          <w:b/>
        </w:rPr>
        <w:t>SA-IO</w:t>
      </w:r>
      <w:r w:rsidRPr="003A1356">
        <w:rPr>
          <w:b/>
        </w:rPr>
        <w:t>:</w:t>
      </w:r>
      <w:r w:rsidR="00450684" w:rsidRPr="003A1356">
        <w:rPr>
          <w:b/>
        </w:rPr>
        <w:t xml:space="preserve"> </w:t>
      </w:r>
    </w:p>
    <w:p w:rsidR="000E7343" w:rsidRPr="003A1356" w:rsidRDefault="000E7343" w:rsidP="0000684A">
      <w:pPr>
        <w:numPr>
          <w:ilvl w:val="0"/>
          <w:numId w:val="18"/>
        </w:numPr>
        <w:spacing w:before="120" w:after="120" w:line="360" w:lineRule="auto"/>
        <w:ind w:left="284" w:hanging="284"/>
        <w:contextualSpacing/>
        <w:jc w:val="both"/>
      </w:pPr>
      <w:r w:rsidRPr="003A1356">
        <w:t>The core of the workshop will be on countr</w:t>
      </w:r>
      <w:r w:rsidR="00E03F42">
        <w:t>y presentations and discussions, plus u</w:t>
      </w:r>
      <w:r w:rsidRPr="003A1356">
        <w:t>pdate on state of play</w:t>
      </w:r>
      <w:r w:rsidR="00CF1356">
        <w:t xml:space="preserve"> of JP</w:t>
      </w:r>
      <w:r w:rsidRPr="003A1356">
        <w:t xml:space="preserve"> and way forward (2016 </w:t>
      </w:r>
      <w:proofErr w:type="spellStart"/>
      <w:r w:rsidR="00E03F42">
        <w:t>HoM</w:t>
      </w:r>
      <w:proofErr w:type="spellEnd"/>
      <w:r w:rsidRPr="003A1356">
        <w:t xml:space="preserve"> Report </w:t>
      </w:r>
      <w:r w:rsidR="00CF1356">
        <w:t>analysis</w:t>
      </w:r>
      <w:r w:rsidRPr="003A1356">
        <w:t>; factoring in MTRs; evaluation report</w:t>
      </w:r>
      <w:r w:rsidR="00CF1356">
        <w:t>; joint monitoring and results frameworks</w:t>
      </w:r>
      <w:r w:rsidR="00E03F42">
        <w:t>)</w:t>
      </w:r>
      <w:r w:rsidRPr="003A1356">
        <w:t>;</w:t>
      </w:r>
    </w:p>
    <w:p w:rsidR="0038179A" w:rsidRPr="003A1356" w:rsidRDefault="0038179A" w:rsidP="0000684A">
      <w:pPr>
        <w:numPr>
          <w:ilvl w:val="0"/>
          <w:numId w:val="18"/>
        </w:numPr>
        <w:spacing w:before="120" w:after="120" w:line="360" w:lineRule="auto"/>
        <w:ind w:left="284" w:hanging="284"/>
        <w:contextualSpacing/>
        <w:jc w:val="both"/>
      </w:pPr>
      <w:r w:rsidRPr="003A1356">
        <w:t xml:space="preserve">Following-up </w:t>
      </w:r>
      <w:r w:rsidR="00CF1356">
        <w:t xml:space="preserve">on </w:t>
      </w:r>
      <w:hyperlink r:id="rId11" w:history="1">
        <w:r w:rsidRPr="003A1356">
          <w:rPr>
            <w:rStyle w:val="Hyperlink"/>
          </w:rPr>
          <w:t>Council Conclusions on stepping-up Joint Programming</w:t>
        </w:r>
      </w:hyperlink>
      <w:r w:rsidRPr="003A1356">
        <w:t xml:space="preserve">, </w:t>
      </w:r>
      <w:r w:rsidR="000460BA">
        <w:t xml:space="preserve">and </w:t>
      </w:r>
      <w:r w:rsidRPr="003A1356">
        <w:t xml:space="preserve">on </w:t>
      </w:r>
      <w:hyperlink r:id="rId12" w:history="1">
        <w:r w:rsidRPr="00835AA1">
          <w:rPr>
            <w:rStyle w:val="Hyperlink"/>
          </w:rPr>
          <w:t>HRVP/Commissioners note</w:t>
        </w:r>
      </w:hyperlink>
      <w:r w:rsidR="004079C3" w:rsidRPr="004079C3">
        <w:rPr>
          <w:rStyle w:val="Hyperlink"/>
          <w:vertAlign w:val="superscript"/>
        </w:rPr>
        <w:fldChar w:fldCharType="begin"/>
      </w:r>
      <w:r w:rsidR="004079C3" w:rsidRPr="004079C3">
        <w:rPr>
          <w:rStyle w:val="Hyperlink"/>
          <w:vertAlign w:val="superscript"/>
        </w:rPr>
        <w:instrText xml:space="preserve"> NOTEREF _Ref486846304 \h </w:instrText>
      </w:r>
      <w:r w:rsidR="004079C3">
        <w:rPr>
          <w:rStyle w:val="Hyperlink"/>
          <w:vertAlign w:val="superscript"/>
        </w:rPr>
        <w:instrText xml:space="preserve"> \* MERGEFORMAT </w:instrText>
      </w:r>
      <w:r w:rsidR="004079C3" w:rsidRPr="004079C3">
        <w:rPr>
          <w:rStyle w:val="Hyperlink"/>
          <w:vertAlign w:val="superscript"/>
        </w:rPr>
      </w:r>
      <w:r w:rsidR="004079C3" w:rsidRPr="004079C3">
        <w:rPr>
          <w:rStyle w:val="Hyperlink"/>
          <w:vertAlign w:val="superscript"/>
        </w:rPr>
        <w:fldChar w:fldCharType="separate"/>
      </w:r>
      <w:r w:rsidR="009C3AC1">
        <w:rPr>
          <w:rStyle w:val="Hyperlink"/>
          <w:vertAlign w:val="superscript"/>
        </w:rPr>
        <w:t>1</w:t>
      </w:r>
      <w:r w:rsidR="004079C3" w:rsidRPr="004079C3">
        <w:rPr>
          <w:rStyle w:val="Hyperlink"/>
          <w:vertAlign w:val="superscript"/>
        </w:rPr>
        <w:fldChar w:fldCharType="end"/>
      </w:r>
      <w:r w:rsidRPr="003A1356">
        <w:t xml:space="preserve"> </w:t>
      </w:r>
      <w:r w:rsidR="000460BA">
        <w:t>for their</w:t>
      </w:r>
      <w:r w:rsidRPr="003A1356">
        <w:t xml:space="preserve"> implementation;</w:t>
      </w:r>
    </w:p>
    <w:p w:rsidR="000E7343" w:rsidRPr="003A1356" w:rsidRDefault="000E7343" w:rsidP="0000684A">
      <w:pPr>
        <w:numPr>
          <w:ilvl w:val="0"/>
          <w:numId w:val="18"/>
        </w:numPr>
        <w:spacing w:before="120" w:after="120" w:line="360" w:lineRule="auto"/>
        <w:ind w:left="284" w:hanging="284"/>
        <w:contextualSpacing/>
        <w:jc w:val="both"/>
      </w:pPr>
      <w:r w:rsidRPr="003A1356">
        <w:t>To identify way</w:t>
      </w:r>
      <w:r w:rsidR="00061F22">
        <w:t>s</w:t>
      </w:r>
      <w:r w:rsidRPr="003A1356">
        <w:t xml:space="preserve"> </w:t>
      </w:r>
      <w:r w:rsidR="00061F22">
        <w:t xml:space="preserve">in which </w:t>
      </w:r>
      <w:r w:rsidRPr="003A1356">
        <w:t xml:space="preserve">Joint Programming </w:t>
      </w:r>
      <w:r w:rsidR="00061F22">
        <w:t xml:space="preserve">can take into account </w:t>
      </w:r>
      <w:r w:rsidRPr="003A1356">
        <w:t>recent policy/political trends (</w:t>
      </w:r>
      <w:proofErr w:type="spellStart"/>
      <w:r w:rsidRPr="003A1356">
        <w:t>ie</w:t>
      </w:r>
      <w:proofErr w:type="spellEnd"/>
      <w:r w:rsidR="00DD3AA1">
        <w:t>.</w:t>
      </w:r>
      <w:r w:rsidRPr="003A1356">
        <w:t xml:space="preserve"> migration, </w:t>
      </w:r>
      <w:r w:rsidR="00DD3AA1">
        <w:t xml:space="preserve">the </w:t>
      </w:r>
      <w:r w:rsidRPr="003A1356">
        <w:t>Consensus,</w:t>
      </w:r>
      <w:r w:rsidR="00853A81">
        <w:t xml:space="preserve"> trade, investments</w:t>
      </w:r>
      <w:r w:rsidRPr="003A1356">
        <w:t>)</w:t>
      </w:r>
      <w:r w:rsidR="00E03F42">
        <w:t>;</w:t>
      </w:r>
      <w:r w:rsidR="00061F22">
        <w:t xml:space="preserve"> </w:t>
      </w:r>
      <w:r w:rsidR="00E03F42">
        <w:t>r</w:t>
      </w:r>
      <w:r w:rsidR="00061F22">
        <w:t xml:space="preserve">ole of </w:t>
      </w:r>
      <w:r w:rsidR="00552290" w:rsidRPr="003A1356">
        <w:t>joint implementation</w:t>
      </w:r>
      <w:r w:rsidR="00E03F42">
        <w:t>;</w:t>
      </w:r>
      <w:r w:rsidR="00CF1356">
        <w:t xml:space="preserve"> how</w:t>
      </w:r>
      <w:r w:rsidR="00853A81">
        <w:t xml:space="preserve"> an expanding agenda can better serve EU joined-up engagement with more advanced countries</w:t>
      </w:r>
      <w:r w:rsidR="0000684A">
        <w:t>; and how</w:t>
      </w:r>
      <w:r w:rsidR="00CF1356">
        <w:t xml:space="preserve"> Agenda 2030/SDGs can offer either an entry point to JP or function as incentive to progress/review Joint Strategies;</w:t>
      </w:r>
    </w:p>
    <w:p w:rsidR="005B45B9" w:rsidRDefault="00CF1356" w:rsidP="0000684A">
      <w:pPr>
        <w:numPr>
          <w:ilvl w:val="0"/>
          <w:numId w:val="18"/>
        </w:numPr>
        <w:spacing w:beforeLines="120" w:before="288" w:afterLines="120" w:after="288" w:line="360" w:lineRule="auto"/>
        <w:ind w:left="284" w:hanging="284"/>
        <w:contextualSpacing/>
        <w:jc w:val="both"/>
      </w:pPr>
      <w:r>
        <w:t xml:space="preserve">Information on </w:t>
      </w:r>
      <w:r w:rsidR="00DC56AB" w:rsidRPr="003A1356">
        <w:t>new t</w:t>
      </w:r>
      <w:r w:rsidR="004450F4" w:rsidRPr="003A1356">
        <w:t xml:space="preserve">ools in support of </w:t>
      </w:r>
      <w:r w:rsidR="00552290" w:rsidRPr="003A1356">
        <w:t>JP</w:t>
      </w:r>
      <w:r w:rsidR="00422808" w:rsidRPr="003A1356">
        <w:t xml:space="preserve">: </w:t>
      </w:r>
      <w:r w:rsidR="00DC56AB" w:rsidRPr="003A1356">
        <w:t>the new "O</w:t>
      </w:r>
      <w:r w:rsidR="004450F4" w:rsidRPr="003A1356">
        <w:t xml:space="preserve">perational </w:t>
      </w:r>
      <w:r w:rsidR="00DC56AB" w:rsidRPr="003A1356">
        <w:t>M</w:t>
      </w:r>
      <w:r w:rsidR="004450F4" w:rsidRPr="003A1356">
        <w:t>anual</w:t>
      </w:r>
      <w:r w:rsidR="00DC56AB" w:rsidRPr="003A1356">
        <w:t xml:space="preserve"> for Joint Programming"</w:t>
      </w:r>
      <w:r w:rsidR="004450F4" w:rsidRPr="003A1356">
        <w:t xml:space="preserve">, </w:t>
      </w:r>
      <w:r w:rsidR="00DC56AB" w:rsidRPr="003A1356">
        <w:t xml:space="preserve">new </w:t>
      </w:r>
      <w:r w:rsidR="004450F4" w:rsidRPr="003A1356">
        <w:t>communication</w:t>
      </w:r>
      <w:r w:rsidR="00E03F42">
        <w:t xml:space="preserve"> means (</w:t>
      </w:r>
      <w:hyperlink r:id="rId13" w:history="1">
        <w:r w:rsidR="00E03F42" w:rsidRPr="004345EA">
          <w:rPr>
            <w:rStyle w:val="Hyperlink"/>
          </w:rPr>
          <w:t>website</w:t>
        </w:r>
      </w:hyperlink>
      <w:r w:rsidR="00E03F42">
        <w:t>/</w:t>
      </w:r>
      <w:hyperlink r:id="rId14" w:history="1">
        <w:r w:rsidR="00E03F42" w:rsidRPr="004345EA">
          <w:rPr>
            <w:rStyle w:val="Hyperlink"/>
          </w:rPr>
          <w:t>cap4dev</w:t>
        </w:r>
      </w:hyperlink>
      <w:r w:rsidR="00E03F42">
        <w:t>/</w:t>
      </w:r>
      <w:hyperlink r:id="rId15" w:history="1">
        <w:r w:rsidR="00DC56AB" w:rsidRPr="004345EA">
          <w:rPr>
            <w:rStyle w:val="Hyperlink"/>
          </w:rPr>
          <w:t>brochures</w:t>
        </w:r>
      </w:hyperlink>
      <w:r w:rsidR="00DC56AB" w:rsidRPr="003A1356">
        <w:t xml:space="preserve">) and </w:t>
      </w:r>
      <w:r w:rsidR="003E74B9" w:rsidRPr="003A1356">
        <w:t>technical assistance</w:t>
      </w:r>
      <w:r w:rsidR="00DC56AB" w:rsidRPr="003A1356">
        <w:t>/helpdesk support</w:t>
      </w:r>
      <w:r>
        <w:t>; plus, the presence of an external consultant (Alex O'Riordan) to offer specialised input.</w:t>
      </w:r>
    </w:p>
    <w:p w:rsidR="004B3EBD" w:rsidRDefault="004B3EBD" w:rsidP="00A93CF9">
      <w:pPr>
        <w:spacing w:beforeLines="200" w:before="480" w:after="0"/>
        <w:contextualSpacing/>
        <w:jc w:val="both"/>
        <w:rPr>
          <w:b/>
        </w:rPr>
      </w:pPr>
    </w:p>
    <w:p w:rsidR="0000684A" w:rsidRDefault="0000684A" w:rsidP="00636CC4">
      <w:pPr>
        <w:spacing w:after="80"/>
        <w:rPr>
          <w:b/>
          <w:sz w:val="36"/>
          <w:u w:val="single"/>
        </w:rPr>
      </w:pPr>
    </w:p>
    <w:p w:rsidR="00520B5B" w:rsidRPr="00636CC4" w:rsidRDefault="00520B5B" w:rsidP="00636CC4">
      <w:pPr>
        <w:spacing w:after="80"/>
        <w:rPr>
          <w:b/>
          <w:sz w:val="36"/>
          <w:u w:val="single"/>
        </w:rPr>
      </w:pPr>
      <w:r w:rsidRPr="00636CC4">
        <w:rPr>
          <w:b/>
          <w:sz w:val="36"/>
          <w:u w:val="single"/>
        </w:rPr>
        <w:lastRenderedPageBreak/>
        <w:t>STATE OF PLAY OF JP IN PARTNER COUNTRIES</w:t>
      </w:r>
      <w:r w:rsidR="00442AE1">
        <w:rPr>
          <w:b/>
          <w:sz w:val="36"/>
          <w:u w:val="single"/>
        </w:rPr>
        <w:t xml:space="preserve"> IN SA-IO</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200"/>
        <w:gridCol w:w="1200"/>
        <w:gridCol w:w="6360"/>
      </w:tblGrid>
      <w:tr w:rsidR="00520B5B" w:rsidRPr="001831C1" w:rsidTr="00B84732">
        <w:trPr>
          <w:trHeight w:val="856"/>
        </w:trPr>
        <w:tc>
          <w:tcPr>
            <w:tcW w:w="1320" w:type="dxa"/>
            <w:tcBorders>
              <w:bottom w:val="thinThickSmallGap" w:sz="24" w:space="0" w:color="auto"/>
            </w:tcBorders>
            <w:shd w:val="clear" w:color="auto" w:fill="auto"/>
            <w:vAlign w:val="center"/>
          </w:tcPr>
          <w:p w:rsidR="00520B5B" w:rsidRPr="0060258D" w:rsidRDefault="0060258D" w:rsidP="00B84732">
            <w:pPr>
              <w:spacing w:after="0" w:line="240" w:lineRule="auto"/>
              <w:ind w:left="-7" w:firstLine="7"/>
              <w:jc w:val="center"/>
              <w:rPr>
                <w:b/>
                <w:sz w:val="20"/>
                <w:u w:val="single"/>
              </w:rPr>
            </w:pPr>
            <w:r w:rsidRPr="0060258D">
              <w:rPr>
                <w:b/>
                <w:sz w:val="20"/>
                <w:u w:val="single"/>
              </w:rPr>
              <w:t>COUNTRY</w:t>
            </w:r>
          </w:p>
        </w:tc>
        <w:tc>
          <w:tcPr>
            <w:tcW w:w="1200" w:type="dxa"/>
            <w:tcBorders>
              <w:bottom w:val="thinThickSmallGap" w:sz="24" w:space="0" w:color="auto"/>
            </w:tcBorders>
            <w:shd w:val="clear" w:color="auto" w:fill="auto"/>
            <w:vAlign w:val="center"/>
          </w:tcPr>
          <w:p w:rsidR="00520B5B" w:rsidRPr="0060258D" w:rsidRDefault="0060258D" w:rsidP="00B84732">
            <w:pPr>
              <w:spacing w:after="0" w:line="240" w:lineRule="auto"/>
              <w:jc w:val="center"/>
              <w:rPr>
                <w:b/>
                <w:sz w:val="20"/>
                <w:u w:val="single"/>
              </w:rPr>
            </w:pPr>
            <w:r w:rsidRPr="0060258D">
              <w:rPr>
                <w:b/>
                <w:sz w:val="20"/>
                <w:u w:val="single"/>
              </w:rPr>
              <w:t>JP STATE OF PLAY</w:t>
            </w:r>
          </w:p>
        </w:tc>
        <w:tc>
          <w:tcPr>
            <w:tcW w:w="1200" w:type="dxa"/>
            <w:tcBorders>
              <w:bottom w:val="thinThickSmallGap" w:sz="24" w:space="0" w:color="auto"/>
            </w:tcBorders>
            <w:shd w:val="clear" w:color="auto" w:fill="auto"/>
            <w:vAlign w:val="center"/>
          </w:tcPr>
          <w:p w:rsidR="00520B5B" w:rsidRPr="0060258D" w:rsidRDefault="0060258D" w:rsidP="00B84732">
            <w:pPr>
              <w:jc w:val="center"/>
              <w:rPr>
                <w:b/>
                <w:sz w:val="20"/>
                <w:u w:val="single"/>
              </w:rPr>
            </w:pPr>
            <w:r w:rsidRPr="0060258D">
              <w:rPr>
                <w:b/>
                <w:sz w:val="20"/>
                <w:u w:val="single"/>
              </w:rPr>
              <w:t>NATIONAL PLANNING CYCLE</w:t>
            </w:r>
          </w:p>
        </w:tc>
        <w:tc>
          <w:tcPr>
            <w:tcW w:w="6360" w:type="dxa"/>
            <w:tcBorders>
              <w:bottom w:val="thinThickSmallGap" w:sz="24" w:space="0" w:color="auto"/>
            </w:tcBorders>
            <w:shd w:val="clear" w:color="auto" w:fill="auto"/>
            <w:vAlign w:val="center"/>
          </w:tcPr>
          <w:p w:rsidR="00520B5B" w:rsidRPr="0060258D" w:rsidRDefault="0060258D" w:rsidP="00B84732">
            <w:pPr>
              <w:spacing w:after="0" w:line="240" w:lineRule="auto"/>
              <w:jc w:val="center"/>
              <w:rPr>
                <w:b/>
                <w:sz w:val="20"/>
                <w:u w:val="single"/>
              </w:rPr>
            </w:pPr>
            <w:r w:rsidRPr="0060258D">
              <w:rPr>
                <w:b/>
                <w:sz w:val="20"/>
                <w:u w:val="single"/>
              </w:rPr>
              <w:t>COMMENTS</w:t>
            </w:r>
          </w:p>
          <w:p w:rsidR="00C20CE1" w:rsidRPr="0060258D" w:rsidRDefault="0060258D" w:rsidP="0060258D">
            <w:pPr>
              <w:spacing w:after="0" w:line="240" w:lineRule="auto"/>
              <w:jc w:val="center"/>
              <w:rPr>
                <w:i/>
                <w:sz w:val="20"/>
              </w:rPr>
            </w:pPr>
            <w:r>
              <w:rPr>
                <w:i/>
                <w:sz w:val="20"/>
              </w:rPr>
              <w:t>(</w:t>
            </w:r>
            <w:r w:rsidR="00C20CE1" w:rsidRPr="0060258D">
              <w:rPr>
                <w:i/>
                <w:sz w:val="20"/>
              </w:rPr>
              <w:t xml:space="preserve">Based on </w:t>
            </w:r>
            <w:proofErr w:type="spellStart"/>
            <w:r w:rsidR="00C20CE1" w:rsidRPr="0060258D">
              <w:rPr>
                <w:i/>
                <w:sz w:val="20"/>
              </w:rPr>
              <w:t>HoM</w:t>
            </w:r>
            <w:proofErr w:type="spellEnd"/>
            <w:r w:rsidR="00C20CE1" w:rsidRPr="0060258D">
              <w:rPr>
                <w:i/>
                <w:sz w:val="20"/>
              </w:rPr>
              <w:t xml:space="preserve"> reports 2016 and recently received documents</w:t>
            </w:r>
            <w:r>
              <w:rPr>
                <w:i/>
                <w:sz w:val="20"/>
              </w:rPr>
              <w:t>)</w:t>
            </w:r>
          </w:p>
        </w:tc>
      </w:tr>
      <w:tr w:rsidR="00520B5B" w:rsidRPr="001831C1" w:rsidTr="00B84732">
        <w:tc>
          <w:tcPr>
            <w:tcW w:w="1320" w:type="dxa"/>
            <w:tcBorders>
              <w:top w:val="thinThickSmallGap" w:sz="24" w:space="0" w:color="auto"/>
              <w:bottom w:val="dashSmallGap" w:sz="4" w:space="0" w:color="auto"/>
            </w:tcBorders>
            <w:shd w:val="clear" w:color="auto" w:fill="auto"/>
          </w:tcPr>
          <w:p w:rsidR="00520B5B" w:rsidRDefault="00FC1092" w:rsidP="00FC1092">
            <w:pPr>
              <w:spacing w:after="0" w:line="240" w:lineRule="auto"/>
              <w:rPr>
                <w:b/>
              </w:rPr>
            </w:pPr>
            <w:r>
              <w:rPr>
                <w:b/>
              </w:rPr>
              <w:t>NAMIBIA</w:t>
            </w:r>
          </w:p>
          <w:p w:rsidR="00FC1092" w:rsidRPr="00FC1092" w:rsidRDefault="00FC1092" w:rsidP="00FC1092">
            <w:pPr>
              <w:spacing w:after="0" w:line="240" w:lineRule="auto"/>
            </w:pPr>
            <w:r>
              <w:t>(UMIC)</w:t>
            </w:r>
          </w:p>
        </w:tc>
        <w:tc>
          <w:tcPr>
            <w:tcW w:w="1200" w:type="dxa"/>
            <w:tcBorders>
              <w:top w:val="thinThickSmallGap" w:sz="24" w:space="0" w:color="auto"/>
              <w:bottom w:val="dashSmallGap" w:sz="4" w:space="0" w:color="auto"/>
            </w:tcBorders>
            <w:shd w:val="clear" w:color="auto" w:fill="auto"/>
          </w:tcPr>
          <w:p w:rsidR="00520B5B" w:rsidRPr="00695E80" w:rsidRDefault="00FC1092" w:rsidP="00FC1092">
            <w:pPr>
              <w:spacing w:after="0" w:line="240" w:lineRule="auto"/>
            </w:pPr>
            <w:r>
              <w:t>Joint Strategy</w:t>
            </w:r>
          </w:p>
        </w:tc>
        <w:tc>
          <w:tcPr>
            <w:tcW w:w="1200" w:type="dxa"/>
            <w:tcBorders>
              <w:top w:val="thinThickSmallGap" w:sz="24" w:space="0" w:color="auto"/>
              <w:bottom w:val="dashSmallGap" w:sz="4" w:space="0" w:color="auto"/>
            </w:tcBorders>
            <w:shd w:val="clear" w:color="auto" w:fill="auto"/>
          </w:tcPr>
          <w:p w:rsidR="00520B5B" w:rsidRDefault="004777D9" w:rsidP="00FC1092">
            <w:pPr>
              <w:spacing w:after="0" w:line="240" w:lineRule="auto"/>
            </w:pPr>
            <w:r w:rsidRPr="00695E80">
              <w:t>201</w:t>
            </w:r>
            <w:r w:rsidR="00FC1092">
              <w:t>3</w:t>
            </w:r>
            <w:r w:rsidRPr="00695E80">
              <w:t>-20</w:t>
            </w:r>
            <w:r w:rsidR="00FC1092">
              <w:t>17</w:t>
            </w:r>
          </w:p>
          <w:p w:rsidR="00FC1092" w:rsidRDefault="00FC1092" w:rsidP="00FC1092">
            <w:pPr>
              <w:spacing w:after="0" w:line="240" w:lineRule="auto"/>
            </w:pPr>
          </w:p>
          <w:p w:rsidR="00FC1092" w:rsidRDefault="00FC1092" w:rsidP="00FC1092">
            <w:pPr>
              <w:spacing w:after="0" w:line="240" w:lineRule="auto"/>
            </w:pPr>
            <w:r>
              <w:t>New:</w:t>
            </w:r>
          </w:p>
          <w:p w:rsidR="00FC1092" w:rsidRPr="00695E80" w:rsidRDefault="00FC1092" w:rsidP="00FC1092">
            <w:pPr>
              <w:spacing w:after="0" w:line="240" w:lineRule="auto"/>
            </w:pPr>
            <w:r>
              <w:t>2017/18-2021/22</w:t>
            </w:r>
          </w:p>
        </w:tc>
        <w:tc>
          <w:tcPr>
            <w:tcW w:w="6360" w:type="dxa"/>
            <w:tcBorders>
              <w:top w:val="thinThickSmallGap" w:sz="24" w:space="0" w:color="auto"/>
              <w:bottom w:val="dashSmallGap" w:sz="4" w:space="0" w:color="auto"/>
            </w:tcBorders>
            <w:shd w:val="clear" w:color="auto" w:fill="auto"/>
          </w:tcPr>
          <w:p w:rsidR="00520B5B" w:rsidRPr="00E03F42" w:rsidRDefault="00520B5B" w:rsidP="00FC1092">
            <w:pPr>
              <w:spacing w:after="0" w:line="240" w:lineRule="auto"/>
              <w:jc w:val="both"/>
              <w:rPr>
                <w:i/>
                <w:sz w:val="20"/>
                <w:u w:val="single"/>
              </w:rPr>
            </w:pPr>
            <w:r w:rsidRPr="00E03F42">
              <w:rPr>
                <w:i/>
                <w:sz w:val="20"/>
                <w:u w:val="single"/>
              </w:rPr>
              <w:t xml:space="preserve">Participating partners: </w:t>
            </w:r>
            <w:r w:rsidR="00FC1092">
              <w:rPr>
                <w:i/>
                <w:sz w:val="20"/>
                <w:u w:val="single"/>
              </w:rPr>
              <w:t>Finland, France, Germany, Portugal, Spain, UK</w:t>
            </w:r>
          </w:p>
          <w:p w:rsidR="00FC1092" w:rsidRDefault="00FC1092" w:rsidP="00FC1092">
            <w:pPr>
              <w:spacing w:after="0" w:line="240" w:lineRule="auto"/>
              <w:jc w:val="both"/>
              <w:rPr>
                <w:sz w:val="20"/>
              </w:rPr>
            </w:pPr>
            <w:r w:rsidRPr="00FC1092">
              <w:rPr>
                <w:sz w:val="20"/>
              </w:rPr>
              <w:t xml:space="preserve">The EU and </w:t>
            </w:r>
            <w:r>
              <w:rPr>
                <w:sz w:val="20"/>
              </w:rPr>
              <w:t>MS</w:t>
            </w:r>
            <w:r w:rsidRPr="00FC1092">
              <w:rPr>
                <w:sz w:val="20"/>
              </w:rPr>
              <w:t xml:space="preserve"> intend to analyse</w:t>
            </w:r>
            <w:r>
              <w:rPr>
                <w:sz w:val="20"/>
              </w:rPr>
              <w:t xml:space="preserve"> the new</w:t>
            </w:r>
            <w:r w:rsidRPr="00FC1092">
              <w:rPr>
                <w:sz w:val="20"/>
              </w:rPr>
              <w:t xml:space="preserve"> NDP5</w:t>
            </w:r>
            <w:r>
              <w:rPr>
                <w:sz w:val="20"/>
              </w:rPr>
              <w:t xml:space="preserve"> (2017/8-2021/2)</w:t>
            </w:r>
            <w:r w:rsidRPr="00FC1092">
              <w:rPr>
                <w:sz w:val="20"/>
              </w:rPr>
              <w:t xml:space="preserve"> as soon as available</w:t>
            </w:r>
            <w:r>
              <w:rPr>
                <w:sz w:val="20"/>
              </w:rPr>
              <w:t xml:space="preserve"> </w:t>
            </w:r>
            <w:r w:rsidRPr="00FC1092">
              <w:rPr>
                <w:sz w:val="20"/>
              </w:rPr>
              <w:t>and revise the Joint Response Strategy accordingly, thereby aligning once again, with the</w:t>
            </w:r>
            <w:r>
              <w:rPr>
                <w:sz w:val="20"/>
              </w:rPr>
              <w:t xml:space="preserve"> </w:t>
            </w:r>
            <w:r w:rsidRPr="00FC1092">
              <w:rPr>
                <w:sz w:val="20"/>
              </w:rPr>
              <w:t xml:space="preserve">country’s own strategy. The revision of the Joint Response Strategy is </w:t>
            </w:r>
            <w:r w:rsidR="00CB0F6F">
              <w:rPr>
                <w:sz w:val="20"/>
              </w:rPr>
              <w:t>planned for</w:t>
            </w:r>
            <w:r w:rsidRPr="00FC1092">
              <w:rPr>
                <w:sz w:val="20"/>
              </w:rPr>
              <w:t xml:space="preserve"> 2017 and the revised strategy document should be ready before the end of that</w:t>
            </w:r>
            <w:r>
              <w:rPr>
                <w:sz w:val="20"/>
              </w:rPr>
              <w:t xml:space="preserve"> </w:t>
            </w:r>
            <w:r w:rsidRPr="00FC1092">
              <w:rPr>
                <w:sz w:val="20"/>
              </w:rPr>
              <w:t>year.</w:t>
            </w:r>
          </w:p>
          <w:p w:rsidR="00FC1092" w:rsidRDefault="00FC1092" w:rsidP="00FC1092">
            <w:pPr>
              <w:spacing w:after="0" w:line="240" w:lineRule="auto"/>
              <w:jc w:val="both"/>
              <w:rPr>
                <w:sz w:val="20"/>
              </w:rPr>
            </w:pPr>
            <w:r>
              <w:rPr>
                <w:sz w:val="20"/>
              </w:rPr>
              <w:t>Coordination with USAID possible.</w:t>
            </w:r>
          </w:p>
          <w:p w:rsidR="00FC1092" w:rsidRPr="00E03F42" w:rsidRDefault="00FC1092" w:rsidP="00FC1092">
            <w:pPr>
              <w:spacing w:after="0" w:line="240" w:lineRule="auto"/>
              <w:jc w:val="both"/>
              <w:rPr>
                <w:i/>
                <w:sz w:val="20"/>
              </w:rPr>
            </w:pPr>
            <w:r>
              <w:rPr>
                <w:sz w:val="20"/>
              </w:rPr>
              <w:t xml:space="preserve">Namibia </w:t>
            </w:r>
            <w:proofErr w:type="spellStart"/>
            <w:r>
              <w:rPr>
                <w:sz w:val="20"/>
              </w:rPr>
              <w:t>Gov</w:t>
            </w:r>
            <w:proofErr w:type="spellEnd"/>
            <w:r>
              <w:rPr>
                <w:sz w:val="20"/>
              </w:rPr>
              <w:t xml:space="preserve"> did not lead the JP process, but agreed to it and welcomed the result.</w:t>
            </w:r>
          </w:p>
        </w:tc>
      </w:tr>
      <w:tr w:rsidR="00520B5B" w:rsidRPr="001831C1" w:rsidTr="00636CC4">
        <w:tc>
          <w:tcPr>
            <w:tcW w:w="1320" w:type="dxa"/>
            <w:tcBorders>
              <w:top w:val="dashSmallGap" w:sz="4" w:space="0" w:color="auto"/>
            </w:tcBorders>
            <w:shd w:val="clear" w:color="auto" w:fill="auto"/>
          </w:tcPr>
          <w:p w:rsidR="00520B5B" w:rsidRDefault="00FC1092" w:rsidP="00FC1092">
            <w:pPr>
              <w:spacing w:after="0" w:line="240" w:lineRule="auto"/>
              <w:rPr>
                <w:b/>
              </w:rPr>
            </w:pPr>
            <w:r>
              <w:rPr>
                <w:b/>
              </w:rPr>
              <w:t>ZAMBIA</w:t>
            </w:r>
          </w:p>
          <w:p w:rsidR="00700666" w:rsidRPr="00700666" w:rsidRDefault="00700666" w:rsidP="00FC1092">
            <w:pPr>
              <w:spacing w:after="0" w:line="240" w:lineRule="auto"/>
            </w:pPr>
            <w:r w:rsidRPr="00700666">
              <w:t>(LMIC)</w:t>
            </w:r>
          </w:p>
        </w:tc>
        <w:tc>
          <w:tcPr>
            <w:tcW w:w="1200" w:type="dxa"/>
            <w:tcBorders>
              <w:top w:val="dashSmallGap" w:sz="4" w:space="0" w:color="auto"/>
            </w:tcBorders>
            <w:shd w:val="clear" w:color="auto" w:fill="auto"/>
          </w:tcPr>
          <w:p w:rsidR="00520B5B" w:rsidRPr="00695E80" w:rsidRDefault="00700666" w:rsidP="00FC1092">
            <w:pPr>
              <w:spacing w:after="0" w:line="240" w:lineRule="auto"/>
            </w:pPr>
            <w:r>
              <w:t>Joint Analysis</w:t>
            </w:r>
          </w:p>
        </w:tc>
        <w:tc>
          <w:tcPr>
            <w:tcW w:w="1200" w:type="dxa"/>
            <w:tcBorders>
              <w:top w:val="dashSmallGap" w:sz="4" w:space="0" w:color="auto"/>
            </w:tcBorders>
            <w:shd w:val="clear" w:color="auto" w:fill="auto"/>
          </w:tcPr>
          <w:p w:rsidR="00520B5B" w:rsidRDefault="004777D9" w:rsidP="00700666">
            <w:pPr>
              <w:spacing w:after="0" w:line="240" w:lineRule="auto"/>
            </w:pPr>
            <w:r w:rsidRPr="00695E80">
              <w:t>201</w:t>
            </w:r>
            <w:r w:rsidR="00700666">
              <w:t>7</w:t>
            </w:r>
            <w:r w:rsidRPr="00695E80">
              <w:t>-202</w:t>
            </w:r>
            <w:r w:rsidR="00700666">
              <w:t>1</w:t>
            </w:r>
          </w:p>
          <w:p w:rsidR="00BC0B59" w:rsidRPr="00695E80" w:rsidRDefault="00BC0B59" w:rsidP="00700666">
            <w:pPr>
              <w:spacing w:after="0" w:line="240" w:lineRule="auto"/>
            </w:pPr>
            <w:r>
              <w:t>7</w:t>
            </w:r>
            <w:r w:rsidRPr="00BC0B59">
              <w:rPr>
                <w:vertAlign w:val="superscript"/>
              </w:rPr>
              <w:t>th</w:t>
            </w:r>
            <w:r>
              <w:t xml:space="preserve"> NDP</w:t>
            </w:r>
          </w:p>
        </w:tc>
        <w:tc>
          <w:tcPr>
            <w:tcW w:w="6360" w:type="dxa"/>
            <w:tcBorders>
              <w:top w:val="dashSmallGap" w:sz="4" w:space="0" w:color="auto"/>
            </w:tcBorders>
            <w:shd w:val="clear" w:color="auto" w:fill="auto"/>
          </w:tcPr>
          <w:p w:rsidR="00520B5B" w:rsidRPr="00E03F42" w:rsidRDefault="00520B5B" w:rsidP="006E22E4">
            <w:pPr>
              <w:spacing w:after="0" w:line="240" w:lineRule="auto"/>
              <w:jc w:val="both"/>
              <w:rPr>
                <w:sz w:val="20"/>
              </w:rPr>
            </w:pPr>
            <w:r w:rsidRPr="00E03F42">
              <w:rPr>
                <w:i/>
                <w:sz w:val="20"/>
                <w:u w:val="single"/>
              </w:rPr>
              <w:t xml:space="preserve">Participating partners: </w:t>
            </w:r>
            <w:r w:rsidR="00BC0B59">
              <w:rPr>
                <w:i/>
                <w:sz w:val="20"/>
                <w:u w:val="single"/>
              </w:rPr>
              <w:t xml:space="preserve">Finland, </w:t>
            </w:r>
            <w:r w:rsidR="006E22E4" w:rsidRPr="00E03F42">
              <w:rPr>
                <w:i/>
                <w:sz w:val="20"/>
                <w:u w:val="single"/>
              </w:rPr>
              <w:t>Germany,</w:t>
            </w:r>
            <w:r w:rsidRPr="00E03F42">
              <w:rPr>
                <w:i/>
                <w:sz w:val="20"/>
                <w:u w:val="single"/>
              </w:rPr>
              <w:t xml:space="preserve"> </w:t>
            </w:r>
            <w:r w:rsidR="00BC0B59">
              <w:rPr>
                <w:i/>
                <w:sz w:val="20"/>
                <w:u w:val="single"/>
              </w:rPr>
              <w:t xml:space="preserve">Ireland, Sweden, </w:t>
            </w:r>
            <w:r w:rsidRPr="00E03F42">
              <w:rPr>
                <w:i/>
                <w:sz w:val="20"/>
                <w:u w:val="single"/>
              </w:rPr>
              <w:t>UK</w:t>
            </w:r>
          </w:p>
          <w:p w:rsidR="00BC0B59" w:rsidRDefault="00BC0B59" w:rsidP="00BC0B59">
            <w:pPr>
              <w:spacing w:after="0" w:line="240" w:lineRule="auto"/>
              <w:jc w:val="both"/>
              <w:rPr>
                <w:sz w:val="20"/>
              </w:rPr>
            </w:pPr>
            <w:r w:rsidRPr="00BC0B59">
              <w:rPr>
                <w:sz w:val="20"/>
              </w:rPr>
              <w:t xml:space="preserve">In June 2016 the EUD and </w:t>
            </w:r>
            <w:r>
              <w:rPr>
                <w:sz w:val="20"/>
              </w:rPr>
              <w:t>MS</w:t>
            </w:r>
            <w:r w:rsidRPr="00BC0B59">
              <w:rPr>
                <w:sz w:val="20"/>
              </w:rPr>
              <w:t xml:space="preserve"> developed for the first time an EU Joint</w:t>
            </w:r>
            <w:r>
              <w:rPr>
                <w:sz w:val="20"/>
              </w:rPr>
              <w:t xml:space="preserve"> </w:t>
            </w:r>
            <w:r w:rsidRPr="00BC0B59">
              <w:rPr>
                <w:sz w:val="20"/>
              </w:rPr>
              <w:t xml:space="preserve">Framework Paper on </w:t>
            </w:r>
            <w:r>
              <w:rPr>
                <w:sz w:val="20"/>
              </w:rPr>
              <w:t xml:space="preserve">JP. </w:t>
            </w:r>
          </w:p>
          <w:p w:rsidR="00BC0B59" w:rsidRDefault="000D3B80" w:rsidP="00BC0B59">
            <w:pPr>
              <w:spacing w:after="0" w:line="240" w:lineRule="auto"/>
              <w:jc w:val="both"/>
              <w:rPr>
                <w:sz w:val="20"/>
              </w:rPr>
            </w:pPr>
            <w:r>
              <w:rPr>
                <w:sz w:val="20"/>
              </w:rPr>
              <w:t>9</w:t>
            </w:r>
            <w:r w:rsidR="00BC0B59">
              <w:rPr>
                <w:sz w:val="20"/>
              </w:rPr>
              <w:t xml:space="preserve"> c</w:t>
            </w:r>
            <w:r w:rsidR="00BC0B59" w:rsidRPr="00BC0B59">
              <w:rPr>
                <w:sz w:val="20"/>
              </w:rPr>
              <w:t>oncise notes focusing on key areas of</w:t>
            </w:r>
            <w:r w:rsidR="00BC0B59">
              <w:rPr>
                <w:sz w:val="20"/>
              </w:rPr>
              <w:t xml:space="preserve"> </w:t>
            </w:r>
            <w:r w:rsidR="00BC0B59" w:rsidRPr="00BC0B59">
              <w:rPr>
                <w:sz w:val="20"/>
              </w:rPr>
              <w:t>engagement mapping out EU and MS interventions, and outlining scope for</w:t>
            </w:r>
            <w:r w:rsidR="00BC0B59">
              <w:rPr>
                <w:sz w:val="20"/>
              </w:rPr>
              <w:t xml:space="preserve"> </w:t>
            </w:r>
            <w:r w:rsidR="00BC0B59" w:rsidRPr="00BC0B59">
              <w:rPr>
                <w:sz w:val="20"/>
              </w:rPr>
              <w:t>strengthened cooperation based on a common understanding of sector</w:t>
            </w:r>
            <w:r w:rsidR="00BC0B59">
              <w:rPr>
                <w:sz w:val="20"/>
              </w:rPr>
              <w:t xml:space="preserve"> </w:t>
            </w:r>
            <w:r w:rsidR="00BC0B59" w:rsidRPr="00BC0B59">
              <w:rPr>
                <w:sz w:val="20"/>
              </w:rPr>
              <w:t>challenges</w:t>
            </w:r>
            <w:r w:rsidR="00BC0B59">
              <w:rPr>
                <w:sz w:val="20"/>
              </w:rPr>
              <w:t>,</w:t>
            </w:r>
            <w:r w:rsidR="00BC0B59" w:rsidRPr="00BC0B59">
              <w:rPr>
                <w:sz w:val="20"/>
              </w:rPr>
              <w:t xml:space="preserve"> as well as shared objectives</w:t>
            </w:r>
            <w:r w:rsidR="00BC0B59">
              <w:rPr>
                <w:sz w:val="20"/>
              </w:rPr>
              <w:t>, were developed</w:t>
            </w:r>
            <w:r w:rsidR="00BC0B59" w:rsidRPr="00BC0B59">
              <w:rPr>
                <w:sz w:val="20"/>
              </w:rPr>
              <w:t>.</w:t>
            </w:r>
          </w:p>
          <w:p w:rsidR="00BC0B59" w:rsidRPr="00BC0B59" w:rsidRDefault="00BC0B59" w:rsidP="00BC0B59">
            <w:pPr>
              <w:spacing w:after="0" w:line="240" w:lineRule="auto"/>
              <w:jc w:val="both"/>
              <w:rPr>
                <w:sz w:val="20"/>
              </w:rPr>
            </w:pPr>
            <w:r w:rsidRPr="00BC0B59">
              <w:rPr>
                <w:sz w:val="20"/>
              </w:rPr>
              <w:t>Development relations featured high on the agenda of the EU-Zambia</w:t>
            </w:r>
            <w:r>
              <w:rPr>
                <w:sz w:val="20"/>
              </w:rPr>
              <w:t xml:space="preserve"> </w:t>
            </w:r>
            <w:r w:rsidRPr="00BC0B59">
              <w:rPr>
                <w:sz w:val="20"/>
              </w:rPr>
              <w:t xml:space="preserve">Political Dialogue held on 9 March </w:t>
            </w:r>
            <w:r>
              <w:rPr>
                <w:sz w:val="20"/>
              </w:rPr>
              <w:t xml:space="preserve">2017 </w:t>
            </w:r>
            <w:r w:rsidRPr="00BC0B59">
              <w:rPr>
                <w:sz w:val="20"/>
              </w:rPr>
              <w:t>where joint messages were agreed</w:t>
            </w:r>
          </w:p>
          <w:p w:rsidR="00BC0B59" w:rsidRPr="00E03F42" w:rsidRDefault="00E83D6B" w:rsidP="0000684A">
            <w:pPr>
              <w:spacing w:after="0" w:line="240" w:lineRule="auto"/>
              <w:jc w:val="both"/>
              <w:rPr>
                <w:sz w:val="20"/>
              </w:rPr>
            </w:pPr>
            <w:proofErr w:type="gramStart"/>
            <w:r>
              <w:rPr>
                <w:sz w:val="20"/>
              </w:rPr>
              <w:t>u</w:t>
            </w:r>
            <w:r w:rsidR="00BC0B59" w:rsidRPr="00BC0B59">
              <w:rPr>
                <w:sz w:val="20"/>
              </w:rPr>
              <w:t>pon</w:t>
            </w:r>
            <w:proofErr w:type="gramEnd"/>
            <w:r w:rsidR="00BC0B59">
              <w:rPr>
                <w:sz w:val="20"/>
              </w:rPr>
              <w:t>.</w:t>
            </w:r>
            <w:r w:rsidR="0000684A">
              <w:rPr>
                <w:sz w:val="20"/>
              </w:rPr>
              <w:t xml:space="preserve"> </w:t>
            </w:r>
            <w:r w:rsidR="00BC0B59" w:rsidRPr="00BC0B59">
              <w:rPr>
                <w:sz w:val="20"/>
              </w:rPr>
              <w:t>EU donors are increasingly</w:t>
            </w:r>
            <w:r w:rsidR="00BC0B59">
              <w:rPr>
                <w:sz w:val="20"/>
              </w:rPr>
              <w:t xml:space="preserve"> </w:t>
            </w:r>
            <w:r w:rsidR="00BC0B59" w:rsidRPr="00BC0B59">
              <w:rPr>
                <w:sz w:val="20"/>
              </w:rPr>
              <w:t>recognised as a unified European voice in Zambia.</w:t>
            </w:r>
          </w:p>
        </w:tc>
      </w:tr>
      <w:tr w:rsidR="00520B5B" w:rsidRPr="001831C1" w:rsidTr="00B84732">
        <w:tc>
          <w:tcPr>
            <w:tcW w:w="1320" w:type="dxa"/>
            <w:tcBorders>
              <w:bottom w:val="thinThickSmallGap" w:sz="24" w:space="0" w:color="auto"/>
            </w:tcBorders>
            <w:shd w:val="clear" w:color="auto" w:fill="auto"/>
          </w:tcPr>
          <w:p w:rsidR="00520B5B" w:rsidRDefault="00FC1092" w:rsidP="00FC1092">
            <w:pPr>
              <w:spacing w:after="0" w:line="240" w:lineRule="auto"/>
              <w:rPr>
                <w:b/>
              </w:rPr>
            </w:pPr>
            <w:r>
              <w:rPr>
                <w:b/>
              </w:rPr>
              <w:t>COMOROS</w:t>
            </w:r>
          </w:p>
          <w:p w:rsidR="00DA4AFA" w:rsidRPr="00DA4AFA" w:rsidRDefault="00DA4AFA" w:rsidP="00FC1092">
            <w:pPr>
              <w:spacing w:after="0" w:line="240" w:lineRule="auto"/>
            </w:pPr>
            <w:r w:rsidRPr="00DA4AFA">
              <w:t>(LDC)</w:t>
            </w:r>
          </w:p>
        </w:tc>
        <w:tc>
          <w:tcPr>
            <w:tcW w:w="1200" w:type="dxa"/>
            <w:tcBorders>
              <w:bottom w:val="thinThickSmallGap" w:sz="24" w:space="0" w:color="auto"/>
            </w:tcBorders>
            <w:shd w:val="clear" w:color="auto" w:fill="auto"/>
          </w:tcPr>
          <w:p w:rsidR="00520B5B" w:rsidRPr="00695E80" w:rsidRDefault="00DA4AFA" w:rsidP="00FC1092">
            <w:pPr>
              <w:spacing w:after="0" w:line="240" w:lineRule="auto"/>
            </w:pPr>
            <w:r>
              <w:t>Joint Strategy</w:t>
            </w:r>
          </w:p>
        </w:tc>
        <w:tc>
          <w:tcPr>
            <w:tcW w:w="1200" w:type="dxa"/>
            <w:tcBorders>
              <w:bottom w:val="thinThickSmallGap" w:sz="24" w:space="0" w:color="auto"/>
            </w:tcBorders>
            <w:shd w:val="clear" w:color="auto" w:fill="auto"/>
          </w:tcPr>
          <w:p w:rsidR="00520B5B" w:rsidRDefault="004777D9" w:rsidP="00DA4AFA">
            <w:pPr>
              <w:spacing w:after="0" w:line="240" w:lineRule="auto"/>
            </w:pPr>
            <w:r w:rsidRPr="00695E80">
              <w:t>201</w:t>
            </w:r>
            <w:r w:rsidR="00DA4AFA">
              <w:t>4</w:t>
            </w:r>
            <w:r w:rsidRPr="00695E80">
              <w:t>-20</w:t>
            </w:r>
            <w:r w:rsidR="00DA4AFA">
              <w:t>19</w:t>
            </w:r>
          </w:p>
          <w:p w:rsidR="00DA4AFA" w:rsidRPr="00695E80" w:rsidRDefault="00DA4AFA" w:rsidP="00DA4AFA">
            <w:pPr>
              <w:spacing w:after="0" w:line="240" w:lineRule="auto"/>
            </w:pPr>
            <w:r>
              <w:t>SCA2D</w:t>
            </w:r>
          </w:p>
        </w:tc>
        <w:tc>
          <w:tcPr>
            <w:tcW w:w="6360" w:type="dxa"/>
            <w:tcBorders>
              <w:bottom w:val="thinThickSmallGap" w:sz="24" w:space="0" w:color="auto"/>
            </w:tcBorders>
            <w:shd w:val="clear" w:color="auto" w:fill="auto"/>
          </w:tcPr>
          <w:p w:rsidR="00520B5B" w:rsidRPr="00E03F42" w:rsidRDefault="00520B5B" w:rsidP="00FC1092">
            <w:pPr>
              <w:spacing w:after="0" w:line="240" w:lineRule="auto"/>
              <w:jc w:val="both"/>
              <w:rPr>
                <w:i/>
                <w:sz w:val="20"/>
                <w:u w:val="single"/>
              </w:rPr>
            </w:pPr>
            <w:r w:rsidRPr="00E03F42">
              <w:rPr>
                <w:i/>
                <w:sz w:val="20"/>
                <w:u w:val="single"/>
              </w:rPr>
              <w:t>Participating partners:</w:t>
            </w:r>
            <w:r w:rsidR="006E22E4" w:rsidRPr="00E03F42">
              <w:rPr>
                <w:i/>
                <w:sz w:val="20"/>
                <w:u w:val="single"/>
              </w:rPr>
              <w:t xml:space="preserve"> </w:t>
            </w:r>
            <w:r w:rsidRPr="00E03F42">
              <w:rPr>
                <w:i/>
                <w:sz w:val="20"/>
                <w:u w:val="single"/>
              </w:rPr>
              <w:t>France</w:t>
            </w:r>
          </w:p>
          <w:p w:rsidR="00520B5B" w:rsidRDefault="00DA4AFA" w:rsidP="00061F22">
            <w:pPr>
              <w:spacing w:after="0" w:line="240" w:lineRule="auto"/>
              <w:jc w:val="both"/>
              <w:rPr>
                <w:sz w:val="20"/>
              </w:rPr>
            </w:pPr>
            <w:r>
              <w:rPr>
                <w:sz w:val="20"/>
              </w:rPr>
              <w:t>T</w:t>
            </w:r>
            <w:r w:rsidRPr="00DA4AFA">
              <w:rPr>
                <w:sz w:val="20"/>
              </w:rPr>
              <w:t>he joint strategy</w:t>
            </w:r>
            <w:r>
              <w:rPr>
                <w:sz w:val="20"/>
              </w:rPr>
              <w:t xml:space="preserve"> 2015-2020</w:t>
            </w:r>
            <w:r w:rsidRPr="00DA4AFA">
              <w:rPr>
                <w:sz w:val="20"/>
              </w:rPr>
              <w:t xml:space="preserve"> brings an important force in dialogue with the government, especially on crucial issues such as education, democracy, human rights, and sustainable development.</w:t>
            </w:r>
          </w:p>
          <w:p w:rsidR="00DA4AFA" w:rsidRDefault="00DA4AFA" w:rsidP="00061F22">
            <w:pPr>
              <w:spacing w:after="0" w:line="240" w:lineRule="auto"/>
              <w:jc w:val="both"/>
              <w:rPr>
                <w:sz w:val="20"/>
              </w:rPr>
            </w:pPr>
            <w:r w:rsidRPr="00DA4AFA">
              <w:rPr>
                <w:sz w:val="20"/>
              </w:rPr>
              <w:t>The EU and France have been active in promoting the coordination of development partners, in particular in the areas of public finance, justice and economic governance</w:t>
            </w:r>
            <w:r>
              <w:rPr>
                <w:sz w:val="20"/>
              </w:rPr>
              <w:t>.</w:t>
            </w:r>
          </w:p>
          <w:p w:rsidR="00DA4AFA" w:rsidRPr="00E03F42" w:rsidRDefault="00DA4AFA" w:rsidP="00442AE1">
            <w:pPr>
              <w:spacing w:after="0" w:line="240" w:lineRule="auto"/>
              <w:jc w:val="both"/>
              <w:rPr>
                <w:sz w:val="20"/>
              </w:rPr>
            </w:pPr>
            <w:r w:rsidRPr="00DA4AFA">
              <w:rPr>
                <w:sz w:val="20"/>
              </w:rPr>
              <w:t>Joint Programming has not focused on migration and on the potential contribution to growth potential of the diaspora Comorian. The migration situation observed even more acute in recent months creates a fertile ground for the development of crises.</w:t>
            </w:r>
            <w:r w:rsidRPr="00E03F42">
              <w:rPr>
                <w:sz w:val="20"/>
              </w:rPr>
              <w:t xml:space="preserve"> </w:t>
            </w:r>
          </w:p>
        </w:tc>
      </w:tr>
      <w:tr w:rsidR="00B84732" w:rsidRPr="001831C1" w:rsidTr="00B84732">
        <w:tc>
          <w:tcPr>
            <w:tcW w:w="1320" w:type="dxa"/>
            <w:tcBorders>
              <w:top w:val="thinThickSmallGap" w:sz="24" w:space="0" w:color="auto"/>
            </w:tcBorders>
            <w:shd w:val="clear" w:color="auto" w:fill="auto"/>
          </w:tcPr>
          <w:p w:rsidR="00B84732" w:rsidRDefault="00141E2E" w:rsidP="00FC1092">
            <w:pPr>
              <w:spacing w:after="0" w:line="240" w:lineRule="auto"/>
              <w:rPr>
                <w:b/>
              </w:rPr>
            </w:pPr>
            <w:r>
              <w:rPr>
                <w:b/>
              </w:rPr>
              <w:t>ANGOLA</w:t>
            </w:r>
          </w:p>
          <w:p w:rsidR="00D90C37" w:rsidRPr="00155549" w:rsidRDefault="00D90C37" w:rsidP="00FC1092">
            <w:pPr>
              <w:spacing w:after="0" w:line="240" w:lineRule="auto"/>
            </w:pPr>
            <w:r w:rsidRPr="00155549">
              <w:t>(UMIC)</w:t>
            </w:r>
          </w:p>
        </w:tc>
        <w:tc>
          <w:tcPr>
            <w:tcW w:w="1200" w:type="dxa"/>
            <w:tcBorders>
              <w:top w:val="thinThickSmallGap" w:sz="24" w:space="0" w:color="auto"/>
            </w:tcBorders>
            <w:shd w:val="clear" w:color="auto" w:fill="auto"/>
          </w:tcPr>
          <w:p w:rsidR="00B84732" w:rsidRDefault="00D90C37" w:rsidP="00FC1092">
            <w:pPr>
              <w:spacing w:after="0" w:line="240" w:lineRule="auto"/>
            </w:pPr>
            <w:r>
              <w:t>Feasibility/ Scoping</w:t>
            </w:r>
          </w:p>
        </w:tc>
        <w:tc>
          <w:tcPr>
            <w:tcW w:w="1200" w:type="dxa"/>
            <w:tcBorders>
              <w:top w:val="thinThickSmallGap" w:sz="24" w:space="0" w:color="auto"/>
            </w:tcBorders>
            <w:shd w:val="clear" w:color="auto" w:fill="auto"/>
          </w:tcPr>
          <w:p w:rsidR="00B84732" w:rsidRPr="00695E80" w:rsidRDefault="00141E2E" w:rsidP="00DA4AFA">
            <w:pPr>
              <w:spacing w:after="0" w:line="240" w:lineRule="auto"/>
            </w:pPr>
            <w:r>
              <w:t>2013-2017</w:t>
            </w:r>
          </w:p>
        </w:tc>
        <w:tc>
          <w:tcPr>
            <w:tcW w:w="6360" w:type="dxa"/>
            <w:tcBorders>
              <w:top w:val="thinThickSmallGap" w:sz="24" w:space="0" w:color="auto"/>
            </w:tcBorders>
            <w:shd w:val="clear" w:color="auto" w:fill="auto"/>
          </w:tcPr>
          <w:p w:rsidR="00D90C37" w:rsidRPr="00D90C37" w:rsidRDefault="00D90C37" w:rsidP="00D90C37">
            <w:pPr>
              <w:spacing w:after="0" w:line="240" w:lineRule="auto"/>
              <w:jc w:val="both"/>
              <w:rPr>
                <w:i/>
                <w:sz w:val="20"/>
                <w:u w:val="single"/>
              </w:rPr>
            </w:pPr>
            <w:r w:rsidRPr="00D90C37">
              <w:rPr>
                <w:i/>
                <w:sz w:val="20"/>
                <w:u w:val="single"/>
              </w:rPr>
              <w:t xml:space="preserve">Participating partners: France, Germany, </w:t>
            </w:r>
            <w:r>
              <w:rPr>
                <w:i/>
                <w:sz w:val="20"/>
                <w:u w:val="single"/>
              </w:rPr>
              <w:t>Netherlands, Poland, Portugal, Spain</w:t>
            </w:r>
          </w:p>
          <w:p w:rsidR="00D90C37" w:rsidRPr="00D90C37" w:rsidRDefault="00D90C37" w:rsidP="00D90C37">
            <w:pPr>
              <w:spacing w:after="0" w:line="240" w:lineRule="auto"/>
              <w:jc w:val="both"/>
              <w:rPr>
                <w:sz w:val="20"/>
              </w:rPr>
            </w:pPr>
            <w:r w:rsidRPr="00D90C37">
              <w:rPr>
                <w:sz w:val="20"/>
              </w:rPr>
              <w:t>In early 2017, the EU D</w:t>
            </w:r>
            <w:r>
              <w:rPr>
                <w:sz w:val="20"/>
              </w:rPr>
              <w:t xml:space="preserve">elegation in agreement with MS </w:t>
            </w:r>
            <w:r w:rsidRPr="00D90C37">
              <w:rPr>
                <w:sz w:val="20"/>
              </w:rPr>
              <w:t>in Angola decided to act on the 2016 Council Conclusions</w:t>
            </w:r>
            <w:r>
              <w:rPr>
                <w:sz w:val="20"/>
              </w:rPr>
              <w:t xml:space="preserve"> on JP</w:t>
            </w:r>
            <w:r w:rsidRPr="00D90C37">
              <w:rPr>
                <w:sz w:val="20"/>
              </w:rPr>
              <w:t xml:space="preserve"> and investigate the possibility of pursuing </w:t>
            </w:r>
            <w:r>
              <w:rPr>
                <w:sz w:val="20"/>
              </w:rPr>
              <w:t>JP</w:t>
            </w:r>
            <w:r w:rsidRPr="00D90C37">
              <w:rPr>
                <w:sz w:val="20"/>
              </w:rPr>
              <w:t xml:space="preserve"> in Angola. Accordingly, a scoping mission</w:t>
            </w:r>
            <w:r>
              <w:rPr>
                <w:sz w:val="20"/>
              </w:rPr>
              <w:t xml:space="preserve"> by an external consultant</w:t>
            </w:r>
            <w:r w:rsidRPr="00D90C37">
              <w:rPr>
                <w:sz w:val="20"/>
              </w:rPr>
              <w:t xml:space="preserve"> </w:t>
            </w:r>
            <w:r>
              <w:rPr>
                <w:sz w:val="20"/>
              </w:rPr>
              <w:t>was</w:t>
            </w:r>
            <w:r w:rsidRPr="00D90C37">
              <w:rPr>
                <w:sz w:val="20"/>
              </w:rPr>
              <w:t xml:space="preserve"> planned </w:t>
            </w:r>
            <w:r>
              <w:rPr>
                <w:sz w:val="20"/>
              </w:rPr>
              <w:t xml:space="preserve">in September </w:t>
            </w:r>
            <w:r w:rsidRPr="00D90C37">
              <w:rPr>
                <w:sz w:val="20"/>
              </w:rPr>
              <w:t>2017</w:t>
            </w:r>
            <w:r>
              <w:rPr>
                <w:sz w:val="20"/>
              </w:rPr>
              <w:t>.</w:t>
            </w:r>
          </w:p>
        </w:tc>
      </w:tr>
      <w:tr w:rsidR="00B84732" w:rsidRPr="001831C1" w:rsidTr="00636CC4">
        <w:tc>
          <w:tcPr>
            <w:tcW w:w="1320" w:type="dxa"/>
            <w:shd w:val="clear" w:color="auto" w:fill="auto"/>
          </w:tcPr>
          <w:p w:rsidR="00B84732" w:rsidRDefault="00141E2E" w:rsidP="00FC1092">
            <w:pPr>
              <w:spacing w:after="0" w:line="240" w:lineRule="auto"/>
              <w:rPr>
                <w:b/>
                <w:sz w:val="20"/>
              </w:rPr>
            </w:pPr>
            <w:r w:rsidRPr="00B84732">
              <w:rPr>
                <w:b/>
                <w:sz w:val="20"/>
              </w:rPr>
              <w:t>MADAGASCAR</w:t>
            </w:r>
          </w:p>
          <w:p w:rsidR="00155549" w:rsidRPr="00155549" w:rsidRDefault="00155549" w:rsidP="00A65192">
            <w:pPr>
              <w:spacing w:after="0" w:line="240" w:lineRule="auto"/>
              <w:rPr>
                <w:sz w:val="20"/>
              </w:rPr>
            </w:pPr>
            <w:r w:rsidRPr="00155549">
              <w:rPr>
                <w:sz w:val="20"/>
              </w:rPr>
              <w:t>(L</w:t>
            </w:r>
            <w:r w:rsidR="00A65192">
              <w:rPr>
                <w:sz w:val="20"/>
              </w:rPr>
              <w:t>DC</w:t>
            </w:r>
            <w:r w:rsidRPr="00155549">
              <w:rPr>
                <w:sz w:val="20"/>
              </w:rPr>
              <w:t>)</w:t>
            </w:r>
          </w:p>
        </w:tc>
        <w:tc>
          <w:tcPr>
            <w:tcW w:w="1200" w:type="dxa"/>
            <w:shd w:val="clear" w:color="auto" w:fill="auto"/>
          </w:tcPr>
          <w:p w:rsidR="00B84732" w:rsidRDefault="00521432" w:rsidP="00FC1092">
            <w:pPr>
              <w:spacing w:after="0" w:line="240" w:lineRule="auto"/>
            </w:pPr>
            <w:r>
              <w:t>Feasibility/ scoping</w:t>
            </w:r>
          </w:p>
        </w:tc>
        <w:tc>
          <w:tcPr>
            <w:tcW w:w="1200" w:type="dxa"/>
            <w:shd w:val="clear" w:color="auto" w:fill="auto"/>
          </w:tcPr>
          <w:p w:rsidR="00B84732" w:rsidRPr="00695E80" w:rsidRDefault="00521432" w:rsidP="00DA4AFA">
            <w:pPr>
              <w:spacing w:after="0" w:line="240" w:lineRule="auto"/>
            </w:pPr>
            <w:r>
              <w:t>2016-2019</w:t>
            </w:r>
          </w:p>
        </w:tc>
        <w:tc>
          <w:tcPr>
            <w:tcW w:w="6360" w:type="dxa"/>
            <w:shd w:val="clear" w:color="auto" w:fill="auto"/>
          </w:tcPr>
          <w:p w:rsidR="00521432" w:rsidRPr="00521432" w:rsidRDefault="00521432" w:rsidP="00521432">
            <w:pPr>
              <w:spacing w:after="0" w:line="240" w:lineRule="auto"/>
              <w:jc w:val="both"/>
              <w:rPr>
                <w:i/>
                <w:sz w:val="20"/>
                <w:u w:val="single"/>
              </w:rPr>
            </w:pPr>
            <w:r w:rsidRPr="00521432">
              <w:rPr>
                <w:i/>
                <w:sz w:val="20"/>
                <w:u w:val="single"/>
              </w:rPr>
              <w:t>Participating partners: France, Germany, UK</w:t>
            </w:r>
          </w:p>
          <w:p w:rsidR="00B84732" w:rsidRDefault="00DA2F82" w:rsidP="00DA2F82">
            <w:pPr>
              <w:spacing w:after="0" w:line="240" w:lineRule="auto"/>
              <w:jc w:val="both"/>
              <w:rPr>
                <w:sz w:val="20"/>
              </w:rPr>
            </w:pPr>
            <w:r>
              <w:rPr>
                <w:sz w:val="20"/>
              </w:rPr>
              <w:t xml:space="preserve">Only the EU has a </w:t>
            </w:r>
            <w:r w:rsidRPr="00DA2F82">
              <w:rPr>
                <w:sz w:val="20"/>
              </w:rPr>
              <w:t>programming document, the NIP.</w:t>
            </w:r>
          </w:p>
          <w:p w:rsidR="00DA2F82" w:rsidRDefault="00DA2F82" w:rsidP="00DA2F82">
            <w:pPr>
              <w:spacing w:after="0" w:line="240" w:lineRule="auto"/>
              <w:jc w:val="both"/>
              <w:rPr>
                <w:sz w:val="20"/>
              </w:rPr>
            </w:pPr>
            <w:r>
              <w:rPr>
                <w:sz w:val="20"/>
              </w:rPr>
              <w:t>Next stages shall be to improve the mapping of interventions of EU+MS, then progress on joint analysis on priority dossiers and enhancing political dialogue</w:t>
            </w:r>
            <w:bookmarkStart w:id="1" w:name="_GoBack"/>
            <w:bookmarkEnd w:id="1"/>
          </w:p>
          <w:p w:rsidR="00DA2F82" w:rsidRPr="00521432" w:rsidRDefault="00DA2F82" w:rsidP="00DA2F82">
            <w:pPr>
              <w:spacing w:after="0" w:line="240" w:lineRule="auto"/>
              <w:jc w:val="both"/>
              <w:rPr>
                <w:sz w:val="20"/>
              </w:rPr>
            </w:pPr>
            <w:r>
              <w:rPr>
                <w:sz w:val="20"/>
              </w:rPr>
              <w:t>Madagascar is characterised by weak national institutions.</w:t>
            </w:r>
            <w:r>
              <w:t xml:space="preserve"> </w:t>
            </w:r>
            <w:r w:rsidRPr="00DA2F82">
              <w:rPr>
                <w:sz w:val="20"/>
              </w:rPr>
              <w:t>There is a clear lack of commitment and follow-up by the government in relation to the co-ordination system that has been formally adopted.</w:t>
            </w:r>
          </w:p>
        </w:tc>
      </w:tr>
      <w:tr w:rsidR="00B84732" w:rsidRPr="001831C1" w:rsidTr="00636CC4">
        <w:tc>
          <w:tcPr>
            <w:tcW w:w="1320" w:type="dxa"/>
            <w:shd w:val="clear" w:color="auto" w:fill="auto"/>
          </w:tcPr>
          <w:p w:rsidR="00B84732" w:rsidRDefault="00141E2E" w:rsidP="00FC1092">
            <w:pPr>
              <w:spacing w:after="0" w:line="240" w:lineRule="auto"/>
              <w:rPr>
                <w:b/>
              </w:rPr>
            </w:pPr>
            <w:r>
              <w:rPr>
                <w:b/>
              </w:rPr>
              <w:t>MALAWI</w:t>
            </w:r>
          </w:p>
          <w:p w:rsidR="00F33EB9" w:rsidRPr="00F33EB9" w:rsidRDefault="00F33EB9" w:rsidP="00FC1092">
            <w:pPr>
              <w:spacing w:after="0" w:line="240" w:lineRule="auto"/>
            </w:pPr>
            <w:r w:rsidRPr="00F33EB9">
              <w:t>(LDC)</w:t>
            </w:r>
          </w:p>
        </w:tc>
        <w:tc>
          <w:tcPr>
            <w:tcW w:w="1200" w:type="dxa"/>
            <w:shd w:val="clear" w:color="auto" w:fill="auto"/>
          </w:tcPr>
          <w:p w:rsidR="00B84732" w:rsidRDefault="00A061D6" w:rsidP="00FC1092">
            <w:pPr>
              <w:spacing w:after="0" w:line="240" w:lineRule="auto"/>
            </w:pPr>
            <w:r>
              <w:t>Roadmap</w:t>
            </w:r>
          </w:p>
        </w:tc>
        <w:tc>
          <w:tcPr>
            <w:tcW w:w="1200" w:type="dxa"/>
            <w:shd w:val="clear" w:color="auto" w:fill="auto"/>
          </w:tcPr>
          <w:p w:rsidR="00B84732" w:rsidRPr="00695E80" w:rsidRDefault="00A061D6" w:rsidP="00DA4AFA">
            <w:pPr>
              <w:spacing w:after="0" w:line="240" w:lineRule="auto"/>
            </w:pPr>
            <w:r>
              <w:t>2016-2020</w:t>
            </w:r>
          </w:p>
        </w:tc>
        <w:tc>
          <w:tcPr>
            <w:tcW w:w="6360" w:type="dxa"/>
            <w:shd w:val="clear" w:color="auto" w:fill="auto"/>
          </w:tcPr>
          <w:p w:rsidR="00A061D6" w:rsidRDefault="00A061D6" w:rsidP="00A061D6">
            <w:pPr>
              <w:spacing w:after="0" w:line="240" w:lineRule="auto"/>
              <w:jc w:val="both"/>
              <w:rPr>
                <w:i/>
                <w:sz w:val="20"/>
                <w:u w:val="single"/>
              </w:rPr>
            </w:pPr>
            <w:r w:rsidRPr="00A061D6">
              <w:rPr>
                <w:i/>
                <w:sz w:val="20"/>
                <w:u w:val="single"/>
              </w:rPr>
              <w:t xml:space="preserve">Participating partners: </w:t>
            </w:r>
            <w:r>
              <w:rPr>
                <w:i/>
                <w:sz w:val="20"/>
                <w:u w:val="single"/>
              </w:rPr>
              <w:t xml:space="preserve">Belgium, </w:t>
            </w:r>
            <w:r w:rsidRPr="00A061D6">
              <w:rPr>
                <w:i/>
                <w:sz w:val="20"/>
                <w:u w:val="single"/>
              </w:rPr>
              <w:t>France</w:t>
            </w:r>
            <w:r>
              <w:rPr>
                <w:i/>
                <w:sz w:val="20"/>
                <w:u w:val="single"/>
              </w:rPr>
              <w:t>, Germany, Ireland, UK +Norway</w:t>
            </w:r>
          </w:p>
          <w:p w:rsidR="00F33EB9" w:rsidRDefault="00F33EB9" w:rsidP="00A061D6">
            <w:pPr>
              <w:spacing w:after="0" w:line="240" w:lineRule="auto"/>
              <w:jc w:val="both"/>
              <w:rPr>
                <w:sz w:val="20"/>
              </w:rPr>
            </w:pPr>
            <w:r w:rsidRPr="00F33EB9">
              <w:rPr>
                <w:sz w:val="20"/>
              </w:rPr>
              <w:t>In the Malawian context, avoiding fragmentation and engaging Government collectively is critical to increase leverage and bring about positive change.</w:t>
            </w:r>
            <w:r>
              <w:rPr>
                <w:sz w:val="20"/>
              </w:rPr>
              <w:t xml:space="preserve"> </w:t>
            </w:r>
            <w:r w:rsidRPr="00F33EB9">
              <w:rPr>
                <w:sz w:val="20"/>
              </w:rPr>
              <w:t>The emphasis at this stage on joint implementation is consistent with the broader context of donor coordination in Malawi.</w:t>
            </w:r>
            <w:r>
              <w:rPr>
                <w:sz w:val="20"/>
              </w:rPr>
              <w:t xml:space="preserve"> Malawi is in the process of agreeing its new </w:t>
            </w:r>
            <w:r w:rsidRPr="00A061D6">
              <w:rPr>
                <w:sz w:val="20"/>
              </w:rPr>
              <w:t>Malawi Growth and Development Strategy</w:t>
            </w:r>
            <w:r>
              <w:rPr>
                <w:sz w:val="20"/>
              </w:rPr>
              <w:t xml:space="preserve"> III</w:t>
            </w:r>
            <w:r w:rsidR="00C23936">
              <w:rPr>
                <w:sz w:val="20"/>
              </w:rPr>
              <w:t xml:space="preserve"> 2017-2022 in the coming weeks</w:t>
            </w:r>
            <w:r>
              <w:rPr>
                <w:sz w:val="20"/>
              </w:rPr>
              <w:t>.</w:t>
            </w:r>
          </w:p>
          <w:p w:rsidR="00B84732" w:rsidRPr="00E03F42" w:rsidRDefault="00F33EB9" w:rsidP="00F33EB9">
            <w:pPr>
              <w:spacing w:after="0" w:line="240" w:lineRule="auto"/>
              <w:jc w:val="both"/>
              <w:rPr>
                <w:i/>
                <w:sz w:val="20"/>
                <w:u w:val="single"/>
              </w:rPr>
            </w:pPr>
            <w:r w:rsidRPr="00F33EB9">
              <w:rPr>
                <w:sz w:val="20"/>
              </w:rPr>
              <w:t>Such Plan once developed could serve as a meaningful platform for DPs to align their own strategies, including in the context of Joint Programming.</w:t>
            </w:r>
            <w:r>
              <w:t xml:space="preserve"> </w:t>
            </w:r>
            <w:r w:rsidRPr="00F33EB9">
              <w:rPr>
                <w:sz w:val="20"/>
              </w:rPr>
              <w:lastRenderedPageBreak/>
              <w:t>Once the new National Development Plan is in place</w:t>
            </w:r>
            <w:r>
              <w:rPr>
                <w:sz w:val="20"/>
              </w:rPr>
              <w:t>,</w:t>
            </w:r>
            <w:r w:rsidRPr="00F33EB9">
              <w:rPr>
                <w:sz w:val="20"/>
              </w:rPr>
              <w:t xml:space="preserve"> the EU+ may consider the opportunity to make a Joint</w:t>
            </w:r>
            <w:r>
              <w:rPr>
                <w:sz w:val="20"/>
              </w:rPr>
              <w:t xml:space="preserve"> </w:t>
            </w:r>
            <w:r w:rsidRPr="00F33EB9">
              <w:rPr>
                <w:sz w:val="20"/>
              </w:rPr>
              <w:t xml:space="preserve">Assessment of Malawi's National Strategy that includes an indicative division of labour between the EU, </w:t>
            </w:r>
            <w:r>
              <w:rPr>
                <w:sz w:val="20"/>
              </w:rPr>
              <w:t>MS</w:t>
            </w:r>
            <w:r w:rsidRPr="00F33EB9">
              <w:rPr>
                <w:sz w:val="20"/>
              </w:rPr>
              <w:t xml:space="preserve"> and Norway.</w:t>
            </w:r>
          </w:p>
        </w:tc>
      </w:tr>
      <w:tr w:rsidR="00B84732" w:rsidRPr="001831C1" w:rsidTr="00636CC4">
        <w:tc>
          <w:tcPr>
            <w:tcW w:w="1320" w:type="dxa"/>
            <w:shd w:val="clear" w:color="auto" w:fill="auto"/>
          </w:tcPr>
          <w:p w:rsidR="00B84732" w:rsidRDefault="00141E2E" w:rsidP="00FC1092">
            <w:pPr>
              <w:spacing w:after="0" w:line="240" w:lineRule="auto"/>
              <w:rPr>
                <w:b/>
                <w:sz w:val="20"/>
              </w:rPr>
            </w:pPr>
            <w:r w:rsidRPr="00B84732">
              <w:rPr>
                <w:b/>
                <w:sz w:val="20"/>
              </w:rPr>
              <w:lastRenderedPageBreak/>
              <w:t>MOZAMBIQUE</w:t>
            </w:r>
          </w:p>
          <w:p w:rsidR="00F33EB9" w:rsidRPr="00F33EB9" w:rsidRDefault="00F33EB9" w:rsidP="00FC1092">
            <w:pPr>
              <w:spacing w:after="0" w:line="240" w:lineRule="auto"/>
              <w:rPr>
                <w:sz w:val="20"/>
              </w:rPr>
            </w:pPr>
            <w:r w:rsidRPr="00F33EB9">
              <w:rPr>
                <w:sz w:val="20"/>
              </w:rPr>
              <w:t>(LDC)</w:t>
            </w:r>
          </w:p>
        </w:tc>
        <w:tc>
          <w:tcPr>
            <w:tcW w:w="1200" w:type="dxa"/>
            <w:shd w:val="clear" w:color="auto" w:fill="auto"/>
          </w:tcPr>
          <w:p w:rsidR="00B84732" w:rsidRDefault="00F33EB9" w:rsidP="00FC1092">
            <w:pPr>
              <w:spacing w:after="0" w:line="240" w:lineRule="auto"/>
            </w:pPr>
            <w:r>
              <w:t>Joint Analysis (frozen)</w:t>
            </w:r>
          </w:p>
        </w:tc>
        <w:tc>
          <w:tcPr>
            <w:tcW w:w="1200" w:type="dxa"/>
            <w:shd w:val="clear" w:color="auto" w:fill="auto"/>
          </w:tcPr>
          <w:p w:rsidR="00B84732" w:rsidRPr="00695E80" w:rsidRDefault="00141E2E" w:rsidP="00DA4AFA">
            <w:pPr>
              <w:spacing w:after="0" w:line="240" w:lineRule="auto"/>
            </w:pPr>
            <w:r>
              <w:t>2014-2017</w:t>
            </w:r>
          </w:p>
        </w:tc>
        <w:tc>
          <w:tcPr>
            <w:tcW w:w="6360" w:type="dxa"/>
            <w:shd w:val="clear" w:color="auto" w:fill="auto"/>
          </w:tcPr>
          <w:p w:rsidR="00F33EB9" w:rsidRPr="00F33EB9" w:rsidRDefault="00F33EB9" w:rsidP="00F33EB9">
            <w:pPr>
              <w:spacing w:after="0" w:line="240" w:lineRule="auto"/>
              <w:jc w:val="both"/>
              <w:rPr>
                <w:i/>
                <w:sz w:val="20"/>
                <w:u w:val="single"/>
              </w:rPr>
            </w:pPr>
            <w:r w:rsidRPr="00F33EB9">
              <w:rPr>
                <w:i/>
                <w:sz w:val="20"/>
                <w:u w:val="single"/>
              </w:rPr>
              <w:t xml:space="preserve">Participating partners: </w:t>
            </w:r>
            <w:r>
              <w:rPr>
                <w:i/>
                <w:sz w:val="20"/>
                <w:u w:val="single"/>
              </w:rPr>
              <w:t xml:space="preserve">Austria, </w:t>
            </w:r>
            <w:r w:rsidRPr="00F33EB9">
              <w:rPr>
                <w:i/>
                <w:sz w:val="20"/>
                <w:u w:val="single"/>
              </w:rPr>
              <w:t>Belgium,</w:t>
            </w:r>
            <w:r>
              <w:rPr>
                <w:i/>
                <w:sz w:val="20"/>
                <w:u w:val="single"/>
              </w:rPr>
              <w:t xml:space="preserve"> Denmark,</w:t>
            </w:r>
            <w:r w:rsidRPr="00F33EB9">
              <w:rPr>
                <w:i/>
                <w:sz w:val="20"/>
                <w:u w:val="single"/>
              </w:rPr>
              <w:t xml:space="preserve"> </w:t>
            </w:r>
            <w:r>
              <w:rPr>
                <w:i/>
                <w:sz w:val="20"/>
                <w:u w:val="single"/>
              </w:rPr>
              <w:t xml:space="preserve">Finland, </w:t>
            </w:r>
            <w:r w:rsidRPr="00F33EB9">
              <w:rPr>
                <w:i/>
                <w:sz w:val="20"/>
                <w:u w:val="single"/>
              </w:rPr>
              <w:t>France, Germany, Ireland,</w:t>
            </w:r>
            <w:r>
              <w:rPr>
                <w:i/>
                <w:sz w:val="20"/>
                <w:u w:val="single"/>
              </w:rPr>
              <w:t xml:space="preserve"> Italy, Netherlands, Portugal, Spain, Sweden, </w:t>
            </w:r>
            <w:r w:rsidRPr="00F33EB9">
              <w:rPr>
                <w:i/>
                <w:sz w:val="20"/>
                <w:u w:val="single"/>
              </w:rPr>
              <w:t>U</w:t>
            </w:r>
            <w:r>
              <w:rPr>
                <w:i/>
                <w:sz w:val="20"/>
                <w:u w:val="single"/>
              </w:rPr>
              <w:t>K</w:t>
            </w:r>
          </w:p>
          <w:p w:rsidR="00225CDF" w:rsidRDefault="00225CDF" w:rsidP="00225CDF">
            <w:pPr>
              <w:spacing w:after="0" w:line="240" w:lineRule="auto"/>
              <w:jc w:val="both"/>
              <w:rPr>
                <w:sz w:val="20"/>
              </w:rPr>
            </w:pPr>
            <w:r w:rsidRPr="00225CDF">
              <w:rPr>
                <w:sz w:val="20"/>
              </w:rPr>
              <w:t>The JP continues to focus mainly on development cooperation. However, the EUD has made efforts</w:t>
            </w:r>
            <w:r>
              <w:rPr>
                <w:sz w:val="20"/>
              </w:rPr>
              <w:t xml:space="preserve"> </w:t>
            </w:r>
            <w:r w:rsidRPr="00225CDF">
              <w:rPr>
                <w:sz w:val="20"/>
              </w:rPr>
              <w:t>to broaden the spectrum of issues covered to include topics like trade</w:t>
            </w:r>
            <w:r>
              <w:rPr>
                <w:sz w:val="20"/>
              </w:rPr>
              <w:t>.</w:t>
            </w:r>
          </w:p>
          <w:p w:rsidR="00225CDF" w:rsidRDefault="00225CDF" w:rsidP="00225CDF">
            <w:pPr>
              <w:spacing w:after="0" w:line="240" w:lineRule="auto"/>
              <w:jc w:val="both"/>
              <w:rPr>
                <w:sz w:val="20"/>
              </w:rPr>
            </w:pPr>
            <w:r>
              <w:rPr>
                <w:sz w:val="20"/>
              </w:rPr>
              <w:t>T</w:t>
            </w:r>
            <w:r w:rsidRPr="00225CDF">
              <w:rPr>
                <w:sz w:val="20"/>
              </w:rPr>
              <w:t>he main reason why JP is only implemented on a rather limited scale relates to the already</w:t>
            </w:r>
            <w:r>
              <w:rPr>
                <w:sz w:val="20"/>
              </w:rPr>
              <w:t xml:space="preserve"> </w:t>
            </w:r>
            <w:r w:rsidRPr="00225CDF">
              <w:rPr>
                <w:sz w:val="20"/>
              </w:rPr>
              <w:t>complex aid coordination architecture in place comprising EU and non-EU development partners. The</w:t>
            </w:r>
            <w:r>
              <w:rPr>
                <w:sz w:val="20"/>
              </w:rPr>
              <w:t xml:space="preserve"> </w:t>
            </w:r>
            <w:r w:rsidRPr="00225CDF">
              <w:rPr>
                <w:sz w:val="20"/>
              </w:rPr>
              <w:t xml:space="preserve">value added for </w:t>
            </w:r>
            <w:r>
              <w:rPr>
                <w:sz w:val="20"/>
              </w:rPr>
              <w:t>JP</w:t>
            </w:r>
            <w:r w:rsidRPr="00225CDF">
              <w:rPr>
                <w:sz w:val="20"/>
              </w:rPr>
              <w:t xml:space="preserve"> coordination effort amongst the EU partners only is perceived as</w:t>
            </w:r>
            <w:r>
              <w:rPr>
                <w:sz w:val="20"/>
              </w:rPr>
              <w:t xml:space="preserve"> </w:t>
            </w:r>
            <w:r w:rsidRPr="00225CDF">
              <w:rPr>
                <w:sz w:val="20"/>
              </w:rPr>
              <w:t>limited.</w:t>
            </w:r>
          </w:p>
          <w:p w:rsidR="00225CDF" w:rsidRPr="00225CDF" w:rsidRDefault="00225CDF" w:rsidP="00225CDF">
            <w:pPr>
              <w:spacing w:after="0" w:line="240" w:lineRule="auto"/>
              <w:jc w:val="both"/>
              <w:rPr>
                <w:sz w:val="20"/>
              </w:rPr>
            </w:pPr>
            <w:r w:rsidRPr="00225CDF">
              <w:rPr>
                <w:sz w:val="20"/>
              </w:rPr>
              <w:t xml:space="preserve">As far as the JP roadmap is concerned, EU </w:t>
            </w:r>
            <w:proofErr w:type="spellStart"/>
            <w:r w:rsidRPr="00225CDF">
              <w:rPr>
                <w:sz w:val="20"/>
              </w:rPr>
              <w:t>HoMs</w:t>
            </w:r>
            <w:proofErr w:type="spellEnd"/>
            <w:r w:rsidRPr="00225CDF">
              <w:rPr>
                <w:sz w:val="20"/>
              </w:rPr>
              <w:t xml:space="preserve"> are of the opinion that due to Mozambique's</w:t>
            </w:r>
            <w:r>
              <w:rPr>
                <w:sz w:val="20"/>
              </w:rPr>
              <w:t xml:space="preserve"> </w:t>
            </w:r>
            <w:r w:rsidRPr="00225CDF">
              <w:rPr>
                <w:sz w:val="20"/>
              </w:rPr>
              <w:t>current context, namely the multiple development challenges exacerbated by the on-going economic</w:t>
            </w:r>
            <w:r>
              <w:rPr>
                <w:sz w:val="20"/>
              </w:rPr>
              <w:t xml:space="preserve"> </w:t>
            </w:r>
            <w:r w:rsidRPr="00225CDF">
              <w:rPr>
                <w:sz w:val="20"/>
              </w:rPr>
              <w:t>and financial crisis and the political and military tensions, it makes sense to continue with the</w:t>
            </w:r>
            <w:r>
              <w:rPr>
                <w:sz w:val="20"/>
              </w:rPr>
              <w:t xml:space="preserve"> </w:t>
            </w:r>
            <w:r w:rsidRPr="00225CDF">
              <w:rPr>
                <w:sz w:val="20"/>
              </w:rPr>
              <w:t>pragmatic approach that has been pursued until now.</w:t>
            </w:r>
          </w:p>
          <w:p w:rsidR="00225CDF" w:rsidRPr="00F33EB9" w:rsidRDefault="00225CDF" w:rsidP="00225CDF">
            <w:pPr>
              <w:spacing w:after="0" w:line="240" w:lineRule="auto"/>
              <w:jc w:val="both"/>
              <w:rPr>
                <w:sz w:val="20"/>
              </w:rPr>
            </w:pPr>
            <w:r w:rsidRPr="00225CDF">
              <w:rPr>
                <w:sz w:val="20"/>
              </w:rPr>
              <w:t>This means that the Delegation and MS will continue to share information and engage in joint</w:t>
            </w:r>
            <w:r>
              <w:rPr>
                <w:sz w:val="20"/>
              </w:rPr>
              <w:t xml:space="preserve"> </w:t>
            </w:r>
            <w:r w:rsidRPr="00225CDF">
              <w:rPr>
                <w:sz w:val="20"/>
              </w:rPr>
              <w:t>analysis and joint monitoring, and seek joint actions, or complementarity, with the prospect of better</w:t>
            </w:r>
            <w:r>
              <w:rPr>
                <w:sz w:val="20"/>
              </w:rPr>
              <w:t xml:space="preserve"> </w:t>
            </w:r>
            <w:r w:rsidRPr="00225CDF">
              <w:rPr>
                <w:sz w:val="20"/>
              </w:rPr>
              <w:t>integrated programmes in a given geographical area and coordinated measures when providing</w:t>
            </w:r>
            <w:r>
              <w:rPr>
                <w:sz w:val="20"/>
              </w:rPr>
              <w:t xml:space="preserve"> </w:t>
            </w:r>
            <w:r w:rsidRPr="00225CDF">
              <w:rPr>
                <w:sz w:val="20"/>
              </w:rPr>
              <w:t>sector support.</w:t>
            </w:r>
          </w:p>
        </w:tc>
      </w:tr>
      <w:tr w:rsidR="00520B5B" w:rsidRPr="00DB67F3" w:rsidTr="003F62C9">
        <w:tc>
          <w:tcPr>
            <w:tcW w:w="3720" w:type="dxa"/>
            <w:gridSpan w:val="3"/>
            <w:tcBorders>
              <w:top w:val="thinThickSmallGap" w:sz="24" w:space="0" w:color="auto"/>
              <w:bottom w:val="thinThickSmallGap" w:sz="24" w:space="0" w:color="auto"/>
            </w:tcBorders>
            <w:shd w:val="clear" w:color="auto" w:fill="auto"/>
            <w:vAlign w:val="center"/>
          </w:tcPr>
          <w:p w:rsidR="000D3B80" w:rsidRPr="000D3B80" w:rsidRDefault="000D3B80" w:rsidP="00FC1092">
            <w:pPr>
              <w:spacing w:after="0" w:line="240" w:lineRule="auto"/>
              <w:rPr>
                <w:i/>
              </w:rPr>
            </w:pPr>
            <w:r w:rsidRPr="000D3B80">
              <w:rPr>
                <w:i/>
              </w:rPr>
              <w:t>NO ONGOING JP PROCESS:</w:t>
            </w:r>
          </w:p>
          <w:p w:rsidR="00520B5B" w:rsidRPr="00E83D6B" w:rsidRDefault="00141E2E" w:rsidP="00FC1092">
            <w:pPr>
              <w:spacing w:after="0" w:line="240" w:lineRule="auto"/>
              <w:rPr>
                <w:b/>
              </w:rPr>
            </w:pPr>
            <w:r w:rsidRPr="00E83D6B">
              <w:rPr>
                <w:b/>
              </w:rPr>
              <w:t>BOTSWANA-LESOTHO- SOUTH AFRICA-SWAZILAND-ZIMBABWE</w:t>
            </w:r>
          </w:p>
          <w:p w:rsidR="00E83D6B" w:rsidRPr="00E83D6B" w:rsidRDefault="00141E2E" w:rsidP="00FC1092">
            <w:pPr>
              <w:spacing w:after="0" w:line="240" w:lineRule="auto"/>
              <w:rPr>
                <w:b/>
              </w:rPr>
            </w:pPr>
            <w:r>
              <w:rPr>
                <w:b/>
              </w:rPr>
              <w:t>MAURITIUS-SEYCHELLES</w:t>
            </w:r>
          </w:p>
        </w:tc>
        <w:tc>
          <w:tcPr>
            <w:tcW w:w="6360" w:type="dxa"/>
            <w:tcBorders>
              <w:top w:val="thinThickSmallGap" w:sz="24" w:space="0" w:color="auto"/>
              <w:bottom w:val="thinThickSmallGap" w:sz="24" w:space="0" w:color="auto"/>
            </w:tcBorders>
            <w:shd w:val="clear" w:color="auto" w:fill="auto"/>
            <w:vAlign w:val="center"/>
          </w:tcPr>
          <w:p w:rsidR="00520B5B" w:rsidRPr="00BA1771" w:rsidRDefault="006D1E18" w:rsidP="00E83D6B">
            <w:pPr>
              <w:spacing w:after="0" w:line="240" w:lineRule="auto"/>
              <w:jc w:val="both"/>
              <w:rPr>
                <w:b/>
              </w:rPr>
            </w:pPr>
            <w:r w:rsidRPr="00BA1771">
              <w:rPr>
                <w:b/>
              </w:rPr>
              <w:t xml:space="preserve">JP </w:t>
            </w:r>
            <w:r w:rsidR="00B203EA">
              <w:rPr>
                <w:b/>
              </w:rPr>
              <w:t xml:space="preserve">State of Play </w:t>
            </w:r>
          </w:p>
          <w:p w:rsidR="000D3B80" w:rsidRDefault="000D3B80" w:rsidP="00E83D6B">
            <w:pPr>
              <w:spacing w:after="0" w:line="240" w:lineRule="auto"/>
              <w:jc w:val="both"/>
            </w:pPr>
          </w:p>
          <w:p w:rsidR="00141E2E" w:rsidRDefault="00141E2E" w:rsidP="00E83D6B">
            <w:pPr>
              <w:spacing w:after="0" w:line="240" w:lineRule="auto"/>
              <w:jc w:val="both"/>
            </w:pPr>
            <w:r>
              <w:t>Based on Heads of Mission reports:</w:t>
            </w:r>
          </w:p>
          <w:p w:rsidR="00141E2E" w:rsidRDefault="00141E2E" w:rsidP="0060258D">
            <w:pPr>
              <w:pStyle w:val="ListParagraph"/>
              <w:numPr>
                <w:ilvl w:val="0"/>
                <w:numId w:val="20"/>
              </w:numPr>
              <w:ind w:left="480" w:hanging="284"/>
              <w:jc w:val="both"/>
            </w:pPr>
            <w:r w:rsidRPr="00BA1771">
              <w:rPr>
                <w:b/>
              </w:rPr>
              <w:t>Botswana</w:t>
            </w:r>
            <w:r>
              <w:t>: France, Germany, UK present. EU MS do not have programmable resources for bilateral cooperation, but provide some limited resources for specific programmes. In terms of future prospects for JP, in absence of programmable resources from MS, there is no real scope for combining ad hoc resources in one strategy.</w:t>
            </w:r>
          </w:p>
          <w:p w:rsidR="00141E2E" w:rsidRDefault="00141E2E" w:rsidP="0060258D">
            <w:pPr>
              <w:pStyle w:val="ListParagraph"/>
              <w:numPr>
                <w:ilvl w:val="0"/>
                <w:numId w:val="20"/>
              </w:numPr>
              <w:ind w:left="480" w:hanging="284"/>
              <w:jc w:val="both"/>
            </w:pPr>
            <w:r w:rsidRPr="00BA1771">
              <w:rPr>
                <w:b/>
              </w:rPr>
              <w:t>Zimbabwe</w:t>
            </w:r>
            <w:r>
              <w:t xml:space="preserve">: France, Sweden, UK present. </w:t>
            </w:r>
            <w:r w:rsidRPr="00141E2E">
              <w:t>While several member States have a substantial development cooperation portfolio, so far only the EU has signed a programming document with the Gov</w:t>
            </w:r>
            <w:r>
              <w:t xml:space="preserve">. </w:t>
            </w:r>
            <w:r w:rsidRPr="00141E2E">
              <w:t>Although EU Head</w:t>
            </w:r>
            <w:r>
              <w:t>s</w:t>
            </w:r>
            <w:r w:rsidRPr="00141E2E">
              <w:t xml:space="preserve"> of Mission agree that</w:t>
            </w:r>
            <w:r>
              <w:t>,</w:t>
            </w:r>
            <w:r w:rsidRPr="00141E2E">
              <w:t xml:space="preserve"> for the time being</w:t>
            </w:r>
            <w:r>
              <w:t>,</w:t>
            </w:r>
            <w:r w:rsidRPr="00141E2E">
              <w:t xml:space="preserve"> it would be difficult to move to formal J</w:t>
            </w:r>
            <w:r>
              <w:t>P</w:t>
            </w:r>
            <w:r w:rsidRPr="00141E2E">
              <w:t>, good progress can be reported in terms of having joint programmes and closer coordination at policy level</w:t>
            </w:r>
            <w:r w:rsidR="000D3B80">
              <w:t>.</w:t>
            </w:r>
          </w:p>
          <w:p w:rsidR="000D3B80" w:rsidRDefault="000D3B80" w:rsidP="000D3B80">
            <w:pPr>
              <w:spacing w:after="0"/>
              <w:jc w:val="both"/>
            </w:pPr>
          </w:p>
          <w:p w:rsidR="000D3B80" w:rsidRDefault="000D3B80" w:rsidP="000D3B80">
            <w:pPr>
              <w:spacing w:after="0"/>
              <w:jc w:val="both"/>
            </w:pPr>
            <w:r>
              <w:t>Based on reporting back ahead of the JP workshop:</w:t>
            </w:r>
          </w:p>
          <w:p w:rsidR="000D3B80" w:rsidRDefault="000D3B80" w:rsidP="000D3B80">
            <w:pPr>
              <w:pStyle w:val="ListParagraph"/>
              <w:numPr>
                <w:ilvl w:val="0"/>
                <w:numId w:val="20"/>
              </w:numPr>
              <w:ind w:left="480" w:hanging="284"/>
              <w:jc w:val="both"/>
            </w:pPr>
            <w:r>
              <w:rPr>
                <w:b/>
              </w:rPr>
              <w:t>Swaziland</w:t>
            </w:r>
            <w:r w:rsidRPr="000D3B80">
              <w:t>:</w:t>
            </w:r>
            <w:r>
              <w:t xml:space="preserve"> No resident EU MS in the country. </w:t>
            </w:r>
          </w:p>
          <w:p w:rsidR="000D3B80" w:rsidRDefault="000D3B80" w:rsidP="000D3B80">
            <w:pPr>
              <w:pStyle w:val="ListParagraph"/>
              <w:ind w:left="480"/>
              <w:jc w:val="both"/>
            </w:pPr>
            <w:r>
              <w:t>(</w:t>
            </w:r>
            <w:r w:rsidRPr="000D3B80">
              <w:rPr>
                <w:i/>
              </w:rPr>
              <w:t>National Development Strategy: Vision 2022</w:t>
            </w:r>
            <w:r>
              <w:t xml:space="preserve">) </w:t>
            </w:r>
            <w:r w:rsidRPr="000D3B80">
              <w:t>On-going review of the NDS by the Ministry of Ec</w:t>
            </w:r>
            <w:r>
              <w:t>onomic Planning and Development</w:t>
            </w:r>
            <w:r w:rsidRPr="000D3B80">
              <w:t xml:space="preserve"> to align to the </w:t>
            </w:r>
            <w:r>
              <w:t>2030 Agenda and SDGs</w:t>
            </w:r>
            <w:r w:rsidRPr="000D3B80">
              <w:t xml:space="preserve"> and Agenda 2063 of the A</w:t>
            </w:r>
            <w:r>
              <w:t xml:space="preserve">U. EUD Swaziland shares information on regular basis with MS based in Mozambique and South Africa (e.g. through </w:t>
            </w:r>
            <w:proofErr w:type="spellStart"/>
            <w:r>
              <w:t>HoMS</w:t>
            </w:r>
            <w:proofErr w:type="spellEnd"/>
            <w:r>
              <w:t xml:space="preserve"> meeting or </w:t>
            </w:r>
            <w:proofErr w:type="spellStart"/>
            <w:r>
              <w:t>HoC</w:t>
            </w:r>
            <w:proofErr w:type="spellEnd"/>
            <w:r>
              <w:t xml:space="preserve"> meetings/contacts with counterparts). The EUD Swaziland is trying to build more contacts with MS counterparts despite the distance, in the hope of creating avenues for cooperation and to foster trade/ business/political relations between EU/ Swaziland/ neighbouring countries. </w:t>
            </w:r>
          </w:p>
          <w:p w:rsidR="000D3B80" w:rsidRDefault="000D3B80" w:rsidP="000D3B80">
            <w:pPr>
              <w:pStyle w:val="ListParagraph"/>
              <w:ind w:left="480"/>
              <w:jc w:val="both"/>
            </w:pPr>
            <w:r>
              <w:t xml:space="preserve">To note EUD Swaziland has regular bilateral meetings with UN agencies, WB and other development partners in the country like US, China (Taiwan). However there was no division of labour meeting since 2012. The NAO, on the request of the EU, </w:t>
            </w:r>
            <w:r>
              <w:lastRenderedPageBreak/>
              <w:t>is now organising since 2016 a yearly Development partners’ meeting to coordinate efforts and review aid effectiveness approaches in the country. The EU Delegation has also fully supported the Ministry of Agriculture to establish a single steering committee for cooperation in the agriculture sector across development partners and projects. The EU Head of Cooperation is an active member of the Country Coordinating Mechanism (CCM) of the Global Fund for HIV/AIDS/TB, in view of the global support from EU and its Member States to this instrument at global level.</w:t>
            </w:r>
          </w:p>
          <w:p w:rsidR="003F62C9" w:rsidRDefault="000D3B80" w:rsidP="003F62C9">
            <w:pPr>
              <w:pStyle w:val="ListParagraph"/>
              <w:numPr>
                <w:ilvl w:val="0"/>
                <w:numId w:val="20"/>
              </w:numPr>
              <w:ind w:left="480" w:hanging="524"/>
              <w:jc w:val="both"/>
            </w:pPr>
            <w:r w:rsidRPr="003F62C9">
              <w:rPr>
                <w:b/>
              </w:rPr>
              <w:t>South Africa</w:t>
            </w:r>
            <w:r>
              <w:t xml:space="preserve">: </w:t>
            </w:r>
            <w:r w:rsidR="003F62C9">
              <w:t xml:space="preserve">While  we understand the political importance of bringing together EU resources and capacities in view of the new European Consensus on Development and challenges in the implementation of the 2030 Agenda for Sustainable Development, Joint Programming in South Africa does not seem to be strategically essential for several reasons: </w:t>
            </w:r>
          </w:p>
          <w:p w:rsidR="003F62C9" w:rsidRDefault="003F62C9" w:rsidP="003F62C9">
            <w:pPr>
              <w:pStyle w:val="ListParagraph"/>
              <w:ind w:left="480"/>
              <w:jc w:val="both"/>
            </w:pPr>
            <w:r>
              <w:t>- We are nearing the end of the programming cycle (2014-2020) with a mere €31mil to commit until the end of 2020 plus an additional €17mil already earmarked for Gender, EPA Implementation and top-up the Dialogue Facility.</w:t>
            </w:r>
          </w:p>
          <w:p w:rsidR="003F62C9" w:rsidRDefault="003F62C9" w:rsidP="003F62C9">
            <w:pPr>
              <w:pStyle w:val="ListParagraph"/>
              <w:ind w:left="480"/>
              <w:jc w:val="both"/>
            </w:pPr>
            <w:r>
              <w:t>- South Africa being an upper middle income country, we have no indication if the country will still qualify - post 2020 - for development cooperation of significant magnitude to deserve a joint programming exercise.</w:t>
            </w:r>
          </w:p>
          <w:p w:rsidR="003F62C9" w:rsidRDefault="003F62C9" w:rsidP="003F62C9">
            <w:pPr>
              <w:pStyle w:val="ListParagraph"/>
              <w:ind w:left="480"/>
              <w:jc w:val="both"/>
            </w:pPr>
            <w:r>
              <w:t>- The development cooperation landscape in South Africa is very narrow with only one significant MS donor, Germany.</w:t>
            </w:r>
          </w:p>
          <w:p w:rsidR="003F62C9" w:rsidRDefault="003F62C9" w:rsidP="003F62C9">
            <w:pPr>
              <w:pStyle w:val="ListParagraph"/>
              <w:ind w:left="480"/>
              <w:jc w:val="both"/>
            </w:pPr>
            <w:r>
              <w:t>- In those sectors, where we may potentially have some overlaps (TVET and Governance/PFM), we do very closely coordinate interventions and share a common policy dialogue framework with the national counterpart(s).</w:t>
            </w:r>
          </w:p>
          <w:p w:rsidR="000D3B80" w:rsidRPr="000F16B1" w:rsidRDefault="003F62C9" w:rsidP="003F62C9">
            <w:pPr>
              <w:pStyle w:val="ListParagraph"/>
              <w:ind w:left="480"/>
              <w:jc w:val="both"/>
            </w:pPr>
            <w:r>
              <w:t>- SA is of relevance for JP only insofar as many MS active in the region cover their development operations from Pretoria. Hence so</w:t>
            </w:r>
            <w:r w:rsidR="00C23936">
              <w:t>me possibilities in the margins</w:t>
            </w:r>
            <w:r>
              <w:t xml:space="preserve"> to facilitate co-operation between EU-</w:t>
            </w:r>
            <w:proofErr w:type="spellStart"/>
            <w:r>
              <w:t>Dels</w:t>
            </w:r>
            <w:proofErr w:type="spellEnd"/>
            <w:r>
              <w:t xml:space="preserve"> in the region and MS accredited from SA to "JP-Countries".</w:t>
            </w:r>
          </w:p>
        </w:tc>
      </w:tr>
    </w:tbl>
    <w:p w:rsidR="00520B5B" w:rsidRPr="000F16B1" w:rsidRDefault="00520B5B" w:rsidP="006E22E4">
      <w:pPr>
        <w:pStyle w:val="ListParagraph"/>
        <w:ind w:left="1440"/>
        <w:jc w:val="both"/>
        <w:rPr>
          <w:sz w:val="20"/>
          <w:szCs w:val="20"/>
        </w:rPr>
      </w:pPr>
    </w:p>
    <w:sectPr w:rsidR="00520B5B" w:rsidRPr="000F16B1" w:rsidSect="00E03F42">
      <w:headerReference w:type="default" r:id="rId16"/>
      <w:pgSz w:w="11906" w:h="16838"/>
      <w:pgMar w:top="851" w:right="1417" w:bottom="709" w:left="1417" w:header="280"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737AAD" w15:done="0"/>
  <w15:commentEx w15:paraId="543639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7E" w:rsidRDefault="00CF0D7E" w:rsidP="00772331">
      <w:pPr>
        <w:spacing w:after="0" w:line="240" w:lineRule="auto"/>
      </w:pPr>
      <w:r>
        <w:separator/>
      </w:r>
    </w:p>
  </w:endnote>
  <w:endnote w:type="continuationSeparator" w:id="0">
    <w:p w:rsidR="00CF0D7E" w:rsidRDefault="00CF0D7E" w:rsidP="0077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7E" w:rsidRDefault="00CF0D7E" w:rsidP="00772331">
      <w:pPr>
        <w:spacing w:after="0" w:line="240" w:lineRule="auto"/>
      </w:pPr>
      <w:r>
        <w:separator/>
      </w:r>
    </w:p>
  </w:footnote>
  <w:footnote w:type="continuationSeparator" w:id="0">
    <w:p w:rsidR="00CF0D7E" w:rsidRDefault="00CF0D7E" w:rsidP="00772331">
      <w:pPr>
        <w:spacing w:after="0" w:line="240" w:lineRule="auto"/>
      </w:pPr>
      <w:r>
        <w:continuationSeparator/>
      </w:r>
    </w:p>
  </w:footnote>
  <w:footnote w:id="1">
    <w:p w:rsidR="00583C52" w:rsidRDefault="00583C52" w:rsidP="00442AE1">
      <w:pPr>
        <w:pStyle w:val="FootnoteText"/>
        <w:jc w:val="both"/>
      </w:pPr>
      <w:r>
        <w:rPr>
          <w:rStyle w:val="FootnoteReference"/>
        </w:rPr>
        <w:footnoteRef/>
      </w:r>
      <w:r>
        <w:t xml:space="preserve"> Access </w:t>
      </w:r>
      <w:r w:rsidR="00CD326B">
        <w:t>to Capacity4Dev.eu</w:t>
      </w:r>
      <w:r w:rsidR="008731AA">
        <w:t xml:space="preserve"> </w:t>
      </w:r>
      <w:r>
        <w:t xml:space="preserve">is reserved to EU and EU MS staff and requires membership: please write to </w:t>
      </w:r>
      <w:hyperlink r:id="rId1" w:history="1">
        <w:r w:rsidRPr="00014388">
          <w:rPr>
            <w:rStyle w:val="Hyperlink"/>
          </w:rPr>
          <w:t>DEVCO-Joint-Programming-Support@ec.europa.eu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52" w:rsidRDefault="00583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D30"/>
    <w:multiLevelType w:val="hybridMultilevel"/>
    <w:tmpl w:val="00D41D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6D67561"/>
    <w:multiLevelType w:val="hybridMultilevel"/>
    <w:tmpl w:val="9C8C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82D1E"/>
    <w:multiLevelType w:val="hybridMultilevel"/>
    <w:tmpl w:val="9A2C222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5A75DD6"/>
    <w:multiLevelType w:val="hybridMultilevel"/>
    <w:tmpl w:val="256E62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F786416"/>
    <w:multiLevelType w:val="hybridMultilevel"/>
    <w:tmpl w:val="F4D2B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C303E"/>
    <w:multiLevelType w:val="hybridMultilevel"/>
    <w:tmpl w:val="963E4CF4"/>
    <w:lvl w:ilvl="0" w:tplc="08090005">
      <w:start w:val="1"/>
      <w:numFmt w:val="bullet"/>
      <w:lvlText w:val=""/>
      <w:lvlJc w:val="left"/>
      <w:pPr>
        <w:ind w:left="480" w:hanging="360"/>
      </w:pPr>
      <w:rPr>
        <w:rFonts w:ascii="Wingdings" w:hAnsi="Wingdings" w:hint="default"/>
      </w:rPr>
    </w:lvl>
    <w:lvl w:ilvl="1" w:tplc="08090003">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nsid w:val="225678FD"/>
    <w:multiLevelType w:val="hybridMultilevel"/>
    <w:tmpl w:val="84DED6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4940655"/>
    <w:multiLevelType w:val="hybridMultilevel"/>
    <w:tmpl w:val="A5F8BEE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59A1D22"/>
    <w:multiLevelType w:val="hybridMultilevel"/>
    <w:tmpl w:val="B100C42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nsid w:val="3A050B4D"/>
    <w:multiLevelType w:val="hybridMultilevel"/>
    <w:tmpl w:val="1872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CE6427"/>
    <w:multiLevelType w:val="hybridMultilevel"/>
    <w:tmpl w:val="E1A2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3E1C31"/>
    <w:multiLevelType w:val="hybridMultilevel"/>
    <w:tmpl w:val="63D2FD0A"/>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2">
    <w:nsid w:val="44982B89"/>
    <w:multiLevelType w:val="hybridMultilevel"/>
    <w:tmpl w:val="83B056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5E44A34"/>
    <w:multiLevelType w:val="hybridMultilevel"/>
    <w:tmpl w:val="C0F6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556552"/>
    <w:multiLevelType w:val="hybridMultilevel"/>
    <w:tmpl w:val="71BCC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B01D02"/>
    <w:multiLevelType w:val="hybridMultilevel"/>
    <w:tmpl w:val="0CE0474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1B52F55"/>
    <w:multiLevelType w:val="hybridMultilevel"/>
    <w:tmpl w:val="268A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3962EE"/>
    <w:multiLevelType w:val="hybridMultilevel"/>
    <w:tmpl w:val="380A22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D184642"/>
    <w:multiLevelType w:val="hybridMultilevel"/>
    <w:tmpl w:val="411C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13"/>
  </w:num>
  <w:num w:numId="5">
    <w:abstractNumId w:val="16"/>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0"/>
  </w:num>
  <w:num w:numId="11">
    <w:abstractNumId w:val="6"/>
  </w:num>
  <w:num w:numId="12">
    <w:abstractNumId w:val="10"/>
  </w:num>
  <w:num w:numId="13">
    <w:abstractNumId w:val="8"/>
  </w:num>
  <w:num w:numId="14">
    <w:abstractNumId w:val="11"/>
  </w:num>
  <w:num w:numId="15">
    <w:abstractNumId w:val="17"/>
  </w:num>
  <w:num w:numId="16">
    <w:abstractNumId w:val="3"/>
  </w:num>
  <w:num w:numId="17">
    <w:abstractNumId w:val="5"/>
  </w:num>
  <w:num w:numId="18">
    <w:abstractNumId w:val="15"/>
  </w:num>
  <w:num w:numId="19">
    <w:abstractNumId w:val="4"/>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lteni Lino">
    <w15:presenceInfo w15:providerId="Windows Live" w15:userId="181f8243109da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E0602"/>
    <w:rsid w:val="00003A85"/>
    <w:rsid w:val="00005160"/>
    <w:rsid w:val="0000684A"/>
    <w:rsid w:val="00012848"/>
    <w:rsid w:val="000165F7"/>
    <w:rsid w:val="000460BA"/>
    <w:rsid w:val="00051C51"/>
    <w:rsid w:val="00061F22"/>
    <w:rsid w:val="00066D32"/>
    <w:rsid w:val="000839AF"/>
    <w:rsid w:val="000A5FD1"/>
    <w:rsid w:val="000B481E"/>
    <w:rsid w:val="000D0B82"/>
    <w:rsid w:val="000D3B80"/>
    <w:rsid w:val="000D45D4"/>
    <w:rsid w:val="000D4C44"/>
    <w:rsid w:val="000D7B2E"/>
    <w:rsid w:val="000E7343"/>
    <w:rsid w:val="000F16B1"/>
    <w:rsid w:val="00110ED7"/>
    <w:rsid w:val="0011788B"/>
    <w:rsid w:val="0013004C"/>
    <w:rsid w:val="00137EA1"/>
    <w:rsid w:val="00141E2E"/>
    <w:rsid w:val="00141E92"/>
    <w:rsid w:val="00146F18"/>
    <w:rsid w:val="00155549"/>
    <w:rsid w:val="00161F14"/>
    <w:rsid w:val="00193F77"/>
    <w:rsid w:val="001948F5"/>
    <w:rsid w:val="001C0128"/>
    <w:rsid w:val="001E3444"/>
    <w:rsid w:val="001F67EC"/>
    <w:rsid w:val="00224B44"/>
    <w:rsid w:val="00225361"/>
    <w:rsid w:val="00225CDF"/>
    <w:rsid w:val="002376A6"/>
    <w:rsid w:val="002415A1"/>
    <w:rsid w:val="00261A16"/>
    <w:rsid w:val="00275320"/>
    <w:rsid w:val="00302035"/>
    <w:rsid w:val="00304994"/>
    <w:rsid w:val="00307A75"/>
    <w:rsid w:val="0031331F"/>
    <w:rsid w:val="00315E02"/>
    <w:rsid w:val="00321F9A"/>
    <w:rsid w:val="00326EDB"/>
    <w:rsid w:val="00335552"/>
    <w:rsid w:val="00347D93"/>
    <w:rsid w:val="00347F3A"/>
    <w:rsid w:val="00381142"/>
    <w:rsid w:val="0038179A"/>
    <w:rsid w:val="003844D7"/>
    <w:rsid w:val="00393799"/>
    <w:rsid w:val="003A1356"/>
    <w:rsid w:val="003D3E33"/>
    <w:rsid w:val="003E74B9"/>
    <w:rsid w:val="003F5B44"/>
    <w:rsid w:val="003F62C9"/>
    <w:rsid w:val="004079C3"/>
    <w:rsid w:val="00412B03"/>
    <w:rsid w:val="00422808"/>
    <w:rsid w:val="00425A73"/>
    <w:rsid w:val="0042742A"/>
    <w:rsid w:val="004345EA"/>
    <w:rsid w:val="00442AE1"/>
    <w:rsid w:val="00443EE8"/>
    <w:rsid w:val="004450F4"/>
    <w:rsid w:val="00450684"/>
    <w:rsid w:val="004777D9"/>
    <w:rsid w:val="00480B56"/>
    <w:rsid w:val="00484A38"/>
    <w:rsid w:val="00494AEE"/>
    <w:rsid w:val="00495959"/>
    <w:rsid w:val="004B303D"/>
    <w:rsid w:val="004B315A"/>
    <w:rsid w:val="004B3EBD"/>
    <w:rsid w:val="004C3F06"/>
    <w:rsid w:val="004F4D59"/>
    <w:rsid w:val="0050365A"/>
    <w:rsid w:val="0051026A"/>
    <w:rsid w:val="00520B5B"/>
    <w:rsid w:val="00521432"/>
    <w:rsid w:val="00525428"/>
    <w:rsid w:val="0053639C"/>
    <w:rsid w:val="005451BA"/>
    <w:rsid w:val="00552290"/>
    <w:rsid w:val="00577725"/>
    <w:rsid w:val="00583C52"/>
    <w:rsid w:val="005A1511"/>
    <w:rsid w:val="005A4B57"/>
    <w:rsid w:val="005B45B9"/>
    <w:rsid w:val="005C3FF6"/>
    <w:rsid w:val="005D2CA0"/>
    <w:rsid w:val="005E16AD"/>
    <w:rsid w:val="005E6D3A"/>
    <w:rsid w:val="005F2368"/>
    <w:rsid w:val="0060258D"/>
    <w:rsid w:val="00603BF9"/>
    <w:rsid w:val="00604096"/>
    <w:rsid w:val="00636CC4"/>
    <w:rsid w:val="00642725"/>
    <w:rsid w:val="00664EFF"/>
    <w:rsid w:val="00670CA9"/>
    <w:rsid w:val="0067399C"/>
    <w:rsid w:val="00690B77"/>
    <w:rsid w:val="00690EA7"/>
    <w:rsid w:val="00695E80"/>
    <w:rsid w:val="006B37E9"/>
    <w:rsid w:val="006B664E"/>
    <w:rsid w:val="006C11C9"/>
    <w:rsid w:val="006C2DF7"/>
    <w:rsid w:val="006D1E18"/>
    <w:rsid w:val="006E22E4"/>
    <w:rsid w:val="006F3C54"/>
    <w:rsid w:val="006F4D34"/>
    <w:rsid w:val="00700666"/>
    <w:rsid w:val="007047AF"/>
    <w:rsid w:val="00710154"/>
    <w:rsid w:val="007119FE"/>
    <w:rsid w:val="007148E1"/>
    <w:rsid w:val="00726704"/>
    <w:rsid w:val="00727C52"/>
    <w:rsid w:val="00750B94"/>
    <w:rsid w:val="007712C0"/>
    <w:rsid w:val="00772331"/>
    <w:rsid w:val="00776B01"/>
    <w:rsid w:val="00791D37"/>
    <w:rsid w:val="00792A84"/>
    <w:rsid w:val="007B2DFA"/>
    <w:rsid w:val="008122D9"/>
    <w:rsid w:val="008206A2"/>
    <w:rsid w:val="00822B8B"/>
    <w:rsid w:val="00835AA1"/>
    <w:rsid w:val="008457C6"/>
    <w:rsid w:val="00853A81"/>
    <w:rsid w:val="008731AA"/>
    <w:rsid w:val="00876611"/>
    <w:rsid w:val="008809FD"/>
    <w:rsid w:val="008A35CD"/>
    <w:rsid w:val="008B1F84"/>
    <w:rsid w:val="008B4FB4"/>
    <w:rsid w:val="008C0151"/>
    <w:rsid w:val="008C0D16"/>
    <w:rsid w:val="008D39E9"/>
    <w:rsid w:val="008D6481"/>
    <w:rsid w:val="008E6182"/>
    <w:rsid w:val="00904911"/>
    <w:rsid w:val="009110A6"/>
    <w:rsid w:val="00911BEA"/>
    <w:rsid w:val="00925E55"/>
    <w:rsid w:val="00942417"/>
    <w:rsid w:val="009457B7"/>
    <w:rsid w:val="00947157"/>
    <w:rsid w:val="00957143"/>
    <w:rsid w:val="0096297E"/>
    <w:rsid w:val="0096324B"/>
    <w:rsid w:val="009772D6"/>
    <w:rsid w:val="0097762A"/>
    <w:rsid w:val="009A7EBE"/>
    <w:rsid w:val="009B292F"/>
    <w:rsid w:val="009B40E3"/>
    <w:rsid w:val="009C3AC1"/>
    <w:rsid w:val="00A061D6"/>
    <w:rsid w:val="00A11554"/>
    <w:rsid w:val="00A14481"/>
    <w:rsid w:val="00A40EDF"/>
    <w:rsid w:val="00A50520"/>
    <w:rsid w:val="00A65192"/>
    <w:rsid w:val="00A75DF4"/>
    <w:rsid w:val="00A84292"/>
    <w:rsid w:val="00A84D82"/>
    <w:rsid w:val="00A9256D"/>
    <w:rsid w:val="00A93CF9"/>
    <w:rsid w:val="00AB3786"/>
    <w:rsid w:val="00AE0602"/>
    <w:rsid w:val="00B077BE"/>
    <w:rsid w:val="00B203EA"/>
    <w:rsid w:val="00B319F3"/>
    <w:rsid w:val="00B50A8E"/>
    <w:rsid w:val="00B55B76"/>
    <w:rsid w:val="00B616C4"/>
    <w:rsid w:val="00B63239"/>
    <w:rsid w:val="00B67228"/>
    <w:rsid w:val="00B67945"/>
    <w:rsid w:val="00B84732"/>
    <w:rsid w:val="00B97CF8"/>
    <w:rsid w:val="00BA1771"/>
    <w:rsid w:val="00BA3D70"/>
    <w:rsid w:val="00BC0B59"/>
    <w:rsid w:val="00BC2AA0"/>
    <w:rsid w:val="00BC6468"/>
    <w:rsid w:val="00BD32C3"/>
    <w:rsid w:val="00C039A4"/>
    <w:rsid w:val="00C20CE1"/>
    <w:rsid w:val="00C23936"/>
    <w:rsid w:val="00C31F7C"/>
    <w:rsid w:val="00C432BD"/>
    <w:rsid w:val="00C51AD5"/>
    <w:rsid w:val="00C55ADE"/>
    <w:rsid w:val="00C65095"/>
    <w:rsid w:val="00C8426C"/>
    <w:rsid w:val="00CA04E0"/>
    <w:rsid w:val="00CA3CE4"/>
    <w:rsid w:val="00CB0F6F"/>
    <w:rsid w:val="00CB37EB"/>
    <w:rsid w:val="00CD326B"/>
    <w:rsid w:val="00CD5C0C"/>
    <w:rsid w:val="00CE5B52"/>
    <w:rsid w:val="00CF0D7E"/>
    <w:rsid w:val="00CF1356"/>
    <w:rsid w:val="00CF160E"/>
    <w:rsid w:val="00CF2DC8"/>
    <w:rsid w:val="00D01415"/>
    <w:rsid w:val="00D134D9"/>
    <w:rsid w:val="00D16582"/>
    <w:rsid w:val="00D3506A"/>
    <w:rsid w:val="00D80AEC"/>
    <w:rsid w:val="00D90C37"/>
    <w:rsid w:val="00DA2F82"/>
    <w:rsid w:val="00DA4AFA"/>
    <w:rsid w:val="00DA5180"/>
    <w:rsid w:val="00DA7654"/>
    <w:rsid w:val="00DB42C7"/>
    <w:rsid w:val="00DC0387"/>
    <w:rsid w:val="00DC23F0"/>
    <w:rsid w:val="00DC56AB"/>
    <w:rsid w:val="00DC618C"/>
    <w:rsid w:val="00DD061A"/>
    <w:rsid w:val="00DD1148"/>
    <w:rsid w:val="00DD3AA1"/>
    <w:rsid w:val="00E00523"/>
    <w:rsid w:val="00E03F42"/>
    <w:rsid w:val="00E072D4"/>
    <w:rsid w:val="00E14768"/>
    <w:rsid w:val="00E258B1"/>
    <w:rsid w:val="00E25E5B"/>
    <w:rsid w:val="00E26D94"/>
    <w:rsid w:val="00E30B9A"/>
    <w:rsid w:val="00E344B3"/>
    <w:rsid w:val="00E40150"/>
    <w:rsid w:val="00E410C0"/>
    <w:rsid w:val="00E62B99"/>
    <w:rsid w:val="00E716FA"/>
    <w:rsid w:val="00E80D9F"/>
    <w:rsid w:val="00E83D6B"/>
    <w:rsid w:val="00EB7E6B"/>
    <w:rsid w:val="00F242C7"/>
    <w:rsid w:val="00F33EB9"/>
    <w:rsid w:val="00F51A85"/>
    <w:rsid w:val="00F5285B"/>
    <w:rsid w:val="00F7497E"/>
    <w:rsid w:val="00FB6737"/>
    <w:rsid w:val="00FC1092"/>
    <w:rsid w:val="00FC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C2DF7"/>
    <w:rPr>
      <w:sz w:val="16"/>
      <w:szCs w:val="16"/>
    </w:rPr>
  </w:style>
  <w:style w:type="paragraph" w:styleId="CommentText">
    <w:name w:val="annotation text"/>
    <w:basedOn w:val="Normal"/>
    <w:link w:val="CommentTextChar"/>
    <w:uiPriority w:val="99"/>
    <w:semiHidden/>
    <w:unhideWhenUsed/>
    <w:rsid w:val="006C2DF7"/>
    <w:rPr>
      <w:sz w:val="20"/>
      <w:szCs w:val="20"/>
    </w:rPr>
  </w:style>
  <w:style w:type="character" w:customStyle="1" w:styleId="CommentTextChar">
    <w:name w:val="Comment Text Char"/>
    <w:link w:val="CommentText"/>
    <w:uiPriority w:val="99"/>
    <w:semiHidden/>
    <w:rsid w:val="006C2DF7"/>
    <w:rPr>
      <w:lang w:eastAsia="en-US"/>
    </w:rPr>
  </w:style>
  <w:style w:type="paragraph" w:styleId="CommentSubject">
    <w:name w:val="annotation subject"/>
    <w:basedOn w:val="CommentText"/>
    <w:next w:val="CommentText"/>
    <w:link w:val="CommentSubjectChar"/>
    <w:uiPriority w:val="99"/>
    <w:semiHidden/>
    <w:unhideWhenUsed/>
    <w:rsid w:val="006C2DF7"/>
    <w:rPr>
      <w:b/>
      <w:bCs/>
    </w:rPr>
  </w:style>
  <w:style w:type="character" w:customStyle="1" w:styleId="CommentSubjectChar">
    <w:name w:val="Comment Subject Char"/>
    <w:link w:val="CommentSubject"/>
    <w:uiPriority w:val="99"/>
    <w:semiHidden/>
    <w:rsid w:val="006C2DF7"/>
    <w:rPr>
      <w:b/>
      <w:bCs/>
      <w:lang w:eastAsia="en-US"/>
    </w:rPr>
  </w:style>
  <w:style w:type="paragraph" w:styleId="BalloonText">
    <w:name w:val="Balloon Text"/>
    <w:basedOn w:val="Normal"/>
    <w:link w:val="BalloonTextChar"/>
    <w:uiPriority w:val="99"/>
    <w:semiHidden/>
    <w:unhideWhenUsed/>
    <w:rsid w:val="006C2D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2DF7"/>
    <w:rPr>
      <w:rFonts w:ascii="Tahoma" w:hAnsi="Tahoma" w:cs="Tahoma"/>
      <w:sz w:val="16"/>
      <w:szCs w:val="16"/>
      <w:lang w:eastAsia="en-US"/>
    </w:rPr>
  </w:style>
  <w:style w:type="table" w:styleId="TableGrid">
    <w:name w:val="Table Grid"/>
    <w:basedOn w:val="TableNormal"/>
    <w:uiPriority w:val="59"/>
    <w:rsid w:val="0070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768"/>
    <w:pPr>
      <w:spacing w:after="0" w:line="240" w:lineRule="auto"/>
      <w:ind w:left="720"/>
    </w:pPr>
  </w:style>
  <w:style w:type="table" w:customStyle="1" w:styleId="TableGrid1">
    <w:name w:val="Table Grid1"/>
    <w:basedOn w:val="TableNormal"/>
    <w:next w:val="TableGrid"/>
    <w:uiPriority w:val="59"/>
    <w:rsid w:val="000051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2331"/>
    <w:rPr>
      <w:sz w:val="22"/>
      <w:szCs w:val="22"/>
      <w:lang w:eastAsia="en-US"/>
    </w:rPr>
  </w:style>
  <w:style w:type="paragraph" w:styleId="Footer">
    <w:name w:val="footer"/>
    <w:basedOn w:val="Normal"/>
    <w:link w:val="FooterChar"/>
    <w:uiPriority w:val="99"/>
    <w:unhideWhenUsed/>
    <w:rsid w:val="00772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2331"/>
    <w:rPr>
      <w:sz w:val="22"/>
      <w:szCs w:val="22"/>
      <w:lang w:eastAsia="en-US"/>
    </w:rPr>
  </w:style>
  <w:style w:type="character" w:styleId="Hyperlink">
    <w:name w:val="Hyperlink"/>
    <w:basedOn w:val="DefaultParagraphFont"/>
    <w:uiPriority w:val="99"/>
    <w:unhideWhenUsed/>
    <w:rsid w:val="0038179A"/>
    <w:rPr>
      <w:color w:val="0000FF" w:themeColor="hyperlink"/>
      <w:u w:val="single"/>
    </w:rPr>
  </w:style>
  <w:style w:type="character" w:styleId="FollowedHyperlink">
    <w:name w:val="FollowedHyperlink"/>
    <w:basedOn w:val="DefaultParagraphFont"/>
    <w:uiPriority w:val="99"/>
    <w:semiHidden/>
    <w:unhideWhenUsed/>
    <w:rsid w:val="00EB7E6B"/>
    <w:rPr>
      <w:color w:val="800080" w:themeColor="followedHyperlink"/>
      <w:u w:val="single"/>
    </w:rPr>
  </w:style>
  <w:style w:type="paragraph" w:styleId="FootnoteText">
    <w:name w:val="footnote text"/>
    <w:basedOn w:val="Normal"/>
    <w:link w:val="FootnoteTextChar"/>
    <w:uiPriority w:val="99"/>
    <w:semiHidden/>
    <w:unhideWhenUsed/>
    <w:rsid w:val="00C51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AD5"/>
    <w:rPr>
      <w:lang w:eastAsia="en-US"/>
    </w:rPr>
  </w:style>
  <w:style w:type="character" w:styleId="FootnoteReference">
    <w:name w:val="footnote reference"/>
    <w:basedOn w:val="DefaultParagraphFont"/>
    <w:uiPriority w:val="99"/>
    <w:semiHidden/>
    <w:unhideWhenUsed/>
    <w:rsid w:val="00C51A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C2DF7"/>
    <w:rPr>
      <w:sz w:val="16"/>
      <w:szCs w:val="16"/>
    </w:rPr>
  </w:style>
  <w:style w:type="paragraph" w:styleId="CommentText">
    <w:name w:val="annotation text"/>
    <w:basedOn w:val="Normal"/>
    <w:link w:val="CommentTextChar"/>
    <w:uiPriority w:val="99"/>
    <w:semiHidden/>
    <w:unhideWhenUsed/>
    <w:rsid w:val="006C2DF7"/>
    <w:rPr>
      <w:sz w:val="20"/>
      <w:szCs w:val="20"/>
    </w:rPr>
  </w:style>
  <w:style w:type="character" w:customStyle="1" w:styleId="CommentTextChar">
    <w:name w:val="Comment Text Char"/>
    <w:link w:val="CommentText"/>
    <w:uiPriority w:val="99"/>
    <w:semiHidden/>
    <w:rsid w:val="006C2DF7"/>
    <w:rPr>
      <w:lang w:eastAsia="en-US"/>
    </w:rPr>
  </w:style>
  <w:style w:type="paragraph" w:styleId="CommentSubject">
    <w:name w:val="annotation subject"/>
    <w:basedOn w:val="CommentText"/>
    <w:next w:val="CommentText"/>
    <w:link w:val="CommentSubjectChar"/>
    <w:uiPriority w:val="99"/>
    <w:semiHidden/>
    <w:unhideWhenUsed/>
    <w:rsid w:val="006C2DF7"/>
    <w:rPr>
      <w:b/>
      <w:bCs/>
    </w:rPr>
  </w:style>
  <w:style w:type="character" w:customStyle="1" w:styleId="CommentSubjectChar">
    <w:name w:val="Comment Subject Char"/>
    <w:link w:val="CommentSubject"/>
    <w:uiPriority w:val="99"/>
    <w:semiHidden/>
    <w:rsid w:val="006C2DF7"/>
    <w:rPr>
      <w:b/>
      <w:bCs/>
      <w:lang w:eastAsia="en-US"/>
    </w:rPr>
  </w:style>
  <w:style w:type="paragraph" w:styleId="BalloonText">
    <w:name w:val="Balloon Text"/>
    <w:basedOn w:val="Normal"/>
    <w:link w:val="BalloonTextChar"/>
    <w:uiPriority w:val="99"/>
    <w:semiHidden/>
    <w:unhideWhenUsed/>
    <w:rsid w:val="006C2D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2DF7"/>
    <w:rPr>
      <w:rFonts w:ascii="Tahoma" w:hAnsi="Tahoma" w:cs="Tahoma"/>
      <w:sz w:val="16"/>
      <w:szCs w:val="16"/>
      <w:lang w:eastAsia="en-US"/>
    </w:rPr>
  </w:style>
  <w:style w:type="table" w:styleId="TableGrid">
    <w:name w:val="Table Grid"/>
    <w:basedOn w:val="TableNormal"/>
    <w:uiPriority w:val="59"/>
    <w:rsid w:val="0070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768"/>
    <w:pPr>
      <w:spacing w:after="0" w:line="240" w:lineRule="auto"/>
      <w:ind w:left="720"/>
    </w:pPr>
  </w:style>
  <w:style w:type="table" w:customStyle="1" w:styleId="TableGrid1">
    <w:name w:val="Table Grid1"/>
    <w:basedOn w:val="TableNormal"/>
    <w:next w:val="TableGrid"/>
    <w:uiPriority w:val="59"/>
    <w:rsid w:val="000051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2331"/>
    <w:rPr>
      <w:sz w:val="22"/>
      <w:szCs w:val="22"/>
      <w:lang w:eastAsia="en-US"/>
    </w:rPr>
  </w:style>
  <w:style w:type="paragraph" w:styleId="Footer">
    <w:name w:val="footer"/>
    <w:basedOn w:val="Normal"/>
    <w:link w:val="FooterChar"/>
    <w:uiPriority w:val="99"/>
    <w:unhideWhenUsed/>
    <w:rsid w:val="00772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2331"/>
    <w:rPr>
      <w:sz w:val="22"/>
      <w:szCs w:val="22"/>
      <w:lang w:eastAsia="en-US"/>
    </w:rPr>
  </w:style>
  <w:style w:type="character" w:styleId="Hyperlink">
    <w:name w:val="Hyperlink"/>
    <w:basedOn w:val="DefaultParagraphFont"/>
    <w:uiPriority w:val="99"/>
    <w:unhideWhenUsed/>
    <w:rsid w:val="0038179A"/>
    <w:rPr>
      <w:color w:val="0000FF" w:themeColor="hyperlink"/>
      <w:u w:val="single"/>
    </w:rPr>
  </w:style>
  <w:style w:type="character" w:styleId="FollowedHyperlink">
    <w:name w:val="FollowedHyperlink"/>
    <w:basedOn w:val="DefaultParagraphFont"/>
    <w:uiPriority w:val="99"/>
    <w:semiHidden/>
    <w:unhideWhenUsed/>
    <w:rsid w:val="00EB7E6B"/>
    <w:rPr>
      <w:color w:val="800080" w:themeColor="followedHyperlink"/>
      <w:u w:val="single"/>
    </w:rPr>
  </w:style>
  <w:style w:type="paragraph" w:styleId="FootnoteText">
    <w:name w:val="footnote text"/>
    <w:basedOn w:val="Normal"/>
    <w:link w:val="FootnoteTextChar"/>
    <w:uiPriority w:val="99"/>
    <w:semiHidden/>
    <w:unhideWhenUsed/>
    <w:rsid w:val="00C51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AD5"/>
    <w:rPr>
      <w:lang w:eastAsia="en-US"/>
    </w:rPr>
  </w:style>
  <w:style w:type="character" w:styleId="FootnoteReference">
    <w:name w:val="footnote reference"/>
    <w:basedOn w:val="DefaultParagraphFont"/>
    <w:uiPriority w:val="99"/>
    <w:semiHidden/>
    <w:unhideWhenUsed/>
    <w:rsid w:val="00C51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5551">
      <w:bodyDiv w:val="1"/>
      <w:marLeft w:val="0"/>
      <w:marRight w:val="0"/>
      <w:marTop w:val="0"/>
      <w:marBottom w:val="0"/>
      <w:divBdr>
        <w:top w:val="none" w:sz="0" w:space="0" w:color="auto"/>
        <w:left w:val="none" w:sz="0" w:space="0" w:color="auto"/>
        <w:bottom w:val="none" w:sz="0" w:space="0" w:color="auto"/>
        <w:right w:val="none" w:sz="0" w:space="0" w:color="auto"/>
      </w:divBdr>
    </w:div>
    <w:div w:id="782266968">
      <w:bodyDiv w:val="1"/>
      <w:marLeft w:val="0"/>
      <w:marRight w:val="0"/>
      <w:marTop w:val="0"/>
      <w:marBottom w:val="0"/>
      <w:divBdr>
        <w:top w:val="none" w:sz="0" w:space="0" w:color="auto"/>
        <w:left w:val="none" w:sz="0" w:space="0" w:color="auto"/>
        <w:bottom w:val="none" w:sz="0" w:space="0" w:color="auto"/>
        <w:right w:val="none" w:sz="0" w:space="0" w:color="auto"/>
      </w:divBdr>
    </w:div>
    <w:div w:id="820269322">
      <w:bodyDiv w:val="1"/>
      <w:marLeft w:val="0"/>
      <w:marRight w:val="0"/>
      <w:marTop w:val="0"/>
      <w:marBottom w:val="0"/>
      <w:divBdr>
        <w:top w:val="none" w:sz="0" w:space="0" w:color="auto"/>
        <w:left w:val="none" w:sz="0" w:space="0" w:color="auto"/>
        <w:bottom w:val="none" w:sz="0" w:space="0" w:color="auto"/>
        <w:right w:val="none" w:sz="0" w:space="0" w:color="auto"/>
      </w:divBdr>
    </w:div>
    <w:div w:id="849679500">
      <w:bodyDiv w:val="1"/>
      <w:marLeft w:val="0"/>
      <w:marRight w:val="0"/>
      <w:marTop w:val="0"/>
      <w:marBottom w:val="0"/>
      <w:divBdr>
        <w:top w:val="none" w:sz="0" w:space="0" w:color="auto"/>
        <w:left w:val="none" w:sz="0" w:space="0" w:color="auto"/>
        <w:bottom w:val="none" w:sz="0" w:space="0" w:color="auto"/>
        <w:right w:val="none" w:sz="0" w:space="0" w:color="auto"/>
      </w:divBdr>
    </w:div>
    <w:div w:id="1185365293">
      <w:bodyDiv w:val="1"/>
      <w:marLeft w:val="0"/>
      <w:marRight w:val="0"/>
      <w:marTop w:val="0"/>
      <w:marBottom w:val="0"/>
      <w:divBdr>
        <w:top w:val="none" w:sz="0" w:space="0" w:color="auto"/>
        <w:left w:val="none" w:sz="0" w:space="0" w:color="auto"/>
        <w:bottom w:val="none" w:sz="0" w:space="0" w:color="auto"/>
        <w:right w:val="none" w:sz="0" w:space="0" w:color="auto"/>
      </w:divBdr>
    </w:div>
    <w:div w:id="1294218153">
      <w:bodyDiv w:val="1"/>
      <w:marLeft w:val="0"/>
      <w:marRight w:val="0"/>
      <w:marTop w:val="0"/>
      <w:marBottom w:val="0"/>
      <w:divBdr>
        <w:top w:val="none" w:sz="0" w:space="0" w:color="auto"/>
        <w:left w:val="none" w:sz="0" w:space="0" w:color="auto"/>
        <w:bottom w:val="none" w:sz="0" w:space="0" w:color="auto"/>
        <w:right w:val="none" w:sz="0" w:space="0" w:color="auto"/>
      </w:divBdr>
    </w:div>
    <w:div w:id="1614243251">
      <w:bodyDiv w:val="1"/>
      <w:marLeft w:val="0"/>
      <w:marRight w:val="0"/>
      <w:marTop w:val="0"/>
      <w:marBottom w:val="0"/>
      <w:divBdr>
        <w:top w:val="none" w:sz="0" w:space="0" w:color="auto"/>
        <w:left w:val="none" w:sz="0" w:space="0" w:color="auto"/>
        <w:bottom w:val="none" w:sz="0" w:space="0" w:color="auto"/>
        <w:right w:val="none" w:sz="0" w:space="0" w:color="auto"/>
      </w:divBdr>
    </w:div>
    <w:div w:id="1792432790">
      <w:bodyDiv w:val="1"/>
      <w:marLeft w:val="0"/>
      <w:marRight w:val="0"/>
      <w:marTop w:val="0"/>
      <w:marBottom w:val="0"/>
      <w:divBdr>
        <w:top w:val="none" w:sz="0" w:space="0" w:color="auto"/>
        <w:left w:val="none" w:sz="0" w:space="0" w:color="auto"/>
        <w:bottom w:val="none" w:sz="0" w:space="0" w:color="auto"/>
        <w:right w:val="none" w:sz="0" w:space="0" w:color="auto"/>
      </w:divBdr>
    </w:div>
    <w:div w:id="1860386865">
      <w:bodyDiv w:val="1"/>
      <w:marLeft w:val="0"/>
      <w:marRight w:val="0"/>
      <w:marTop w:val="0"/>
      <w:marBottom w:val="0"/>
      <w:divBdr>
        <w:top w:val="none" w:sz="0" w:space="0" w:color="auto"/>
        <w:left w:val="none" w:sz="0" w:space="0" w:color="auto"/>
        <w:bottom w:val="none" w:sz="0" w:space="0" w:color="auto"/>
        <w:right w:val="none" w:sz="0" w:space="0" w:color="auto"/>
      </w:divBdr>
    </w:div>
    <w:div w:id="1864704464">
      <w:bodyDiv w:val="1"/>
      <w:marLeft w:val="0"/>
      <w:marRight w:val="0"/>
      <w:marTop w:val="0"/>
      <w:marBottom w:val="0"/>
      <w:divBdr>
        <w:top w:val="none" w:sz="0" w:space="0" w:color="auto"/>
        <w:left w:val="none" w:sz="0" w:space="0" w:color="auto"/>
        <w:bottom w:val="none" w:sz="0" w:space="0" w:color="auto"/>
        <w:right w:val="none" w:sz="0" w:space="0" w:color="auto"/>
      </w:divBdr>
    </w:div>
    <w:div w:id="1870333787">
      <w:bodyDiv w:val="1"/>
      <w:marLeft w:val="0"/>
      <w:marRight w:val="0"/>
      <w:marTop w:val="0"/>
      <w:marBottom w:val="0"/>
      <w:divBdr>
        <w:top w:val="none" w:sz="0" w:space="0" w:color="auto"/>
        <w:left w:val="none" w:sz="0" w:space="0" w:color="auto"/>
        <w:bottom w:val="none" w:sz="0" w:space="0" w:color="auto"/>
        <w:right w:val="none" w:sz="0" w:space="0" w:color="auto"/>
      </w:divBdr>
    </w:div>
    <w:div w:id="1934973988">
      <w:bodyDiv w:val="1"/>
      <w:marLeft w:val="0"/>
      <w:marRight w:val="0"/>
      <w:marTop w:val="0"/>
      <w:marBottom w:val="0"/>
      <w:divBdr>
        <w:top w:val="none" w:sz="0" w:space="0" w:color="auto"/>
        <w:left w:val="none" w:sz="0" w:space="0" w:color="auto"/>
        <w:bottom w:val="none" w:sz="0" w:space="0" w:color="auto"/>
        <w:right w:val="none" w:sz="0" w:space="0" w:color="auto"/>
      </w:divBdr>
    </w:div>
    <w:div w:id="2113546729">
      <w:bodyDiv w:val="1"/>
      <w:marLeft w:val="0"/>
      <w:marRight w:val="0"/>
      <w:marTop w:val="0"/>
      <w:marBottom w:val="0"/>
      <w:divBdr>
        <w:top w:val="none" w:sz="0" w:space="0" w:color="auto"/>
        <w:left w:val="none" w:sz="0" w:space="0" w:color="auto"/>
        <w:bottom w:val="none" w:sz="0" w:space="0" w:color="auto"/>
        <w:right w:val="none" w:sz="0" w:space="0" w:color="auto"/>
      </w:divBdr>
    </w:div>
    <w:div w:id="21241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ptracker.capacity4dev.eu/"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europa.eu/capacity4dev/private-joint-programming/documents/commissionershrvp-note-implementation-council-conclusions-stepping-joint-programming-20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ilium.europa.eu/en/press/press-releases/2016/05/12-conclusions-on-stepping-up-joint-programming/" TargetMode="External"/><Relationship Id="rId5" Type="http://schemas.openxmlformats.org/officeDocument/2006/relationships/settings" Target="settings.xml"/><Relationship Id="rId15" Type="http://schemas.openxmlformats.org/officeDocument/2006/relationships/hyperlink" Target="https://europa.eu/capacity4dev/joint-programming/documents?text=brochure" TargetMode="External"/><Relationship Id="rId10" Type="http://schemas.openxmlformats.org/officeDocument/2006/relationships/hyperlink" Target="https://ec.europa.eu/europeaid/evaluation-eu-joint-programming-process-development-cooperation-2011-2015_en" TargetMode="External"/><Relationship Id="rId4" Type="http://schemas.microsoft.com/office/2007/relationships/stylesWithEffects" Target="stylesWithEffects.xml"/><Relationship Id="rId9" Type="http://schemas.openxmlformats.org/officeDocument/2006/relationships/hyperlink" Target="https://europa.eu/capacity4dev/private-joint-programming/documents/analysis-heads-mission-reports-joint-programming-2016" TargetMode="External"/><Relationship Id="rId14" Type="http://schemas.openxmlformats.org/officeDocument/2006/relationships/hyperlink" Target="https://europa.eu/capacity4dev/joint-programm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EVCO-Joint-Programming-Support@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6097-4FA4-48E5-9C3D-3700A863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MARAZOPOULOS Christos (DEVCO)</dc:creator>
  <cp:lastModifiedBy>MARAZOPOULOS Christos (CAB-BARROSO-EXT)</cp:lastModifiedBy>
  <cp:revision>3</cp:revision>
  <cp:lastPrinted>2017-07-03T15:08:00Z</cp:lastPrinted>
  <dcterms:created xsi:type="dcterms:W3CDTF">2017-09-21T17:01:00Z</dcterms:created>
  <dcterms:modified xsi:type="dcterms:W3CDTF">2017-09-27T09:23:00Z</dcterms:modified>
</cp:coreProperties>
</file>