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AA727" w14:textId="77777777" w:rsidR="00831C3C" w:rsidRPr="00831C3C" w:rsidRDefault="00831C3C" w:rsidP="00831C3C">
      <w:pPr>
        <w:jc w:val="center"/>
        <w:rPr>
          <w:rFonts w:ascii="Arial" w:hAnsi="Arial" w:cs="Arial"/>
          <w:b/>
          <w:sz w:val="32"/>
          <w:szCs w:val="32"/>
          <w:u w:val="single"/>
        </w:rPr>
      </w:pPr>
      <w:r w:rsidRPr="00831C3C">
        <w:rPr>
          <w:rFonts w:ascii="Arial" w:hAnsi="Arial" w:cs="Arial"/>
          <w:b/>
          <w:sz w:val="32"/>
          <w:szCs w:val="32"/>
          <w:u w:val="single"/>
        </w:rPr>
        <w:t>Terms of Reference</w:t>
      </w:r>
    </w:p>
    <w:p w14:paraId="041B4EED" w14:textId="77777777" w:rsidR="00831C3C" w:rsidRPr="00305D5B" w:rsidRDefault="00831C3C" w:rsidP="00831C3C">
      <w:pPr>
        <w:spacing w:after="0" w:line="240" w:lineRule="auto"/>
        <w:jc w:val="center"/>
        <w:rPr>
          <w:rFonts w:ascii="Arial" w:hAnsi="Arial" w:cs="Arial"/>
          <w:b/>
          <w:sz w:val="24"/>
          <w:szCs w:val="32"/>
          <w:u w:val="single"/>
        </w:rPr>
      </w:pPr>
      <w:r w:rsidRPr="00305D5B">
        <w:rPr>
          <w:rFonts w:ascii="Arial" w:hAnsi="Arial" w:cs="Arial"/>
          <w:b/>
          <w:sz w:val="24"/>
          <w:szCs w:val="32"/>
          <w:u w:val="single"/>
        </w:rPr>
        <w:t>Eastern Caribbean Development Partner Group -</w:t>
      </w:r>
    </w:p>
    <w:p w14:paraId="35C34A00" w14:textId="363E2D91" w:rsidR="005453E2" w:rsidRPr="00305D5B" w:rsidRDefault="001C559C" w:rsidP="00305D5B">
      <w:pPr>
        <w:pStyle w:val="PlainText"/>
        <w:jc w:val="center"/>
        <w:rPr>
          <w:rFonts w:ascii="Arial" w:hAnsi="Arial" w:cs="Arial"/>
          <w:sz w:val="18"/>
          <w:szCs w:val="22"/>
        </w:rPr>
      </w:pPr>
      <w:r>
        <w:rPr>
          <w:rFonts w:ascii="Arial" w:hAnsi="Arial" w:cs="Arial"/>
          <w:b/>
          <w:sz w:val="24"/>
          <w:szCs w:val="32"/>
          <w:u w:val="single"/>
        </w:rPr>
        <w:t xml:space="preserve">Sustainable and Resilient </w:t>
      </w:r>
      <w:r w:rsidR="000A03F7">
        <w:rPr>
          <w:rFonts w:ascii="Arial" w:hAnsi="Arial" w:cs="Arial"/>
          <w:b/>
          <w:sz w:val="24"/>
          <w:szCs w:val="32"/>
          <w:u w:val="single"/>
        </w:rPr>
        <w:t>Caribbean</w:t>
      </w:r>
    </w:p>
    <w:p w14:paraId="1FFAB685" w14:textId="77777777" w:rsidR="005453E2" w:rsidRPr="00125522" w:rsidRDefault="005453E2" w:rsidP="005453E2">
      <w:pPr>
        <w:pStyle w:val="PlainText"/>
        <w:ind w:left="720"/>
        <w:rPr>
          <w:rFonts w:ascii="Arial" w:hAnsi="Arial" w:cs="Arial"/>
          <w:szCs w:val="22"/>
        </w:rPr>
      </w:pPr>
    </w:p>
    <w:p w14:paraId="7038E1F5" w14:textId="77777777" w:rsidR="005453E2" w:rsidRPr="00125522" w:rsidRDefault="005453E2" w:rsidP="005453E2">
      <w:pPr>
        <w:pStyle w:val="PlainText"/>
        <w:ind w:left="720"/>
        <w:rPr>
          <w:rFonts w:ascii="Arial" w:hAnsi="Arial" w:cs="Arial"/>
          <w:szCs w:val="22"/>
        </w:rPr>
      </w:pPr>
    </w:p>
    <w:p w14:paraId="51416572" w14:textId="44013EFE" w:rsidR="00B964E0" w:rsidRPr="008323AB" w:rsidRDefault="008323AB" w:rsidP="008323AB">
      <w:pPr>
        <w:pStyle w:val="ListParagraph"/>
        <w:numPr>
          <w:ilvl w:val="0"/>
          <w:numId w:val="5"/>
        </w:numPr>
        <w:ind w:hanging="720"/>
        <w:rPr>
          <w:rFonts w:ascii="Arial" w:hAnsi="Arial" w:cs="Arial"/>
          <w:b/>
          <w:sz w:val="24"/>
          <w:szCs w:val="24"/>
        </w:rPr>
      </w:pPr>
      <w:r>
        <w:rPr>
          <w:rFonts w:ascii="Arial" w:hAnsi="Arial" w:cs="Arial"/>
          <w:b/>
          <w:sz w:val="24"/>
          <w:szCs w:val="24"/>
        </w:rPr>
        <w:t>Background</w:t>
      </w:r>
    </w:p>
    <w:p w14:paraId="4D0363DE" w14:textId="77777777" w:rsidR="009600DB" w:rsidRPr="009600DB" w:rsidRDefault="009600DB" w:rsidP="009600DB">
      <w:pPr>
        <w:jc w:val="both"/>
        <w:rPr>
          <w:rFonts w:ascii="Arial" w:hAnsi="Arial" w:cs="Arial"/>
          <w:sz w:val="24"/>
          <w:szCs w:val="24"/>
        </w:rPr>
      </w:pPr>
      <w:r w:rsidRPr="009600DB">
        <w:rPr>
          <w:rFonts w:ascii="Arial" w:hAnsi="Arial" w:cs="Arial"/>
          <w:sz w:val="24"/>
          <w:szCs w:val="24"/>
        </w:rPr>
        <w:t xml:space="preserve">The Caribbean is one of the most hazard-prone regions in the world.  The effects of climate change are seen through coastal erosion; saltwater intrusion into coastal agricultural lands and aquifers; an increase in the frequency and intensity of extreme events (including droughts, hurricanes and tropical storms); more frequent and severe coastal inundation and flooding, and disruptions in precipitation and potable water supplies.  </w:t>
      </w:r>
    </w:p>
    <w:p w14:paraId="161B0BE6" w14:textId="3A292C0E" w:rsidR="009600DB" w:rsidRDefault="009600DB" w:rsidP="009600DB">
      <w:pPr>
        <w:jc w:val="both"/>
        <w:rPr>
          <w:rFonts w:ascii="Arial" w:hAnsi="Arial" w:cs="Arial"/>
          <w:sz w:val="24"/>
          <w:szCs w:val="24"/>
        </w:rPr>
      </w:pPr>
      <w:r w:rsidRPr="009600DB">
        <w:rPr>
          <w:rFonts w:ascii="Arial" w:hAnsi="Arial" w:cs="Arial"/>
          <w:sz w:val="24"/>
          <w:szCs w:val="24"/>
        </w:rPr>
        <w:t xml:space="preserve">Recent hazards in the Caribbean have resulted in </w:t>
      </w:r>
      <w:r>
        <w:rPr>
          <w:rFonts w:ascii="Arial" w:hAnsi="Arial" w:cs="Arial"/>
          <w:sz w:val="24"/>
          <w:szCs w:val="24"/>
        </w:rPr>
        <w:t xml:space="preserve">huge </w:t>
      </w:r>
      <w:r w:rsidRPr="009600DB">
        <w:rPr>
          <w:rFonts w:ascii="Arial" w:hAnsi="Arial" w:cs="Arial"/>
          <w:sz w:val="24"/>
          <w:szCs w:val="24"/>
        </w:rPr>
        <w:t>economic losses</w:t>
      </w:r>
      <w:r>
        <w:rPr>
          <w:rFonts w:ascii="Arial" w:hAnsi="Arial" w:cs="Arial"/>
          <w:sz w:val="24"/>
          <w:szCs w:val="24"/>
        </w:rPr>
        <w:t>. Hurricane Maria</w:t>
      </w:r>
      <w:r w:rsidRPr="009600DB">
        <w:rPr>
          <w:rFonts w:ascii="Arial" w:hAnsi="Arial" w:cs="Arial"/>
          <w:sz w:val="24"/>
          <w:szCs w:val="24"/>
        </w:rPr>
        <w:t xml:space="preserve">, for example, caused damage and loss </w:t>
      </w:r>
      <w:r w:rsidR="00432EF2">
        <w:rPr>
          <w:rFonts w:ascii="Arial" w:hAnsi="Arial" w:cs="Arial"/>
          <w:sz w:val="24"/>
          <w:szCs w:val="24"/>
        </w:rPr>
        <w:t xml:space="preserve">of US$1.3 billion in Dominica, while Hurricane Irma caused an evacuation of the entire population of Barbuda from the island. </w:t>
      </w:r>
      <w:r w:rsidRPr="009600DB">
        <w:rPr>
          <w:rFonts w:ascii="Arial" w:hAnsi="Arial" w:cs="Arial"/>
          <w:sz w:val="24"/>
          <w:szCs w:val="24"/>
        </w:rPr>
        <w:t xml:space="preserve"> </w:t>
      </w:r>
    </w:p>
    <w:p w14:paraId="26A43EA3" w14:textId="4DAD4431" w:rsidR="009600DB" w:rsidRPr="009600DB" w:rsidRDefault="009600DB" w:rsidP="009600DB">
      <w:pPr>
        <w:jc w:val="both"/>
        <w:rPr>
          <w:rFonts w:ascii="Arial" w:hAnsi="Arial" w:cs="Arial"/>
          <w:sz w:val="24"/>
          <w:szCs w:val="24"/>
        </w:rPr>
      </w:pPr>
      <w:r w:rsidRPr="009600DB">
        <w:rPr>
          <w:rFonts w:ascii="Arial" w:hAnsi="Arial" w:cs="Arial"/>
          <w:sz w:val="24"/>
          <w:szCs w:val="24"/>
        </w:rPr>
        <w:t xml:space="preserve">Climate change affects the livelihoods of tens of thousands in the Caribbean, particularly women and men involved in the agriculture, fisheries and related sectors that depend on the natural environment for economic security. The greatest impact is predicted to be in tourism, which is a consequence of, among other things, the skewed distribution of population and assets in vulnerable areas (e.g. coastlines).  </w:t>
      </w:r>
    </w:p>
    <w:p w14:paraId="4470B0C0" w14:textId="38DE730C" w:rsidR="00671AFF" w:rsidRDefault="009600DB" w:rsidP="00125522">
      <w:pPr>
        <w:jc w:val="both"/>
        <w:rPr>
          <w:rFonts w:ascii="Arial" w:hAnsi="Arial" w:cs="Arial"/>
          <w:sz w:val="24"/>
          <w:szCs w:val="24"/>
        </w:rPr>
      </w:pPr>
      <w:r w:rsidRPr="009600DB">
        <w:rPr>
          <w:rFonts w:ascii="Arial" w:hAnsi="Arial" w:cs="Arial"/>
          <w:sz w:val="24"/>
          <w:szCs w:val="24"/>
        </w:rPr>
        <w:t xml:space="preserve">Weak growth is related to the sub-region’s reliance on imported fossil fuels for up to 95 percent of its energy needs. This depletes foreign reserves and affects the ability of states to maintain the balance of payments. High energy costs undermine growth and competitiveness at the national level, and create difficulties at the household level: electricity rates were more than $0.40 per kilowatt hour in 2011, with the average </w:t>
      </w:r>
      <w:proofErr w:type="gramStart"/>
      <w:r w:rsidRPr="009600DB">
        <w:rPr>
          <w:rFonts w:ascii="Arial" w:hAnsi="Arial" w:cs="Arial"/>
          <w:sz w:val="24"/>
          <w:szCs w:val="24"/>
        </w:rPr>
        <w:t>low income</w:t>
      </w:r>
      <w:proofErr w:type="gramEnd"/>
      <w:r w:rsidRPr="009600DB">
        <w:rPr>
          <w:rFonts w:ascii="Arial" w:hAnsi="Arial" w:cs="Arial"/>
          <w:sz w:val="24"/>
          <w:szCs w:val="24"/>
        </w:rPr>
        <w:t xml:space="preserve"> household spending up to 11 percent of its income on electricity alone.  </w:t>
      </w:r>
    </w:p>
    <w:p w14:paraId="04B9643C" w14:textId="1C1D4AD3" w:rsidR="00021A9B" w:rsidRDefault="00D81EB0" w:rsidP="00125522">
      <w:pPr>
        <w:jc w:val="both"/>
        <w:rPr>
          <w:rFonts w:ascii="Arial" w:hAnsi="Arial" w:cs="Arial"/>
          <w:sz w:val="24"/>
          <w:szCs w:val="24"/>
        </w:rPr>
      </w:pPr>
      <w:r>
        <w:rPr>
          <w:rFonts w:ascii="Arial" w:hAnsi="Arial" w:cs="Arial"/>
          <w:sz w:val="24"/>
          <w:szCs w:val="24"/>
        </w:rPr>
        <w:t xml:space="preserve">To advance the </w:t>
      </w:r>
      <w:r w:rsidR="00671AFF" w:rsidRPr="00671AFF">
        <w:rPr>
          <w:rFonts w:ascii="Arial" w:hAnsi="Arial" w:cs="Arial"/>
          <w:sz w:val="24"/>
          <w:szCs w:val="24"/>
        </w:rPr>
        <w:t>climate change adaptati</w:t>
      </w:r>
      <w:r w:rsidR="00671AFF">
        <w:rPr>
          <w:rFonts w:ascii="Arial" w:hAnsi="Arial" w:cs="Arial"/>
          <w:sz w:val="24"/>
          <w:szCs w:val="24"/>
        </w:rPr>
        <w:t xml:space="preserve">on, disaster risk reduction, </w:t>
      </w:r>
      <w:r w:rsidR="00671AFF" w:rsidRPr="00671AFF">
        <w:rPr>
          <w:rFonts w:ascii="Arial" w:hAnsi="Arial" w:cs="Arial"/>
          <w:sz w:val="24"/>
          <w:szCs w:val="24"/>
        </w:rPr>
        <w:t xml:space="preserve">universal access to clean and sustainable energy, </w:t>
      </w:r>
      <w:r w:rsidR="006A0B2F" w:rsidRPr="006A0B2F">
        <w:rPr>
          <w:rFonts w:ascii="Arial" w:hAnsi="Arial" w:cs="Arial"/>
          <w:sz w:val="24"/>
          <w:szCs w:val="24"/>
        </w:rPr>
        <w:t xml:space="preserve">Inclusive and sustainable </w:t>
      </w:r>
      <w:r w:rsidR="006A0B2F">
        <w:rPr>
          <w:rFonts w:ascii="Arial" w:hAnsi="Arial" w:cs="Arial"/>
          <w:sz w:val="24"/>
          <w:szCs w:val="24"/>
        </w:rPr>
        <w:t xml:space="preserve">solutions for the conservation and </w:t>
      </w:r>
      <w:r w:rsidR="006A0B2F" w:rsidRPr="006A0B2F">
        <w:rPr>
          <w:rFonts w:ascii="Arial" w:hAnsi="Arial" w:cs="Arial"/>
          <w:sz w:val="24"/>
          <w:szCs w:val="24"/>
        </w:rPr>
        <w:t>restoration and use of ecosystems and natural resources</w:t>
      </w:r>
      <w:r w:rsidR="00432EF2">
        <w:rPr>
          <w:rFonts w:ascii="Arial" w:hAnsi="Arial" w:cs="Arial"/>
          <w:sz w:val="24"/>
          <w:szCs w:val="24"/>
        </w:rPr>
        <w:t>,</w:t>
      </w:r>
      <w:r w:rsidR="006A0B2F" w:rsidRPr="006A0B2F">
        <w:rPr>
          <w:rFonts w:ascii="Arial" w:hAnsi="Arial" w:cs="Arial"/>
          <w:sz w:val="24"/>
          <w:szCs w:val="24"/>
        </w:rPr>
        <w:t xml:space="preserve"> </w:t>
      </w:r>
      <w:r>
        <w:rPr>
          <w:rFonts w:ascii="Arial" w:hAnsi="Arial" w:cs="Arial"/>
          <w:sz w:val="24"/>
          <w:szCs w:val="24"/>
        </w:rPr>
        <w:t xml:space="preserve">the Eastern Caribbean Development Partner Group- </w:t>
      </w:r>
      <w:r w:rsidR="006A0B2F">
        <w:rPr>
          <w:rFonts w:ascii="Arial" w:hAnsi="Arial" w:cs="Arial"/>
          <w:sz w:val="24"/>
          <w:szCs w:val="24"/>
        </w:rPr>
        <w:t>Sustainable and Resilient</w:t>
      </w:r>
      <w:r>
        <w:rPr>
          <w:rFonts w:ascii="Arial" w:hAnsi="Arial" w:cs="Arial"/>
          <w:sz w:val="24"/>
          <w:szCs w:val="24"/>
        </w:rPr>
        <w:t xml:space="preserve"> Caribbean- has been established. </w:t>
      </w:r>
      <w:r w:rsidR="00432EF2">
        <w:rPr>
          <w:rFonts w:ascii="Arial" w:hAnsi="Arial" w:cs="Arial"/>
          <w:sz w:val="24"/>
          <w:szCs w:val="24"/>
        </w:rPr>
        <w:t xml:space="preserve">These priorities are </w:t>
      </w:r>
      <w:r w:rsidR="00432EF2">
        <w:rPr>
          <w:rFonts w:ascii="Arial" w:hAnsi="Arial" w:cs="Arial"/>
          <w:sz w:val="24"/>
          <w:szCs w:val="24"/>
        </w:rPr>
        <w:t>set out in the UN Multi Country Sustainab</w:t>
      </w:r>
      <w:r w:rsidR="00432EF2">
        <w:rPr>
          <w:rFonts w:ascii="Arial" w:hAnsi="Arial" w:cs="Arial"/>
          <w:sz w:val="24"/>
          <w:szCs w:val="24"/>
        </w:rPr>
        <w:t xml:space="preserve">le Development Framework (MSDF) as well. </w:t>
      </w:r>
    </w:p>
    <w:p w14:paraId="2ACC4B22" w14:textId="77777777" w:rsidR="00432EF2" w:rsidRPr="003814D2" w:rsidRDefault="00432EF2" w:rsidP="00125522">
      <w:pPr>
        <w:jc w:val="both"/>
        <w:rPr>
          <w:rFonts w:ascii="Arial" w:hAnsi="Arial" w:cs="Arial"/>
          <w:sz w:val="24"/>
          <w:szCs w:val="24"/>
        </w:rPr>
      </w:pPr>
    </w:p>
    <w:p w14:paraId="72498742" w14:textId="02AD18D3" w:rsidR="00125522" w:rsidRPr="008323AB" w:rsidRDefault="005A6C1E" w:rsidP="008323AB">
      <w:pPr>
        <w:pStyle w:val="ListParagraph"/>
        <w:numPr>
          <w:ilvl w:val="0"/>
          <w:numId w:val="5"/>
        </w:numPr>
        <w:ind w:hanging="720"/>
        <w:rPr>
          <w:rFonts w:ascii="Arial" w:hAnsi="Arial" w:cs="Arial"/>
          <w:b/>
          <w:sz w:val="24"/>
          <w:szCs w:val="24"/>
        </w:rPr>
      </w:pPr>
      <w:r>
        <w:rPr>
          <w:rFonts w:ascii="Arial" w:hAnsi="Arial" w:cs="Arial"/>
          <w:b/>
          <w:sz w:val="24"/>
          <w:szCs w:val="24"/>
        </w:rPr>
        <w:t>Overall Objectives</w:t>
      </w:r>
    </w:p>
    <w:p w14:paraId="143579CF" w14:textId="6B8D6655" w:rsidR="000A7751" w:rsidRPr="008323AB" w:rsidRDefault="000A7751" w:rsidP="000A7751">
      <w:pPr>
        <w:jc w:val="both"/>
        <w:rPr>
          <w:rFonts w:ascii="Arial" w:hAnsi="Arial" w:cs="Arial"/>
          <w:sz w:val="24"/>
          <w:szCs w:val="24"/>
        </w:rPr>
      </w:pPr>
      <w:r w:rsidRPr="008323AB">
        <w:rPr>
          <w:rFonts w:ascii="Arial" w:hAnsi="Arial" w:cs="Arial"/>
          <w:sz w:val="24"/>
          <w:szCs w:val="24"/>
        </w:rPr>
        <w:t>The ECDPG-</w:t>
      </w:r>
      <w:r w:rsidR="005A6C1E">
        <w:rPr>
          <w:rFonts w:ascii="Arial" w:hAnsi="Arial" w:cs="Arial"/>
          <w:sz w:val="24"/>
          <w:szCs w:val="24"/>
        </w:rPr>
        <w:t xml:space="preserve"> “</w:t>
      </w:r>
      <w:r w:rsidR="00432EF2">
        <w:rPr>
          <w:rFonts w:ascii="Arial" w:hAnsi="Arial" w:cs="Arial"/>
          <w:sz w:val="24"/>
          <w:szCs w:val="24"/>
        </w:rPr>
        <w:t>Sustainable and Resilient</w:t>
      </w:r>
      <w:r w:rsidR="00305D5B" w:rsidRPr="008323AB">
        <w:rPr>
          <w:rFonts w:ascii="Arial" w:hAnsi="Arial" w:cs="Arial"/>
          <w:sz w:val="24"/>
          <w:szCs w:val="24"/>
        </w:rPr>
        <w:t xml:space="preserve"> Caribbean</w:t>
      </w:r>
      <w:r w:rsidR="005A6C1E">
        <w:rPr>
          <w:rFonts w:ascii="Arial" w:hAnsi="Arial" w:cs="Arial"/>
          <w:sz w:val="24"/>
          <w:szCs w:val="24"/>
        </w:rPr>
        <w:t>”</w:t>
      </w:r>
      <w:r w:rsidR="00305D5B" w:rsidRPr="008323AB">
        <w:rPr>
          <w:rFonts w:ascii="Arial" w:hAnsi="Arial" w:cs="Arial"/>
          <w:sz w:val="24"/>
          <w:szCs w:val="24"/>
        </w:rPr>
        <w:t xml:space="preserve"> </w:t>
      </w:r>
      <w:r w:rsidRPr="008323AB">
        <w:rPr>
          <w:rFonts w:ascii="Arial" w:hAnsi="Arial" w:cs="Arial"/>
          <w:sz w:val="24"/>
          <w:szCs w:val="24"/>
        </w:rPr>
        <w:t>–</w:t>
      </w:r>
      <w:r w:rsidR="005A6C1E">
        <w:rPr>
          <w:rFonts w:ascii="Arial" w:hAnsi="Arial" w:cs="Arial"/>
          <w:sz w:val="24"/>
          <w:szCs w:val="24"/>
        </w:rPr>
        <w:t xml:space="preserve"> </w:t>
      </w:r>
      <w:r w:rsidRPr="008323AB">
        <w:rPr>
          <w:rFonts w:ascii="Arial" w:hAnsi="Arial" w:cs="Arial"/>
          <w:sz w:val="24"/>
          <w:szCs w:val="24"/>
        </w:rPr>
        <w:t>seeks to maximize its collective impact</w:t>
      </w:r>
      <w:r w:rsidR="00961EA3" w:rsidRPr="008323AB">
        <w:rPr>
          <w:rFonts w:ascii="Arial" w:hAnsi="Arial" w:cs="Arial"/>
          <w:sz w:val="24"/>
          <w:szCs w:val="24"/>
        </w:rPr>
        <w:t xml:space="preserve">, by bringing together </w:t>
      </w:r>
      <w:r w:rsidRPr="008323AB">
        <w:rPr>
          <w:rFonts w:ascii="Arial" w:hAnsi="Arial" w:cs="Arial"/>
          <w:sz w:val="24"/>
          <w:szCs w:val="24"/>
        </w:rPr>
        <w:t xml:space="preserve">donor and development partner agencies, with a view to achieving the </w:t>
      </w:r>
      <w:r w:rsidR="00305D5B" w:rsidRPr="008323AB">
        <w:rPr>
          <w:rFonts w:ascii="Arial" w:hAnsi="Arial" w:cs="Arial"/>
          <w:sz w:val="24"/>
          <w:szCs w:val="24"/>
        </w:rPr>
        <w:t xml:space="preserve">following key objectives: </w:t>
      </w:r>
    </w:p>
    <w:p w14:paraId="4DA06DD2" w14:textId="1EA1DD6B" w:rsidR="00B233A7" w:rsidRDefault="00B233A7" w:rsidP="000A7751">
      <w:pPr>
        <w:pStyle w:val="ListParagraph"/>
        <w:numPr>
          <w:ilvl w:val="0"/>
          <w:numId w:val="4"/>
        </w:numPr>
        <w:spacing w:after="160" w:line="259" w:lineRule="auto"/>
        <w:jc w:val="both"/>
        <w:rPr>
          <w:rFonts w:ascii="Arial" w:hAnsi="Arial" w:cs="Arial"/>
          <w:sz w:val="24"/>
          <w:szCs w:val="24"/>
        </w:rPr>
      </w:pPr>
      <w:r>
        <w:rPr>
          <w:rFonts w:ascii="Arial" w:hAnsi="Arial" w:cs="Arial"/>
          <w:sz w:val="24"/>
          <w:szCs w:val="24"/>
        </w:rPr>
        <w:lastRenderedPageBreak/>
        <w:t>Information Sharing, Consultation, Coordination and Cooperation</w:t>
      </w:r>
    </w:p>
    <w:p w14:paraId="3008D398" w14:textId="77777777" w:rsidR="00997225" w:rsidRDefault="00B233A7" w:rsidP="00B233A7">
      <w:pPr>
        <w:pStyle w:val="ListParagraph"/>
        <w:numPr>
          <w:ilvl w:val="1"/>
          <w:numId w:val="4"/>
        </w:numPr>
        <w:spacing w:after="160" w:line="259" w:lineRule="auto"/>
        <w:jc w:val="both"/>
        <w:rPr>
          <w:rFonts w:ascii="Arial" w:hAnsi="Arial" w:cs="Arial"/>
          <w:sz w:val="24"/>
          <w:szCs w:val="24"/>
        </w:rPr>
      </w:pPr>
      <w:r>
        <w:rPr>
          <w:rFonts w:ascii="Arial" w:hAnsi="Arial" w:cs="Arial"/>
          <w:sz w:val="24"/>
          <w:szCs w:val="24"/>
        </w:rPr>
        <w:t>Provide a forum through which</w:t>
      </w:r>
      <w:r w:rsidR="00997225">
        <w:rPr>
          <w:rFonts w:ascii="Arial" w:hAnsi="Arial" w:cs="Arial"/>
          <w:sz w:val="24"/>
          <w:szCs w:val="24"/>
        </w:rPr>
        <w:t xml:space="preserve"> policy developments, </w:t>
      </w:r>
      <w:r>
        <w:rPr>
          <w:rFonts w:ascii="Arial" w:hAnsi="Arial" w:cs="Arial"/>
          <w:sz w:val="24"/>
          <w:szCs w:val="24"/>
        </w:rPr>
        <w:t>data and opportunities can be broadly shared with working group members</w:t>
      </w:r>
    </w:p>
    <w:p w14:paraId="39A6A580" w14:textId="6D22AEA3" w:rsidR="00142CB1" w:rsidRDefault="00142CB1" w:rsidP="00B233A7">
      <w:pPr>
        <w:pStyle w:val="ListParagraph"/>
        <w:numPr>
          <w:ilvl w:val="1"/>
          <w:numId w:val="4"/>
        </w:numPr>
        <w:spacing w:after="160" w:line="259" w:lineRule="auto"/>
        <w:jc w:val="both"/>
        <w:rPr>
          <w:rFonts w:ascii="Arial" w:hAnsi="Arial" w:cs="Arial"/>
          <w:sz w:val="24"/>
          <w:szCs w:val="24"/>
        </w:rPr>
      </w:pPr>
      <w:r>
        <w:rPr>
          <w:rFonts w:ascii="Arial" w:hAnsi="Arial" w:cs="Arial"/>
          <w:sz w:val="24"/>
          <w:szCs w:val="24"/>
        </w:rPr>
        <w:t>Facilitate the sharing of good practices and les</w:t>
      </w:r>
      <w:r w:rsidR="00C57B0A">
        <w:rPr>
          <w:rFonts w:ascii="Arial" w:hAnsi="Arial" w:cs="Arial"/>
          <w:sz w:val="24"/>
          <w:szCs w:val="24"/>
        </w:rPr>
        <w:t>sons learned on the priority areas of the group</w:t>
      </w:r>
    </w:p>
    <w:p w14:paraId="3D8C743A" w14:textId="77777777" w:rsidR="00997225" w:rsidRDefault="00997225" w:rsidP="00997225">
      <w:pPr>
        <w:pStyle w:val="ListParagraph"/>
        <w:spacing w:after="160" w:line="259" w:lineRule="auto"/>
        <w:ind w:left="1440"/>
        <w:jc w:val="both"/>
        <w:rPr>
          <w:rFonts w:ascii="Arial" w:hAnsi="Arial" w:cs="Arial"/>
          <w:sz w:val="24"/>
          <w:szCs w:val="24"/>
        </w:rPr>
      </w:pPr>
    </w:p>
    <w:p w14:paraId="7D6FEFCA" w14:textId="13F4BFF5" w:rsidR="00997225" w:rsidRDefault="00997225" w:rsidP="00997225">
      <w:pPr>
        <w:pStyle w:val="ListParagraph"/>
        <w:numPr>
          <w:ilvl w:val="0"/>
          <w:numId w:val="4"/>
        </w:numPr>
        <w:spacing w:after="160" w:line="259" w:lineRule="auto"/>
        <w:jc w:val="both"/>
        <w:rPr>
          <w:rFonts w:ascii="Arial" w:hAnsi="Arial" w:cs="Arial"/>
          <w:sz w:val="24"/>
          <w:szCs w:val="24"/>
        </w:rPr>
      </w:pPr>
      <w:r w:rsidRPr="008323AB">
        <w:rPr>
          <w:rFonts w:ascii="Arial" w:hAnsi="Arial" w:cs="Arial"/>
          <w:sz w:val="24"/>
          <w:szCs w:val="24"/>
        </w:rPr>
        <w:t>Harmonization of donor support to recipient governments through Joint Missions, Reviews, Strategic Planning and</w:t>
      </w:r>
      <w:r>
        <w:rPr>
          <w:rFonts w:ascii="Arial" w:hAnsi="Arial" w:cs="Arial"/>
          <w:sz w:val="24"/>
          <w:szCs w:val="24"/>
        </w:rPr>
        <w:t xml:space="preserve"> Advocacy </w:t>
      </w:r>
      <w:r w:rsidRPr="008323AB">
        <w:rPr>
          <w:rFonts w:ascii="Arial" w:hAnsi="Arial" w:cs="Arial"/>
          <w:sz w:val="24"/>
          <w:szCs w:val="24"/>
        </w:rPr>
        <w:t xml:space="preserve"> </w:t>
      </w:r>
    </w:p>
    <w:p w14:paraId="4236CCA9" w14:textId="70BDE1EF" w:rsidR="000A03F7" w:rsidRPr="000A03F7" w:rsidRDefault="00E53A0A" w:rsidP="000A03F7">
      <w:pPr>
        <w:pStyle w:val="ListParagraph"/>
        <w:numPr>
          <w:ilvl w:val="1"/>
          <w:numId w:val="4"/>
        </w:numPr>
        <w:spacing w:after="160" w:line="259" w:lineRule="auto"/>
        <w:jc w:val="both"/>
        <w:rPr>
          <w:rFonts w:ascii="Arial" w:hAnsi="Arial" w:cs="Arial"/>
          <w:sz w:val="24"/>
          <w:szCs w:val="24"/>
        </w:rPr>
      </w:pPr>
      <w:r>
        <w:rPr>
          <w:rFonts w:ascii="Arial" w:hAnsi="Arial" w:cs="Arial"/>
          <w:sz w:val="24"/>
          <w:szCs w:val="24"/>
        </w:rPr>
        <w:t xml:space="preserve">To share </w:t>
      </w:r>
      <w:r w:rsidR="00997225" w:rsidRPr="00E53A0A">
        <w:rPr>
          <w:rFonts w:ascii="Arial" w:hAnsi="Arial" w:cs="Arial"/>
          <w:sz w:val="24"/>
          <w:szCs w:val="24"/>
        </w:rPr>
        <w:t>and reflect on country and reg</w:t>
      </w:r>
      <w:r>
        <w:rPr>
          <w:rFonts w:ascii="Arial" w:hAnsi="Arial" w:cs="Arial"/>
          <w:sz w:val="24"/>
          <w:szCs w:val="24"/>
        </w:rPr>
        <w:t>ional dynamics</w:t>
      </w:r>
      <w:r w:rsidR="00997225" w:rsidRPr="00E53A0A">
        <w:rPr>
          <w:rFonts w:ascii="Arial" w:hAnsi="Arial" w:cs="Arial"/>
          <w:sz w:val="24"/>
          <w:szCs w:val="24"/>
        </w:rPr>
        <w:t xml:space="preserve"> </w:t>
      </w:r>
      <w:proofErr w:type="gramStart"/>
      <w:r w:rsidRPr="00E53A0A">
        <w:rPr>
          <w:rFonts w:ascii="Arial" w:hAnsi="Arial" w:cs="Arial"/>
          <w:sz w:val="24"/>
          <w:szCs w:val="24"/>
        </w:rPr>
        <w:t>in order to</w:t>
      </w:r>
      <w:proofErr w:type="gramEnd"/>
      <w:r w:rsidRPr="00E53A0A">
        <w:rPr>
          <w:rFonts w:ascii="Arial" w:hAnsi="Arial" w:cs="Arial"/>
          <w:sz w:val="24"/>
          <w:szCs w:val="24"/>
        </w:rPr>
        <w:t xml:space="preserve"> address </w:t>
      </w:r>
      <w:r>
        <w:rPr>
          <w:rFonts w:ascii="Arial" w:hAnsi="Arial" w:cs="Arial"/>
          <w:sz w:val="24"/>
          <w:szCs w:val="24"/>
        </w:rPr>
        <w:t xml:space="preserve">policy and operational gaps </w:t>
      </w:r>
      <w:r w:rsidR="000A03F7">
        <w:rPr>
          <w:rFonts w:ascii="Arial" w:hAnsi="Arial" w:cs="Arial"/>
          <w:sz w:val="24"/>
          <w:szCs w:val="24"/>
        </w:rPr>
        <w:t>through individual or collective action</w:t>
      </w:r>
    </w:p>
    <w:p w14:paraId="103B578D" w14:textId="36640711" w:rsidR="00B233A7" w:rsidRDefault="00B233A7" w:rsidP="00B233A7">
      <w:pPr>
        <w:pStyle w:val="ListParagraph"/>
        <w:numPr>
          <w:ilvl w:val="1"/>
          <w:numId w:val="4"/>
        </w:numPr>
        <w:spacing w:after="160" w:line="259" w:lineRule="auto"/>
        <w:jc w:val="both"/>
        <w:rPr>
          <w:rFonts w:ascii="Arial" w:hAnsi="Arial" w:cs="Arial"/>
          <w:sz w:val="24"/>
          <w:szCs w:val="24"/>
        </w:rPr>
      </w:pPr>
      <w:r>
        <w:rPr>
          <w:rFonts w:ascii="Arial" w:hAnsi="Arial" w:cs="Arial"/>
          <w:sz w:val="24"/>
          <w:szCs w:val="24"/>
        </w:rPr>
        <w:t xml:space="preserve">When necessary, articulate a common position on key citizen security related issues that cut across agency mandates and </w:t>
      </w:r>
      <w:r w:rsidR="00997225">
        <w:rPr>
          <w:rFonts w:ascii="Arial" w:hAnsi="Arial" w:cs="Arial"/>
          <w:sz w:val="24"/>
          <w:szCs w:val="24"/>
        </w:rPr>
        <w:t>specializations</w:t>
      </w:r>
      <w:r>
        <w:rPr>
          <w:rFonts w:ascii="Arial" w:hAnsi="Arial" w:cs="Arial"/>
          <w:sz w:val="24"/>
          <w:szCs w:val="24"/>
        </w:rPr>
        <w:t xml:space="preserve"> </w:t>
      </w:r>
    </w:p>
    <w:p w14:paraId="13325110" w14:textId="77777777" w:rsidR="00B233A7" w:rsidRPr="008323AB" w:rsidRDefault="00B233A7" w:rsidP="00997225">
      <w:pPr>
        <w:pStyle w:val="ListParagraph"/>
        <w:spacing w:after="160" w:line="259" w:lineRule="auto"/>
        <w:ind w:left="1440"/>
        <w:jc w:val="both"/>
        <w:rPr>
          <w:rFonts w:ascii="Arial" w:hAnsi="Arial" w:cs="Arial"/>
          <w:sz w:val="24"/>
          <w:szCs w:val="24"/>
        </w:rPr>
      </w:pPr>
    </w:p>
    <w:p w14:paraId="5B374C65" w14:textId="6B55C56D" w:rsidR="00961EA3" w:rsidRDefault="00997225" w:rsidP="000A7751">
      <w:pPr>
        <w:pStyle w:val="ListParagraph"/>
        <w:numPr>
          <w:ilvl w:val="0"/>
          <w:numId w:val="4"/>
        </w:numPr>
        <w:spacing w:after="160" w:line="259" w:lineRule="auto"/>
        <w:jc w:val="both"/>
        <w:rPr>
          <w:rFonts w:ascii="Arial" w:hAnsi="Arial" w:cs="Arial"/>
          <w:sz w:val="24"/>
          <w:szCs w:val="24"/>
        </w:rPr>
      </w:pPr>
      <w:r>
        <w:rPr>
          <w:rFonts w:ascii="Arial" w:hAnsi="Arial" w:cs="Arial"/>
          <w:sz w:val="24"/>
          <w:szCs w:val="24"/>
        </w:rPr>
        <w:t>Advancing</w:t>
      </w:r>
      <w:r w:rsidR="00961EA3" w:rsidRPr="008323AB">
        <w:rPr>
          <w:rFonts w:ascii="Arial" w:hAnsi="Arial" w:cs="Arial"/>
          <w:sz w:val="24"/>
          <w:szCs w:val="24"/>
        </w:rPr>
        <w:t xml:space="preserve"> cross cutting issues of gender and governance. </w:t>
      </w:r>
    </w:p>
    <w:p w14:paraId="1AA710AD" w14:textId="16377A11" w:rsidR="00997225" w:rsidRDefault="00997225" w:rsidP="00997225">
      <w:pPr>
        <w:pStyle w:val="ListParagraph"/>
        <w:numPr>
          <w:ilvl w:val="1"/>
          <w:numId w:val="4"/>
        </w:numPr>
        <w:spacing w:after="160" w:line="259" w:lineRule="auto"/>
        <w:jc w:val="both"/>
        <w:rPr>
          <w:rFonts w:ascii="Arial" w:hAnsi="Arial" w:cs="Arial"/>
          <w:sz w:val="24"/>
          <w:szCs w:val="24"/>
        </w:rPr>
      </w:pPr>
      <w:r>
        <w:rPr>
          <w:rFonts w:ascii="Arial" w:hAnsi="Arial" w:cs="Arial"/>
          <w:sz w:val="24"/>
          <w:szCs w:val="24"/>
        </w:rPr>
        <w:t xml:space="preserve">Formulate and advocate for joint positions on key areas of common interest </w:t>
      </w:r>
    </w:p>
    <w:p w14:paraId="14F2C101" w14:textId="3FE2FEEE" w:rsidR="000A03F7" w:rsidRPr="008323AB" w:rsidRDefault="000A03F7" w:rsidP="00997225">
      <w:pPr>
        <w:pStyle w:val="ListParagraph"/>
        <w:numPr>
          <w:ilvl w:val="1"/>
          <w:numId w:val="4"/>
        </w:numPr>
        <w:spacing w:after="160" w:line="259" w:lineRule="auto"/>
        <w:jc w:val="both"/>
        <w:rPr>
          <w:rFonts w:ascii="Arial" w:hAnsi="Arial" w:cs="Arial"/>
          <w:sz w:val="24"/>
          <w:szCs w:val="24"/>
        </w:rPr>
      </w:pPr>
      <w:r>
        <w:rPr>
          <w:rFonts w:ascii="Arial" w:hAnsi="Arial" w:cs="Arial"/>
          <w:sz w:val="24"/>
          <w:szCs w:val="24"/>
        </w:rPr>
        <w:t>Leverage regional resources to address national needs and priorities</w:t>
      </w:r>
    </w:p>
    <w:p w14:paraId="66B3921A" w14:textId="4F9D01C5" w:rsidR="00EB498F" w:rsidRPr="008323AB" w:rsidRDefault="00EB498F" w:rsidP="0058466E">
      <w:pPr>
        <w:pStyle w:val="ListParagraph"/>
        <w:spacing w:after="160" w:line="259" w:lineRule="auto"/>
        <w:ind w:left="1440"/>
        <w:jc w:val="both"/>
        <w:rPr>
          <w:rFonts w:ascii="Arial" w:hAnsi="Arial" w:cs="Arial"/>
          <w:sz w:val="24"/>
          <w:szCs w:val="24"/>
        </w:rPr>
      </w:pPr>
    </w:p>
    <w:p w14:paraId="276AC567" w14:textId="6CDB8009" w:rsidR="008323AB" w:rsidRPr="008323AB" w:rsidRDefault="005A6C1E" w:rsidP="008323AB">
      <w:pPr>
        <w:pStyle w:val="ListParagraph"/>
        <w:numPr>
          <w:ilvl w:val="0"/>
          <w:numId w:val="5"/>
        </w:numPr>
        <w:ind w:hanging="720"/>
        <w:rPr>
          <w:rFonts w:ascii="Arial" w:hAnsi="Arial" w:cs="Arial"/>
          <w:b/>
          <w:sz w:val="24"/>
          <w:szCs w:val="24"/>
        </w:rPr>
      </w:pPr>
      <w:r>
        <w:rPr>
          <w:rFonts w:ascii="Arial" w:hAnsi="Arial" w:cs="Arial"/>
          <w:b/>
          <w:sz w:val="24"/>
          <w:szCs w:val="24"/>
        </w:rPr>
        <w:t>Leadership</w:t>
      </w:r>
    </w:p>
    <w:p w14:paraId="7BFB6469" w14:textId="09601BB3" w:rsidR="001558DD" w:rsidRPr="008323AB" w:rsidRDefault="001558DD" w:rsidP="008323AB">
      <w:pPr>
        <w:jc w:val="both"/>
        <w:rPr>
          <w:rFonts w:ascii="Arial" w:hAnsi="Arial" w:cs="Arial"/>
          <w:sz w:val="24"/>
          <w:szCs w:val="24"/>
        </w:rPr>
      </w:pPr>
      <w:r w:rsidRPr="008323AB">
        <w:rPr>
          <w:rFonts w:ascii="Arial" w:hAnsi="Arial" w:cs="Arial"/>
          <w:sz w:val="24"/>
          <w:szCs w:val="24"/>
        </w:rPr>
        <w:t>The Working Group will be co-chaired by two agencies, rotating every second year</w:t>
      </w:r>
      <w:r w:rsidR="005A6C1E">
        <w:rPr>
          <w:rFonts w:ascii="Arial" w:hAnsi="Arial" w:cs="Arial"/>
          <w:sz w:val="24"/>
          <w:szCs w:val="24"/>
        </w:rPr>
        <w:t xml:space="preserve"> among member agencies</w:t>
      </w:r>
      <w:r w:rsidRPr="008323AB">
        <w:rPr>
          <w:rFonts w:ascii="Arial" w:hAnsi="Arial" w:cs="Arial"/>
          <w:sz w:val="24"/>
          <w:szCs w:val="24"/>
        </w:rPr>
        <w:t xml:space="preserve">. </w:t>
      </w:r>
      <w:r w:rsidR="00282503" w:rsidRPr="008323AB">
        <w:rPr>
          <w:rFonts w:ascii="Arial" w:hAnsi="Arial" w:cs="Arial"/>
          <w:sz w:val="24"/>
          <w:szCs w:val="24"/>
        </w:rPr>
        <w:t xml:space="preserve">In the first year, the group will be co-chaired by </w:t>
      </w:r>
      <w:r w:rsidR="002B5BEF">
        <w:rPr>
          <w:rFonts w:ascii="Arial" w:hAnsi="Arial" w:cs="Arial"/>
          <w:sz w:val="24"/>
          <w:szCs w:val="24"/>
        </w:rPr>
        <w:t>UNDP</w:t>
      </w:r>
      <w:r w:rsidR="00630D53" w:rsidRPr="008323AB">
        <w:rPr>
          <w:rFonts w:ascii="Arial" w:hAnsi="Arial" w:cs="Arial"/>
          <w:sz w:val="24"/>
          <w:szCs w:val="24"/>
        </w:rPr>
        <w:t xml:space="preserve"> </w:t>
      </w:r>
      <w:r w:rsidR="00630D53">
        <w:rPr>
          <w:rFonts w:ascii="Arial" w:hAnsi="Arial" w:cs="Arial"/>
          <w:sz w:val="24"/>
          <w:szCs w:val="24"/>
        </w:rPr>
        <w:t>and the</w:t>
      </w:r>
      <w:r w:rsidR="008E5305">
        <w:rPr>
          <w:rFonts w:ascii="Arial" w:hAnsi="Arial" w:cs="Arial"/>
          <w:sz w:val="24"/>
          <w:szCs w:val="24"/>
        </w:rPr>
        <w:t xml:space="preserve"> Delegation of the European Union</w:t>
      </w:r>
      <w:r w:rsidR="00282503" w:rsidRPr="008323AB">
        <w:rPr>
          <w:rFonts w:ascii="Arial" w:hAnsi="Arial" w:cs="Arial"/>
          <w:sz w:val="24"/>
          <w:szCs w:val="24"/>
        </w:rPr>
        <w:t>. To ensure continuity, one agency would serve an add</w:t>
      </w:r>
      <w:r w:rsidR="005A6C1E">
        <w:rPr>
          <w:rFonts w:ascii="Arial" w:hAnsi="Arial" w:cs="Arial"/>
          <w:sz w:val="24"/>
          <w:szCs w:val="24"/>
        </w:rPr>
        <w:t xml:space="preserve">itional year. </w:t>
      </w:r>
    </w:p>
    <w:p w14:paraId="7E314ACC" w14:textId="38C6CAB4" w:rsidR="00982D58" w:rsidRPr="008323AB" w:rsidRDefault="008323AB" w:rsidP="008323AB">
      <w:pPr>
        <w:pStyle w:val="ListParagraph"/>
        <w:numPr>
          <w:ilvl w:val="0"/>
          <w:numId w:val="5"/>
        </w:numPr>
        <w:ind w:hanging="720"/>
        <w:rPr>
          <w:rFonts w:ascii="Arial" w:hAnsi="Arial" w:cs="Arial"/>
          <w:b/>
          <w:sz w:val="24"/>
          <w:szCs w:val="24"/>
        </w:rPr>
      </w:pPr>
      <w:r>
        <w:rPr>
          <w:rFonts w:ascii="Arial" w:hAnsi="Arial" w:cs="Arial"/>
          <w:b/>
          <w:sz w:val="24"/>
          <w:szCs w:val="24"/>
        </w:rPr>
        <w:t>Membership</w:t>
      </w:r>
    </w:p>
    <w:p w14:paraId="363D4251" w14:textId="0D637861" w:rsidR="006A011E" w:rsidRDefault="00982D58" w:rsidP="00D81EB0">
      <w:pPr>
        <w:spacing w:after="0"/>
        <w:jc w:val="both"/>
        <w:rPr>
          <w:rFonts w:ascii="Arial" w:hAnsi="Arial" w:cs="Arial"/>
          <w:sz w:val="24"/>
          <w:szCs w:val="24"/>
        </w:rPr>
      </w:pPr>
      <w:r w:rsidRPr="008323AB">
        <w:rPr>
          <w:rFonts w:ascii="Arial" w:hAnsi="Arial" w:cs="Arial"/>
          <w:sz w:val="24"/>
          <w:szCs w:val="24"/>
        </w:rPr>
        <w:t>Membership is open to all multi-lateral and bi-lateral donors and development partners, including the UN agencies</w:t>
      </w:r>
      <w:r w:rsidR="005A6C1E">
        <w:rPr>
          <w:rFonts w:ascii="Arial" w:hAnsi="Arial" w:cs="Arial"/>
          <w:sz w:val="24"/>
          <w:szCs w:val="24"/>
        </w:rPr>
        <w:t xml:space="preserve"> and the OECS Commission</w:t>
      </w:r>
      <w:r w:rsidRPr="008323AB">
        <w:rPr>
          <w:rFonts w:ascii="Arial" w:hAnsi="Arial" w:cs="Arial"/>
          <w:sz w:val="24"/>
          <w:szCs w:val="24"/>
        </w:rPr>
        <w:t xml:space="preserve">, </w:t>
      </w:r>
      <w:r w:rsidR="005A6C1E">
        <w:rPr>
          <w:rFonts w:ascii="Arial" w:hAnsi="Arial" w:cs="Arial"/>
          <w:sz w:val="24"/>
          <w:szCs w:val="24"/>
        </w:rPr>
        <w:t>operating within Barbados and the Eastern Caribbean. Each member agency should</w:t>
      </w:r>
      <w:r w:rsidR="00C84C4B">
        <w:rPr>
          <w:rFonts w:ascii="Arial" w:hAnsi="Arial" w:cs="Arial"/>
          <w:sz w:val="24"/>
          <w:szCs w:val="24"/>
        </w:rPr>
        <w:t xml:space="preserve"> have a focus on priority areas set for this forum</w:t>
      </w:r>
      <w:r w:rsidR="005A6C1E">
        <w:rPr>
          <w:rFonts w:ascii="Arial" w:hAnsi="Arial" w:cs="Arial"/>
          <w:sz w:val="24"/>
          <w:szCs w:val="24"/>
        </w:rPr>
        <w:t xml:space="preserve">. </w:t>
      </w:r>
      <w:r w:rsidRPr="008323AB">
        <w:rPr>
          <w:rFonts w:ascii="Arial" w:hAnsi="Arial" w:cs="Arial"/>
          <w:sz w:val="24"/>
          <w:szCs w:val="24"/>
        </w:rPr>
        <w:t xml:space="preserve"> </w:t>
      </w:r>
      <w:r w:rsidR="005A6C1E">
        <w:rPr>
          <w:rFonts w:ascii="Arial" w:hAnsi="Arial" w:cs="Arial"/>
          <w:sz w:val="24"/>
          <w:szCs w:val="24"/>
        </w:rPr>
        <w:t>From time to time, government agencies and implementing partners m</w:t>
      </w:r>
      <w:r w:rsidR="00630D53">
        <w:rPr>
          <w:rFonts w:ascii="Arial" w:hAnsi="Arial" w:cs="Arial"/>
          <w:sz w:val="24"/>
          <w:szCs w:val="24"/>
        </w:rPr>
        <w:t xml:space="preserve">ay be invited to participate in </w:t>
      </w:r>
      <w:r w:rsidR="005A6C1E">
        <w:rPr>
          <w:rFonts w:ascii="Arial" w:hAnsi="Arial" w:cs="Arial"/>
          <w:sz w:val="24"/>
          <w:szCs w:val="24"/>
        </w:rPr>
        <w:t xml:space="preserve">specific meetings. </w:t>
      </w:r>
    </w:p>
    <w:p w14:paraId="4F7AD4A9" w14:textId="77777777" w:rsidR="006A011E" w:rsidRDefault="006A011E" w:rsidP="00D81EB0">
      <w:pPr>
        <w:spacing w:after="0"/>
        <w:jc w:val="both"/>
        <w:rPr>
          <w:rFonts w:ascii="Arial" w:hAnsi="Arial" w:cs="Arial"/>
          <w:sz w:val="24"/>
          <w:szCs w:val="24"/>
        </w:rPr>
      </w:pPr>
    </w:p>
    <w:p w14:paraId="08418002" w14:textId="5FDFAEA4" w:rsidR="006A011E" w:rsidRDefault="006A011E" w:rsidP="006A011E">
      <w:pPr>
        <w:pStyle w:val="ListParagraph"/>
        <w:numPr>
          <w:ilvl w:val="0"/>
          <w:numId w:val="5"/>
        </w:numPr>
        <w:ind w:hanging="720"/>
        <w:rPr>
          <w:rFonts w:ascii="Arial" w:hAnsi="Arial" w:cs="Arial"/>
          <w:b/>
          <w:sz w:val="24"/>
          <w:szCs w:val="24"/>
        </w:rPr>
      </w:pPr>
      <w:r>
        <w:rPr>
          <w:rFonts w:ascii="Arial" w:hAnsi="Arial" w:cs="Arial"/>
          <w:b/>
          <w:sz w:val="24"/>
          <w:szCs w:val="24"/>
        </w:rPr>
        <w:t>Sub-Committees</w:t>
      </w:r>
    </w:p>
    <w:p w14:paraId="233BAC1C" w14:textId="129748F8" w:rsidR="006A011E" w:rsidRPr="006A011E" w:rsidRDefault="006A011E" w:rsidP="006A011E">
      <w:pPr>
        <w:jc w:val="both"/>
        <w:rPr>
          <w:rFonts w:ascii="Arial" w:hAnsi="Arial" w:cs="Arial"/>
          <w:sz w:val="24"/>
          <w:szCs w:val="24"/>
        </w:rPr>
      </w:pPr>
      <w:proofErr w:type="gramStart"/>
      <w:r w:rsidRPr="006A011E">
        <w:rPr>
          <w:rFonts w:ascii="Arial" w:hAnsi="Arial" w:cs="Arial"/>
          <w:sz w:val="24"/>
          <w:szCs w:val="24"/>
        </w:rPr>
        <w:t>In order to</w:t>
      </w:r>
      <w:proofErr w:type="gramEnd"/>
      <w:r w:rsidRPr="006A011E">
        <w:rPr>
          <w:rFonts w:ascii="Arial" w:hAnsi="Arial" w:cs="Arial"/>
          <w:sz w:val="24"/>
          <w:szCs w:val="24"/>
        </w:rPr>
        <w:t xml:space="preserve"> advance key ar</w:t>
      </w:r>
      <w:r w:rsidR="008246F3">
        <w:rPr>
          <w:rFonts w:ascii="Arial" w:hAnsi="Arial" w:cs="Arial"/>
          <w:sz w:val="24"/>
          <w:szCs w:val="24"/>
        </w:rPr>
        <w:t>eas of work, sub-committees may</w:t>
      </w:r>
      <w:r w:rsidRPr="006A011E">
        <w:rPr>
          <w:rFonts w:ascii="Arial" w:hAnsi="Arial" w:cs="Arial"/>
          <w:sz w:val="24"/>
          <w:szCs w:val="24"/>
        </w:rPr>
        <w:t xml:space="preserve"> be established for defined periods of time to undertake specific areas of work. The output from these </w:t>
      </w:r>
      <w:r w:rsidR="00247B8D">
        <w:rPr>
          <w:rFonts w:ascii="Arial" w:hAnsi="Arial" w:cs="Arial"/>
          <w:sz w:val="24"/>
          <w:szCs w:val="24"/>
        </w:rPr>
        <w:t>sub-</w:t>
      </w:r>
      <w:bookmarkStart w:id="0" w:name="_GoBack"/>
      <w:bookmarkEnd w:id="0"/>
      <w:r w:rsidRPr="006A011E">
        <w:rPr>
          <w:rFonts w:ascii="Arial" w:hAnsi="Arial" w:cs="Arial"/>
          <w:sz w:val="24"/>
          <w:szCs w:val="24"/>
        </w:rPr>
        <w:t xml:space="preserve">committees will be circulated for broader consultation and eventual sign off by the Working Group. </w:t>
      </w:r>
      <w:r>
        <w:rPr>
          <w:rFonts w:ascii="Arial" w:hAnsi="Arial" w:cs="Arial"/>
          <w:sz w:val="24"/>
          <w:szCs w:val="24"/>
        </w:rPr>
        <w:t xml:space="preserve">Each sub-committee will develop its Terms of Reference and will nominate/ elect its Chair.  </w:t>
      </w:r>
    </w:p>
    <w:p w14:paraId="501FDDE5" w14:textId="77777777" w:rsidR="006A011E" w:rsidRPr="008323AB" w:rsidRDefault="006A011E" w:rsidP="006A011E">
      <w:pPr>
        <w:pStyle w:val="ListParagraph"/>
        <w:numPr>
          <w:ilvl w:val="0"/>
          <w:numId w:val="5"/>
        </w:numPr>
        <w:ind w:hanging="720"/>
        <w:rPr>
          <w:rFonts w:ascii="Arial" w:hAnsi="Arial" w:cs="Arial"/>
          <w:b/>
          <w:sz w:val="24"/>
          <w:szCs w:val="24"/>
        </w:rPr>
      </w:pPr>
      <w:r>
        <w:rPr>
          <w:rFonts w:ascii="Arial" w:hAnsi="Arial" w:cs="Arial"/>
          <w:b/>
          <w:sz w:val="24"/>
          <w:szCs w:val="24"/>
        </w:rPr>
        <w:t>Meetings</w:t>
      </w:r>
    </w:p>
    <w:p w14:paraId="71907F91" w14:textId="77777777" w:rsidR="006A011E" w:rsidRPr="008323AB" w:rsidRDefault="006A011E" w:rsidP="006A011E">
      <w:pPr>
        <w:jc w:val="both"/>
        <w:rPr>
          <w:rFonts w:ascii="Arial" w:hAnsi="Arial" w:cs="Arial"/>
          <w:sz w:val="24"/>
          <w:szCs w:val="24"/>
        </w:rPr>
      </w:pPr>
      <w:r w:rsidRPr="008323AB">
        <w:rPr>
          <w:rFonts w:ascii="Arial" w:hAnsi="Arial" w:cs="Arial"/>
          <w:sz w:val="24"/>
          <w:szCs w:val="24"/>
        </w:rPr>
        <w:t>The working group will meet formally three to four times a year</w:t>
      </w:r>
      <w:r>
        <w:rPr>
          <w:rFonts w:ascii="Arial" w:hAnsi="Arial" w:cs="Arial"/>
          <w:sz w:val="24"/>
          <w:szCs w:val="24"/>
        </w:rPr>
        <w:t xml:space="preserve"> in Barbados</w:t>
      </w:r>
      <w:r w:rsidRPr="008323AB">
        <w:rPr>
          <w:rFonts w:ascii="Arial" w:hAnsi="Arial" w:cs="Arial"/>
          <w:sz w:val="24"/>
          <w:szCs w:val="24"/>
        </w:rPr>
        <w:t>.</w:t>
      </w:r>
      <w:r>
        <w:rPr>
          <w:rFonts w:ascii="Arial" w:hAnsi="Arial" w:cs="Arial"/>
          <w:sz w:val="24"/>
          <w:szCs w:val="24"/>
        </w:rPr>
        <w:t xml:space="preserve"> </w:t>
      </w:r>
      <w:r w:rsidRPr="008323AB">
        <w:rPr>
          <w:rFonts w:ascii="Arial" w:hAnsi="Arial" w:cs="Arial"/>
          <w:sz w:val="24"/>
          <w:szCs w:val="24"/>
        </w:rPr>
        <w:t xml:space="preserve"> </w:t>
      </w:r>
      <w:r>
        <w:rPr>
          <w:rFonts w:ascii="Arial" w:hAnsi="Arial" w:cs="Arial"/>
          <w:sz w:val="24"/>
          <w:szCs w:val="24"/>
        </w:rPr>
        <w:t xml:space="preserve">Although all efforts will be made to have face to face meetings, technology will be leveraged to ensure maximum participation of agencies that </w:t>
      </w:r>
      <w:proofErr w:type="gramStart"/>
      <w:r>
        <w:rPr>
          <w:rFonts w:ascii="Arial" w:hAnsi="Arial" w:cs="Arial"/>
          <w:sz w:val="24"/>
          <w:szCs w:val="24"/>
        </w:rPr>
        <w:t>are located in</w:t>
      </w:r>
      <w:proofErr w:type="gramEnd"/>
      <w:r>
        <w:rPr>
          <w:rFonts w:ascii="Arial" w:hAnsi="Arial" w:cs="Arial"/>
          <w:sz w:val="24"/>
          <w:szCs w:val="24"/>
        </w:rPr>
        <w:t xml:space="preserve"> different countries. </w:t>
      </w:r>
    </w:p>
    <w:p w14:paraId="6501AEC6" w14:textId="77777777" w:rsidR="006A011E" w:rsidRDefault="006A011E" w:rsidP="00D81EB0">
      <w:pPr>
        <w:spacing w:after="0"/>
        <w:jc w:val="both"/>
        <w:rPr>
          <w:rFonts w:ascii="Arial" w:hAnsi="Arial" w:cs="Arial"/>
          <w:sz w:val="24"/>
          <w:szCs w:val="24"/>
        </w:rPr>
      </w:pPr>
    </w:p>
    <w:p w14:paraId="2B8ED349" w14:textId="77777777" w:rsidR="006A011E" w:rsidRPr="008323AB" w:rsidRDefault="006A011E" w:rsidP="006A011E">
      <w:pPr>
        <w:pStyle w:val="ListParagraph"/>
        <w:numPr>
          <w:ilvl w:val="0"/>
          <w:numId w:val="5"/>
        </w:numPr>
        <w:ind w:hanging="720"/>
        <w:rPr>
          <w:rFonts w:ascii="Arial" w:hAnsi="Arial" w:cs="Arial"/>
          <w:b/>
          <w:sz w:val="24"/>
          <w:szCs w:val="24"/>
        </w:rPr>
      </w:pPr>
      <w:r>
        <w:rPr>
          <w:rFonts w:ascii="Arial" w:hAnsi="Arial" w:cs="Arial"/>
          <w:b/>
          <w:sz w:val="24"/>
          <w:szCs w:val="24"/>
        </w:rPr>
        <w:t>Secretariat</w:t>
      </w:r>
    </w:p>
    <w:p w14:paraId="214C6479" w14:textId="77777777" w:rsidR="006A011E" w:rsidRPr="008323AB" w:rsidRDefault="006A011E" w:rsidP="006A011E">
      <w:pPr>
        <w:jc w:val="both"/>
        <w:rPr>
          <w:rFonts w:ascii="Arial" w:hAnsi="Arial" w:cs="Arial"/>
          <w:b/>
          <w:sz w:val="24"/>
          <w:szCs w:val="24"/>
        </w:rPr>
      </w:pPr>
      <w:r w:rsidRPr="008323AB">
        <w:rPr>
          <w:rFonts w:ascii="Arial" w:hAnsi="Arial" w:cs="Arial"/>
          <w:sz w:val="24"/>
          <w:szCs w:val="24"/>
        </w:rPr>
        <w:t>The agencies identified as Co-Chairs would serve as a joint secretariat and will support the work of the group. These actions include logistical arrangements for meetings, minute preparation and distribution of materials relevant to the working group.</w:t>
      </w:r>
      <w:r w:rsidRPr="008323AB">
        <w:rPr>
          <w:rFonts w:ascii="Arial" w:hAnsi="Arial" w:cs="Arial"/>
          <w:b/>
          <w:sz w:val="24"/>
          <w:szCs w:val="24"/>
        </w:rPr>
        <w:t xml:space="preserve"> </w:t>
      </w:r>
    </w:p>
    <w:p w14:paraId="0C9AD94B" w14:textId="77777777" w:rsidR="006A011E" w:rsidRPr="00982D58" w:rsidRDefault="006A011E" w:rsidP="00D81EB0">
      <w:pPr>
        <w:spacing w:after="0"/>
        <w:jc w:val="both"/>
        <w:rPr>
          <w:rFonts w:ascii="Arial" w:hAnsi="Arial" w:cs="Arial"/>
          <w:sz w:val="24"/>
          <w:szCs w:val="24"/>
        </w:rPr>
      </w:pPr>
    </w:p>
    <w:sectPr w:rsidR="006A011E" w:rsidRPr="00982D58">
      <w:headerReference w:type="even" r:id="rId8"/>
      <w:headerReference w:type="default" r:id="rId9"/>
      <w:footerReference w:type="default" r:id="rId10"/>
      <w:head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03D59" w14:textId="77777777" w:rsidR="00C331C5" w:rsidRDefault="00C331C5" w:rsidP="00125522">
      <w:pPr>
        <w:spacing w:after="0" w:line="240" w:lineRule="auto"/>
      </w:pPr>
      <w:r>
        <w:separator/>
      </w:r>
    </w:p>
  </w:endnote>
  <w:endnote w:type="continuationSeparator" w:id="0">
    <w:p w14:paraId="4278D03F" w14:textId="77777777" w:rsidR="00C331C5" w:rsidRDefault="00C331C5" w:rsidP="00125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127276"/>
      <w:docPartObj>
        <w:docPartGallery w:val="Page Numbers (Bottom of Page)"/>
        <w:docPartUnique/>
      </w:docPartObj>
    </w:sdtPr>
    <w:sdtEndPr>
      <w:rPr>
        <w:noProof/>
      </w:rPr>
    </w:sdtEndPr>
    <w:sdtContent>
      <w:p w14:paraId="47126464" w14:textId="6B5E232B" w:rsidR="00021A9B" w:rsidRDefault="00021A9B">
        <w:pPr>
          <w:pStyle w:val="Footer"/>
          <w:jc w:val="center"/>
        </w:pPr>
        <w:r>
          <w:fldChar w:fldCharType="begin"/>
        </w:r>
        <w:r>
          <w:instrText xml:space="preserve"> PAGE   \* MERGEFORMAT </w:instrText>
        </w:r>
        <w:r>
          <w:fldChar w:fldCharType="separate"/>
        </w:r>
        <w:r w:rsidR="00247B8D">
          <w:rPr>
            <w:noProof/>
          </w:rPr>
          <w:t>3</w:t>
        </w:r>
        <w:r>
          <w:rPr>
            <w:noProof/>
          </w:rPr>
          <w:fldChar w:fldCharType="end"/>
        </w:r>
      </w:p>
    </w:sdtContent>
  </w:sdt>
  <w:p w14:paraId="27A23A47" w14:textId="77777777" w:rsidR="00021A9B" w:rsidRDefault="00021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501BA" w14:textId="77777777" w:rsidR="00C331C5" w:rsidRDefault="00C331C5" w:rsidP="00125522">
      <w:pPr>
        <w:spacing w:after="0" w:line="240" w:lineRule="auto"/>
      </w:pPr>
      <w:r>
        <w:separator/>
      </w:r>
    </w:p>
  </w:footnote>
  <w:footnote w:type="continuationSeparator" w:id="0">
    <w:p w14:paraId="0F4C5A0C" w14:textId="77777777" w:rsidR="00C331C5" w:rsidRDefault="00C331C5" w:rsidP="00125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CBF50" w14:textId="77777777" w:rsidR="00021A9B" w:rsidRDefault="00C331C5">
    <w:pPr>
      <w:pStyle w:val="Header"/>
    </w:pPr>
    <w:r>
      <w:rPr>
        <w:noProof/>
      </w:rPr>
      <w:pict w14:anchorId="0790C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0485"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30247" w14:textId="77777777" w:rsidR="00021A9B" w:rsidRDefault="00C331C5">
    <w:pPr>
      <w:pStyle w:val="Header"/>
    </w:pPr>
    <w:r>
      <w:rPr>
        <w:noProof/>
      </w:rPr>
      <w:pict w14:anchorId="57B07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0486"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15622" w14:textId="77777777" w:rsidR="00021A9B" w:rsidRDefault="00C331C5">
    <w:pPr>
      <w:pStyle w:val="Header"/>
    </w:pPr>
    <w:r>
      <w:rPr>
        <w:noProof/>
      </w:rPr>
      <w:pict w14:anchorId="27EB2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0484"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A7A12"/>
    <w:multiLevelType w:val="hybridMultilevel"/>
    <w:tmpl w:val="C0D435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E60EA7"/>
    <w:multiLevelType w:val="multilevel"/>
    <w:tmpl w:val="C3BA7314"/>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 w15:restartNumberingAfterBreak="0">
    <w:nsid w:val="6AE51EED"/>
    <w:multiLevelType w:val="hybridMultilevel"/>
    <w:tmpl w:val="84E0F4C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941CE"/>
    <w:multiLevelType w:val="hybridMultilevel"/>
    <w:tmpl w:val="81CCE028"/>
    <w:lvl w:ilvl="0" w:tplc="1F823004">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5AB6ED6"/>
    <w:multiLevelType w:val="hybridMultilevel"/>
    <w:tmpl w:val="D6C26082"/>
    <w:lvl w:ilvl="0" w:tplc="C840E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E2"/>
    <w:rsid w:val="00021A9B"/>
    <w:rsid w:val="00061D5E"/>
    <w:rsid w:val="00094226"/>
    <w:rsid w:val="00094344"/>
    <w:rsid w:val="000A03F7"/>
    <w:rsid w:val="000A7751"/>
    <w:rsid w:val="00125522"/>
    <w:rsid w:val="0014207B"/>
    <w:rsid w:val="00142CB1"/>
    <w:rsid w:val="001558DD"/>
    <w:rsid w:val="00186C33"/>
    <w:rsid w:val="001C559C"/>
    <w:rsid w:val="001C65EE"/>
    <w:rsid w:val="001D305F"/>
    <w:rsid w:val="001F10AD"/>
    <w:rsid w:val="00247B8D"/>
    <w:rsid w:val="00282503"/>
    <w:rsid w:val="002B5BEF"/>
    <w:rsid w:val="002C7E63"/>
    <w:rsid w:val="00305D5B"/>
    <w:rsid w:val="00360D4D"/>
    <w:rsid w:val="003814D2"/>
    <w:rsid w:val="003E28BC"/>
    <w:rsid w:val="00431F1B"/>
    <w:rsid w:val="00432EF2"/>
    <w:rsid w:val="004355DA"/>
    <w:rsid w:val="00482C85"/>
    <w:rsid w:val="00544F93"/>
    <w:rsid w:val="005453E2"/>
    <w:rsid w:val="0058466E"/>
    <w:rsid w:val="005A6C1E"/>
    <w:rsid w:val="005A72AF"/>
    <w:rsid w:val="00606BC9"/>
    <w:rsid w:val="00630D53"/>
    <w:rsid w:val="00671AFF"/>
    <w:rsid w:val="006A011E"/>
    <w:rsid w:val="006A0B2F"/>
    <w:rsid w:val="007D3E4A"/>
    <w:rsid w:val="0080104B"/>
    <w:rsid w:val="00804078"/>
    <w:rsid w:val="008246F3"/>
    <w:rsid w:val="00831C3C"/>
    <w:rsid w:val="008323AB"/>
    <w:rsid w:val="008B21E7"/>
    <w:rsid w:val="008C2973"/>
    <w:rsid w:val="008E5305"/>
    <w:rsid w:val="009600DB"/>
    <w:rsid w:val="00961EA3"/>
    <w:rsid w:val="00981E44"/>
    <w:rsid w:val="00982D58"/>
    <w:rsid w:val="00997225"/>
    <w:rsid w:val="009A0137"/>
    <w:rsid w:val="009F15C4"/>
    <w:rsid w:val="00A7697A"/>
    <w:rsid w:val="00AA059A"/>
    <w:rsid w:val="00AD2A19"/>
    <w:rsid w:val="00AF7954"/>
    <w:rsid w:val="00B233A7"/>
    <w:rsid w:val="00B964E0"/>
    <w:rsid w:val="00BE73ED"/>
    <w:rsid w:val="00C272E5"/>
    <w:rsid w:val="00C27C0F"/>
    <w:rsid w:val="00C331C5"/>
    <w:rsid w:val="00C41AE1"/>
    <w:rsid w:val="00C57B0A"/>
    <w:rsid w:val="00C81139"/>
    <w:rsid w:val="00C84C4B"/>
    <w:rsid w:val="00D67489"/>
    <w:rsid w:val="00D81EB0"/>
    <w:rsid w:val="00E078E9"/>
    <w:rsid w:val="00E53A0A"/>
    <w:rsid w:val="00EA15EB"/>
    <w:rsid w:val="00EB498F"/>
    <w:rsid w:val="00F84F7C"/>
    <w:rsid w:val="00F94083"/>
    <w:rsid w:val="00FB2956"/>
    <w:rsid w:val="00FF7E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293073"/>
  <w15:docId w15:val="{B2B90C3C-45EF-4C5B-9FCA-0BE26363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453E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453E2"/>
    <w:rPr>
      <w:rFonts w:ascii="Calibri" w:hAnsi="Calibri"/>
      <w:szCs w:val="21"/>
      <w:lang w:val="en-US"/>
    </w:rPr>
  </w:style>
  <w:style w:type="paragraph" w:styleId="ListParagraph">
    <w:name w:val="List Paragraph"/>
    <w:aliases w:val="List Paragraph (numbered (a)),Resume Title,Citation List,heading 4,Bullet List,FooterText,List Paragraph1,Colorful List Accent 1,numbered,Paragraphe de liste1,列出段落,列出段落1,Bulletr List Paragraph,List Paragraph2,List Paragraph21"/>
    <w:basedOn w:val="Normal"/>
    <w:link w:val="ListParagraphChar"/>
    <w:uiPriority w:val="34"/>
    <w:qFormat/>
    <w:rsid w:val="001F10AD"/>
    <w:pPr>
      <w:ind w:left="720"/>
      <w:contextualSpacing/>
    </w:pPr>
  </w:style>
  <w:style w:type="paragraph" w:styleId="Header">
    <w:name w:val="header"/>
    <w:basedOn w:val="Normal"/>
    <w:link w:val="HeaderChar"/>
    <w:uiPriority w:val="99"/>
    <w:unhideWhenUsed/>
    <w:rsid w:val="00125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522"/>
    <w:rPr>
      <w:lang w:val="en-US"/>
    </w:rPr>
  </w:style>
  <w:style w:type="paragraph" w:styleId="Footer">
    <w:name w:val="footer"/>
    <w:basedOn w:val="Normal"/>
    <w:link w:val="FooterChar"/>
    <w:uiPriority w:val="99"/>
    <w:unhideWhenUsed/>
    <w:rsid w:val="00125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522"/>
    <w:rPr>
      <w:lang w:val="en-US"/>
    </w:rPr>
  </w:style>
  <w:style w:type="character" w:customStyle="1" w:styleId="ListParagraphChar">
    <w:name w:val="List Paragraph Char"/>
    <w:aliases w:val="List Paragraph (numbered (a)) Char,Resume Title Char,Citation List Char,heading 4 Char,Bullet List Char,FooterText Char,List Paragraph1 Char,Colorful List Accent 1 Char,numbered Char,Paragraphe de liste1 Char,列出段落 Char,列出段落1 Char"/>
    <w:link w:val="ListParagraph"/>
    <w:uiPriority w:val="34"/>
    <w:locked/>
    <w:rsid w:val="00125522"/>
    <w:rPr>
      <w:lang w:val="en-US"/>
    </w:rPr>
  </w:style>
  <w:style w:type="character" w:styleId="CommentReference">
    <w:name w:val="annotation reference"/>
    <w:uiPriority w:val="99"/>
    <w:semiHidden/>
    <w:unhideWhenUsed/>
    <w:rsid w:val="00831C3C"/>
    <w:rPr>
      <w:sz w:val="16"/>
      <w:szCs w:val="16"/>
    </w:rPr>
  </w:style>
  <w:style w:type="paragraph" w:styleId="CommentText">
    <w:name w:val="annotation text"/>
    <w:basedOn w:val="Normal"/>
    <w:link w:val="CommentTextChar"/>
    <w:uiPriority w:val="99"/>
    <w:semiHidden/>
    <w:unhideWhenUsed/>
    <w:rsid w:val="00831C3C"/>
    <w:pPr>
      <w:spacing w:after="160" w:line="240" w:lineRule="auto"/>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831C3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831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C3C"/>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F84F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F7C"/>
    <w:rPr>
      <w:sz w:val="20"/>
      <w:szCs w:val="20"/>
      <w:lang w:val="en-US"/>
    </w:rPr>
  </w:style>
  <w:style w:type="character" w:styleId="FootnoteReference">
    <w:name w:val="footnote reference"/>
    <w:basedOn w:val="DefaultParagraphFont"/>
    <w:uiPriority w:val="99"/>
    <w:semiHidden/>
    <w:unhideWhenUsed/>
    <w:rsid w:val="00F84F7C"/>
    <w:rPr>
      <w:vertAlign w:val="superscript"/>
    </w:rPr>
  </w:style>
  <w:style w:type="paragraph" w:styleId="CommentSubject">
    <w:name w:val="annotation subject"/>
    <w:basedOn w:val="CommentText"/>
    <w:next w:val="CommentText"/>
    <w:link w:val="CommentSubjectChar"/>
    <w:uiPriority w:val="99"/>
    <w:semiHidden/>
    <w:unhideWhenUsed/>
    <w:rsid w:val="00C27C0F"/>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C27C0F"/>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11412">
      <w:bodyDiv w:val="1"/>
      <w:marLeft w:val="0"/>
      <w:marRight w:val="0"/>
      <w:marTop w:val="0"/>
      <w:marBottom w:val="0"/>
      <w:divBdr>
        <w:top w:val="none" w:sz="0" w:space="0" w:color="auto"/>
        <w:left w:val="none" w:sz="0" w:space="0" w:color="auto"/>
        <w:bottom w:val="none" w:sz="0" w:space="0" w:color="auto"/>
        <w:right w:val="none" w:sz="0" w:space="0" w:color="auto"/>
      </w:divBdr>
    </w:div>
    <w:div w:id="678048353">
      <w:bodyDiv w:val="1"/>
      <w:marLeft w:val="0"/>
      <w:marRight w:val="0"/>
      <w:marTop w:val="0"/>
      <w:marBottom w:val="0"/>
      <w:divBdr>
        <w:top w:val="none" w:sz="0" w:space="0" w:color="auto"/>
        <w:left w:val="none" w:sz="0" w:space="0" w:color="auto"/>
        <w:bottom w:val="none" w:sz="0" w:space="0" w:color="auto"/>
        <w:right w:val="none" w:sz="0" w:space="0" w:color="auto"/>
      </w:divBdr>
    </w:div>
    <w:div w:id="104275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55FC-7DAC-40EE-BBB7-1BA57478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Unai Sacona</dc:creator>
  <cp:lastModifiedBy>Chisa Mikami</cp:lastModifiedBy>
  <cp:revision>13</cp:revision>
  <cp:lastPrinted>2017-09-07T18:19:00Z</cp:lastPrinted>
  <dcterms:created xsi:type="dcterms:W3CDTF">2017-11-14T13:36:00Z</dcterms:created>
  <dcterms:modified xsi:type="dcterms:W3CDTF">2017-11-14T14:21:00Z</dcterms:modified>
</cp:coreProperties>
</file>