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1F3BF5" w:rsidRPr="0087710C" w:rsidTr="001F3BF5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F3BF5" w:rsidRPr="0087710C" w:rsidRDefault="001F3BF5" w:rsidP="00D01546">
            <w:pPr>
              <w:pStyle w:val="ZCom"/>
            </w:pPr>
            <w:bookmarkStart w:id="0" w:name="_GoBack"/>
            <w:bookmarkEnd w:id="0"/>
            <w:r w:rsidRPr="0087710C">
              <w:rPr>
                <w:noProof/>
                <w:sz w:val="20"/>
                <w:szCs w:val="20"/>
              </w:rPr>
              <w:drawing>
                <wp:inline distT="0" distB="0" distL="0" distR="0" wp14:anchorId="588E19EB" wp14:editId="5E853D96">
                  <wp:extent cx="1363980" cy="678180"/>
                  <wp:effectExtent l="0" t="0" r="7620" b="7620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F3BF5" w:rsidRPr="0087710C" w:rsidRDefault="001F3BF5" w:rsidP="00D01546">
            <w:pPr>
              <w:pStyle w:val="ZCom"/>
              <w:spacing w:before="90"/>
            </w:pPr>
            <w:r w:rsidRPr="0087710C">
              <w:t>EUROPEAN COMMISSION</w:t>
            </w:r>
          </w:p>
          <w:p w:rsidR="001F3BF5" w:rsidRPr="0087710C" w:rsidRDefault="001F3BF5" w:rsidP="00D01546">
            <w:pPr>
              <w:pStyle w:val="ZDGName"/>
            </w:pPr>
            <w:r w:rsidRPr="0087710C">
              <w:t xml:space="preserve">Directorate-General for International Cooperation and Development </w:t>
            </w:r>
          </w:p>
          <w:p w:rsidR="001F3BF5" w:rsidRPr="0087710C" w:rsidRDefault="001F3BF5" w:rsidP="00D01546">
            <w:pPr>
              <w:spacing w:after="0"/>
              <w:rPr>
                <w:rFonts w:ascii="Arial" w:hAnsi="Arial"/>
                <w:b/>
                <w:sz w:val="16"/>
                <w:lang w:val="en-GB"/>
              </w:rPr>
            </w:pPr>
            <w:r w:rsidRPr="0087710C">
              <w:rPr>
                <w:lang w:val="en-GB"/>
              </w:rPr>
              <w:br/>
            </w:r>
            <w:r w:rsidRPr="0087710C">
              <w:rPr>
                <w:rFonts w:ascii="Arial" w:hAnsi="Arial" w:cs="Arial"/>
                <w:b/>
                <w:sz w:val="16"/>
                <w:szCs w:val="16"/>
                <w:lang w:val="en-GB" w:eastAsia="en-GB"/>
              </w:rPr>
              <w:t>DEVCO 05</w:t>
            </w:r>
          </w:p>
          <w:p w:rsidR="001F3BF5" w:rsidRPr="0087710C" w:rsidRDefault="001F3BF5" w:rsidP="00D01546">
            <w:pPr>
              <w:widowControl w:val="0"/>
              <w:autoSpaceDE w:val="0"/>
              <w:autoSpaceDN w:val="0"/>
              <w:spacing w:after="0"/>
              <w:ind w:right="85"/>
              <w:rPr>
                <w:rFonts w:ascii="Arial" w:hAnsi="Arial"/>
                <w:sz w:val="16"/>
                <w:lang w:val="en-GB"/>
              </w:rPr>
            </w:pPr>
            <w:r w:rsidRPr="0087710C">
              <w:rPr>
                <w:rFonts w:ascii="Arial" w:hAnsi="Arial"/>
                <w:sz w:val="16"/>
                <w:lang w:val="en-GB"/>
              </w:rPr>
              <w:t>Results and business processes</w:t>
            </w:r>
          </w:p>
          <w:p w:rsidR="001F3BF5" w:rsidRPr="0087710C" w:rsidRDefault="001F3BF5" w:rsidP="00D01546">
            <w:pPr>
              <w:pStyle w:val="ZDGName"/>
            </w:pPr>
          </w:p>
        </w:tc>
      </w:tr>
    </w:tbl>
    <w:bookmarkStart w:id="1" w:name="eltqTitle"/>
    <w:p w:rsidR="001F3BF5" w:rsidRPr="001F3BF5" w:rsidRDefault="00BC22BB" w:rsidP="001F3BF5">
      <w:pPr>
        <w:pStyle w:val="Title"/>
        <w:rPr>
          <w:rFonts w:ascii="Century Gothic" w:hAnsi="Century Gothic"/>
          <w:color w:val="9BBB59" w:themeColor="accent3"/>
          <w:lang w:val="en-GB"/>
        </w:rPr>
      </w:pPr>
      <w:sdt>
        <w:sdtPr>
          <w:rPr>
            <w:rFonts w:ascii="Century Gothic" w:hAnsi="Century Gothic"/>
            <w:sz w:val="40"/>
            <w:szCs w:val="40"/>
            <w:lang w:val="en-GB"/>
          </w:rPr>
          <w:id w:val="745540532"/>
          <w:placeholder>
            <w:docPart w:val="0DC06834F47B486A82ECB5B8DB317582"/>
          </w:placeholder>
        </w:sdtPr>
        <w:sdtEndPr>
          <w:rPr>
            <w:sz w:val="44"/>
            <w:szCs w:val="50"/>
          </w:rPr>
        </w:sdtEndPr>
        <w:sdtContent>
          <w:r w:rsidR="00FD117A" w:rsidRPr="00FD117A">
            <w:rPr>
              <w:rFonts w:ascii="Century Gothic" w:hAnsi="Century Gothic"/>
              <w:sz w:val="40"/>
              <w:szCs w:val="40"/>
              <w:lang w:val="en-GB"/>
            </w:rPr>
            <w:t>Types</w:t>
          </w:r>
          <w:r w:rsidR="00CE6F58" w:rsidRPr="00FD117A">
            <w:rPr>
              <w:rFonts w:ascii="Century Gothic" w:hAnsi="Century Gothic"/>
              <w:sz w:val="40"/>
              <w:szCs w:val="40"/>
              <w:lang w:val="en-GB"/>
            </w:rPr>
            <w:t xml:space="preserve"> of implementing partners </w:t>
          </w:r>
          <w:r w:rsidR="00FD117A" w:rsidRPr="00FD117A">
            <w:rPr>
              <w:rFonts w:ascii="Century Gothic" w:hAnsi="Century Gothic"/>
              <w:sz w:val="40"/>
              <w:szCs w:val="40"/>
              <w:lang w:val="en-GB"/>
            </w:rPr>
            <w:t>participating in the testing phase of OPSYS Track 1</w:t>
          </w:r>
        </w:sdtContent>
      </w:sdt>
    </w:p>
    <w:bookmarkEnd w:id="1"/>
    <w:p w:rsidR="00A54F11" w:rsidRDefault="0024626E" w:rsidP="001A60D5">
      <w:pPr>
        <w:jc w:val="right"/>
        <w:rPr>
          <w:lang w:val="en-GB"/>
        </w:rPr>
      </w:pPr>
      <w:r>
        <w:rPr>
          <w:lang w:val="en-GB"/>
        </w:rPr>
        <w:t>04/12</w:t>
      </w:r>
      <w:r w:rsidR="00A54F11" w:rsidRPr="00692482">
        <w:rPr>
          <w:lang w:val="en-GB"/>
        </w:rPr>
        <w:t>/2017</w:t>
      </w:r>
    </w:p>
    <w:p w:rsidR="00722327" w:rsidRDefault="001A5455" w:rsidP="00D322D2">
      <w:pPr>
        <w:pStyle w:val="Heading1"/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  <w:t>Rationale</w:t>
      </w:r>
    </w:p>
    <w:p w:rsidR="00722327" w:rsidRDefault="00DD5018" w:rsidP="002806EB">
      <w:pPr>
        <w:pStyle w:val="Heading1"/>
        <w:spacing w:before="120"/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</w:pPr>
      <w:r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>Giving</w:t>
      </w:r>
      <w:r w:rsidR="002806EB"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 xml:space="preserve"> access to OPSYS to</w:t>
      </w:r>
      <w:r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 xml:space="preserve"> </w:t>
      </w:r>
      <w:r w:rsidR="002806EB"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 xml:space="preserve">our </w:t>
      </w:r>
      <w:r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>i</w:t>
      </w:r>
      <w:r w:rsidR="00722327"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 xml:space="preserve">mplementing </w:t>
      </w:r>
      <w:r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>p</w:t>
      </w:r>
      <w:r w:rsidR="00722327"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>artners</w:t>
      </w:r>
      <w:r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 xml:space="preserve"> </w:t>
      </w:r>
      <w:r w:rsidR="002806EB"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 xml:space="preserve">will </w:t>
      </w:r>
      <w:r w:rsidR="00722327">
        <w:rPr>
          <w:rFonts w:ascii="Calibri" w:eastAsiaTheme="minorEastAsia" w:hAnsi="Calibri" w:cstheme="minorBidi"/>
          <w:b w:val="0"/>
          <w:bCs w:val="0"/>
          <w:caps w:val="0"/>
          <w:color w:val="auto"/>
          <w:szCs w:val="21"/>
        </w:rPr>
        <w:t>respond to several strategic objectives:</w:t>
      </w:r>
    </w:p>
    <w:p w:rsidR="00722327" w:rsidRDefault="00DD5018" w:rsidP="00FC1559">
      <w:pPr>
        <w:pStyle w:val="ListParagraph"/>
        <w:numPr>
          <w:ilvl w:val="0"/>
          <w:numId w:val="4"/>
        </w:numPr>
      </w:pPr>
      <w:r>
        <w:t>F</w:t>
      </w:r>
      <w:r w:rsidR="00722327">
        <w:t xml:space="preserve">irst, it </w:t>
      </w:r>
      <w:r>
        <w:t xml:space="preserve">will </w:t>
      </w:r>
      <w:r w:rsidR="00722327">
        <w:t>allow DEVCO, NEAR and FPI to have updated information on achieved</w:t>
      </w:r>
      <w:r>
        <w:t xml:space="preserve"> results</w:t>
      </w:r>
      <w:r w:rsidR="00722327">
        <w:t xml:space="preserve"> in real time, not only on closed projects but also on on-going ones</w:t>
      </w:r>
      <w:r w:rsidR="002806EB">
        <w:t>,</w:t>
      </w:r>
      <w:r w:rsidR="00722327">
        <w:t xml:space="preserve"> and </w:t>
      </w:r>
      <w:r w:rsidR="002806EB">
        <w:t xml:space="preserve">to </w:t>
      </w:r>
      <w:r w:rsidR="00722327">
        <w:t xml:space="preserve">report </w:t>
      </w:r>
      <w:r w:rsidR="002806EB">
        <w:t>o</w:t>
      </w:r>
      <w:r w:rsidR="0006558B">
        <w:t>n</w:t>
      </w:r>
      <w:r w:rsidR="002806EB">
        <w:t xml:space="preserve"> them</w:t>
      </w:r>
      <w:r w:rsidR="00722327">
        <w:t xml:space="preserve"> to policy makers</w:t>
      </w:r>
      <w:r w:rsidR="002806EB">
        <w:t>;</w:t>
      </w:r>
    </w:p>
    <w:p w:rsidR="00722327" w:rsidRDefault="00DD5018" w:rsidP="00FC1559">
      <w:pPr>
        <w:pStyle w:val="ListParagraph"/>
        <w:numPr>
          <w:ilvl w:val="0"/>
          <w:numId w:val="4"/>
        </w:numPr>
      </w:pPr>
      <w:r>
        <w:t>S</w:t>
      </w:r>
      <w:r w:rsidR="00722327">
        <w:t>econd, by assigning the encoding of results</w:t>
      </w:r>
      <w:r w:rsidR="002806EB">
        <w:t xml:space="preserve"> to our implementing partners</w:t>
      </w:r>
      <w:r w:rsidR="00722327">
        <w:t xml:space="preserve">, significant savings </w:t>
      </w:r>
      <w:r w:rsidR="002806EB">
        <w:t>will be</w:t>
      </w:r>
      <w:r w:rsidR="00722327">
        <w:t xml:space="preserve"> made on the current ROM budgets (no </w:t>
      </w:r>
      <w:r w:rsidR="002806EB">
        <w:t xml:space="preserve">more </w:t>
      </w:r>
      <w:r w:rsidR="00722327">
        <w:t xml:space="preserve">need for external experts </w:t>
      </w:r>
      <w:r w:rsidR="002806EB">
        <w:t xml:space="preserve">to be </w:t>
      </w:r>
      <w:r w:rsidR="00722327">
        <w:t>sen</w:t>
      </w:r>
      <w:r w:rsidR="002806EB">
        <w:t>t</w:t>
      </w:r>
      <w:r w:rsidR="00722327">
        <w:t xml:space="preserve"> in the field to collect results)</w:t>
      </w:r>
      <w:r w:rsidR="002806EB">
        <w:t>;</w:t>
      </w:r>
    </w:p>
    <w:p w:rsidR="00722327" w:rsidRDefault="00DD5018" w:rsidP="00FC1559">
      <w:pPr>
        <w:pStyle w:val="ListParagraph"/>
        <w:numPr>
          <w:ilvl w:val="0"/>
          <w:numId w:val="4"/>
        </w:numPr>
      </w:pPr>
      <w:r>
        <w:t>T</w:t>
      </w:r>
      <w:r w:rsidR="00722327">
        <w:t xml:space="preserve">hird, it </w:t>
      </w:r>
      <w:r w:rsidR="002806EB">
        <w:t xml:space="preserve">will </w:t>
      </w:r>
      <w:r w:rsidR="00722327">
        <w:t>facilitate O</w:t>
      </w:r>
      <w:r w:rsidR="002806EB">
        <w:t>PSYS</w:t>
      </w:r>
      <w:r w:rsidR="00722327">
        <w:t xml:space="preserve"> acceptance by the operational managers, who would not be willing to take on additional tasks such as results encoding, but who w</w:t>
      </w:r>
      <w:r w:rsidR="002806EB">
        <w:t>ill</w:t>
      </w:r>
      <w:r w:rsidR="00722327">
        <w:t xml:space="preserve"> benefit from a closer and more real</w:t>
      </w:r>
      <w:r w:rsidR="002806EB">
        <w:t>-</w:t>
      </w:r>
      <w:r w:rsidR="00722327">
        <w:t>time monitoring of their projects</w:t>
      </w:r>
      <w:r w:rsidR="002806EB">
        <w:t>;</w:t>
      </w:r>
    </w:p>
    <w:p w:rsidR="00722327" w:rsidRPr="00722327" w:rsidRDefault="00DD5018" w:rsidP="00FC1559">
      <w:pPr>
        <w:pStyle w:val="ListParagraph"/>
        <w:numPr>
          <w:ilvl w:val="0"/>
          <w:numId w:val="4"/>
        </w:numPr>
        <w:rPr>
          <w:lang w:val="en-US"/>
        </w:rPr>
      </w:pPr>
      <w:r>
        <w:t>F</w:t>
      </w:r>
      <w:r w:rsidR="00722327">
        <w:t xml:space="preserve">inally, </w:t>
      </w:r>
      <w:r w:rsidR="00FC1559">
        <w:t>this is a step that w</w:t>
      </w:r>
      <w:r w:rsidR="002806EB">
        <w:t>ill</w:t>
      </w:r>
      <w:r w:rsidR="00FC1559">
        <w:t xml:space="preserve"> facilitate the changing of mindsets towards a more results-oriented common culture, as emphasized in the EU Budget fo</w:t>
      </w:r>
      <w:r w:rsidR="002806EB">
        <w:t>r Results Initiative.</w:t>
      </w:r>
    </w:p>
    <w:p w:rsidR="00722327" w:rsidRPr="00722327" w:rsidRDefault="00FC1559" w:rsidP="00722327">
      <w:pPr>
        <w:rPr>
          <w:lang w:val="en-GB"/>
        </w:rPr>
      </w:pPr>
      <w:r>
        <w:rPr>
          <w:lang w:val="en-GB"/>
        </w:rPr>
        <w:t xml:space="preserve">However, before taking any decision, it is important to test these hypotheses in a setting with no risk for the Commission. Hence we propose to involve </w:t>
      </w:r>
      <w:r w:rsidR="002806EB">
        <w:rPr>
          <w:lang w:val="en-GB"/>
        </w:rPr>
        <w:t>in the testing phase</w:t>
      </w:r>
      <w:r>
        <w:rPr>
          <w:lang w:val="en-GB"/>
        </w:rPr>
        <w:t xml:space="preserve"> </w:t>
      </w:r>
      <w:r w:rsidR="00D02BEF">
        <w:rPr>
          <w:lang w:val="en-GB"/>
        </w:rPr>
        <w:t xml:space="preserve">implementing partners </w:t>
      </w:r>
      <w:r w:rsidR="002806EB">
        <w:rPr>
          <w:lang w:val="en-GB"/>
        </w:rPr>
        <w:t>who</w:t>
      </w:r>
      <w:r>
        <w:rPr>
          <w:lang w:val="en-GB"/>
        </w:rPr>
        <w:t xml:space="preserve"> </w:t>
      </w:r>
      <w:r w:rsidR="00D02BEF">
        <w:rPr>
          <w:lang w:val="en-GB"/>
        </w:rPr>
        <w:t>are expected to willingly</w:t>
      </w:r>
      <w:r>
        <w:rPr>
          <w:lang w:val="en-GB"/>
        </w:rPr>
        <w:t xml:space="preserve"> cooperate with Commission services and for wh</w:t>
      </w:r>
      <w:r w:rsidR="002806EB">
        <w:rPr>
          <w:lang w:val="en-GB"/>
        </w:rPr>
        <w:t>om</w:t>
      </w:r>
      <w:r>
        <w:rPr>
          <w:lang w:val="en-GB"/>
        </w:rPr>
        <w:t xml:space="preserve"> no change of contractual clauses is needed. Details and justification are provided below.</w:t>
      </w:r>
    </w:p>
    <w:p w:rsidR="00D322D2" w:rsidRDefault="001A5455" w:rsidP="001A5455">
      <w:pPr>
        <w:pStyle w:val="Heading1"/>
        <w:spacing w:before="240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</w:r>
      <w:r w:rsidR="002806EB">
        <w:rPr>
          <w:lang w:val="en-GB"/>
        </w:rPr>
        <w:t>TESTING by IMPLEMENTING PARTNERS</w:t>
      </w:r>
    </w:p>
    <w:p w:rsidR="00692482" w:rsidRDefault="00692482" w:rsidP="00692482">
      <w:r w:rsidRPr="00311F2D">
        <w:t>Implementing partner</w:t>
      </w:r>
      <w:r>
        <w:t xml:space="preserve">s </w:t>
      </w:r>
      <w:r w:rsidR="00FC1559">
        <w:t>w</w:t>
      </w:r>
      <w:r w:rsidR="002806EB">
        <w:t>ill</w:t>
      </w:r>
      <w:r w:rsidR="00FC1559">
        <w:t xml:space="preserve"> </w:t>
      </w:r>
      <w:r w:rsidRPr="00F4576B">
        <w:t>be able</w:t>
      </w:r>
      <w:r w:rsidR="00A65ABF">
        <w:t xml:space="preserve"> to</w:t>
      </w:r>
      <w:r w:rsidRPr="00F4576B">
        <w:t xml:space="preserve"> </w:t>
      </w:r>
      <w:r w:rsidR="00A65ABF">
        <w:t xml:space="preserve">encode </w:t>
      </w:r>
      <w:r w:rsidR="00B7618C">
        <w:t xml:space="preserve">the overall </w:t>
      </w:r>
      <w:proofErr w:type="spellStart"/>
      <w:r w:rsidR="00B7618C">
        <w:t>logframe</w:t>
      </w:r>
      <w:proofErr w:type="spellEnd"/>
      <w:r w:rsidR="00B7618C">
        <w:t xml:space="preserve">, </w:t>
      </w:r>
      <w:r w:rsidR="00A65ABF">
        <w:t xml:space="preserve">update values </w:t>
      </w:r>
      <w:r w:rsidR="00B7618C">
        <w:t xml:space="preserve">and </w:t>
      </w:r>
      <w:r w:rsidR="00B7618C" w:rsidRPr="00F4576B">
        <w:t>report/comment</w:t>
      </w:r>
      <w:r w:rsidR="00B7618C">
        <w:t xml:space="preserve"> on</w:t>
      </w:r>
      <w:r w:rsidR="00A65ABF">
        <w:t xml:space="preserve"> each indicator </w:t>
      </w:r>
      <w:r w:rsidR="00B7618C">
        <w:t xml:space="preserve">related to an intervention </w:t>
      </w:r>
      <w:r w:rsidR="00A65ABF">
        <w:t xml:space="preserve">in </w:t>
      </w:r>
      <w:r w:rsidR="002806EB">
        <w:t>function of</w:t>
      </w:r>
      <w:r w:rsidR="00A65ABF">
        <w:t xml:space="preserve"> their contractual arrangements</w:t>
      </w:r>
      <w:r w:rsidR="00B7618C">
        <w:t>.</w:t>
      </w:r>
      <w:r w:rsidR="006355D2">
        <w:t xml:space="preserve"> </w:t>
      </w:r>
      <w:r w:rsidR="00CE6F58">
        <w:t xml:space="preserve">This first step </w:t>
      </w:r>
      <w:r w:rsidR="005C6328">
        <w:t>(</w:t>
      </w:r>
      <w:r w:rsidR="00CE6F58">
        <w:t>as part of</w:t>
      </w:r>
      <w:r>
        <w:t xml:space="preserve"> </w:t>
      </w:r>
      <w:r w:rsidR="00CE6F58">
        <w:t>th</w:t>
      </w:r>
      <w:r w:rsidR="009A3872">
        <w:t>eir regular progress reporting</w:t>
      </w:r>
      <w:r w:rsidR="005C6328">
        <w:t>)</w:t>
      </w:r>
      <w:r w:rsidR="009A3872">
        <w:t xml:space="preserve"> </w:t>
      </w:r>
      <w:r w:rsidR="00CE6F58">
        <w:t xml:space="preserve">will be ready for testing in February 2018. </w:t>
      </w:r>
      <w:r w:rsidR="005C6328">
        <w:t>Later on</w:t>
      </w:r>
      <w:r w:rsidR="00CE6F58">
        <w:t xml:space="preserve">, implementing partners </w:t>
      </w:r>
      <w:r w:rsidR="00FC1559">
        <w:t>w</w:t>
      </w:r>
      <w:r w:rsidR="002806EB">
        <w:t>ill</w:t>
      </w:r>
      <w:r w:rsidR="00CE6F58">
        <w:t xml:space="preserve"> be able to deliver</w:t>
      </w:r>
      <w:r w:rsidR="005C6328">
        <w:t xml:space="preserve"> their progress reports on</w:t>
      </w:r>
      <w:r w:rsidR="006355D2">
        <w:t>line.</w:t>
      </w:r>
    </w:p>
    <w:p w:rsidR="005C6328" w:rsidRDefault="005C6328" w:rsidP="00933848">
      <w:r>
        <w:t xml:space="preserve">To facilitate the decision on </w:t>
      </w:r>
      <w:r w:rsidR="002806EB">
        <w:t>the types of</w:t>
      </w:r>
      <w:r>
        <w:t xml:space="preserve"> implementing partners </w:t>
      </w:r>
      <w:r w:rsidR="002806EB">
        <w:t xml:space="preserve">that </w:t>
      </w:r>
      <w:r>
        <w:t>should be given access to testing, we attach to this note the following</w:t>
      </w:r>
      <w:r w:rsidR="00D02BEF">
        <w:t xml:space="preserve"> (see Annex 2):</w:t>
      </w:r>
    </w:p>
    <w:p w:rsidR="005C6328" w:rsidRDefault="005C6328" w:rsidP="005C6328">
      <w:pPr>
        <w:pStyle w:val="ListParagraph"/>
        <w:numPr>
          <w:ilvl w:val="0"/>
          <w:numId w:val="5"/>
        </w:numPr>
      </w:pPr>
      <w:r>
        <w:t xml:space="preserve">Table 1: </w:t>
      </w:r>
      <w:r w:rsidR="00C27BFC">
        <w:t>number of contracts by</w:t>
      </w:r>
      <w:r w:rsidR="00933848">
        <w:t xml:space="preserve"> type of implementing partner as structured</w:t>
      </w:r>
      <w:r w:rsidR="00D02BEF">
        <w:t xml:space="preserve"> in CRIS;</w:t>
      </w:r>
    </w:p>
    <w:p w:rsidR="00933848" w:rsidRDefault="005C6328" w:rsidP="005C6328">
      <w:pPr>
        <w:pStyle w:val="ListParagraph"/>
        <w:numPr>
          <w:ilvl w:val="0"/>
          <w:numId w:val="5"/>
        </w:numPr>
      </w:pPr>
      <w:r>
        <w:t>T</w:t>
      </w:r>
      <w:r w:rsidR="00933848">
        <w:t xml:space="preserve">able </w:t>
      </w:r>
      <w:r>
        <w:t>2:</w:t>
      </w:r>
      <w:r w:rsidR="00933848">
        <w:t xml:space="preserve"> </w:t>
      </w:r>
      <w:r w:rsidR="00C27BFC">
        <w:t>nature</w:t>
      </w:r>
      <w:r w:rsidR="00933848">
        <w:t xml:space="preserve"> of contracts</w:t>
      </w:r>
      <w:r w:rsidR="002E5460">
        <w:t xml:space="preserve"> managed by private sector.</w:t>
      </w:r>
    </w:p>
    <w:p w:rsidR="006355D2" w:rsidRDefault="001A5455" w:rsidP="001A5455">
      <w:pPr>
        <w:spacing w:before="240"/>
        <w:rPr>
          <w:rFonts w:asciiTheme="majorHAnsi" w:eastAsiaTheme="majorEastAsia" w:hAnsiTheme="majorHAnsi" w:cstheme="majorBidi"/>
          <w:b/>
          <w:bCs/>
          <w:caps/>
          <w:color w:val="9BBB59" w:themeColor="accent3"/>
          <w:szCs w:val="26"/>
          <w:lang w:val="en-GB"/>
        </w:rPr>
      </w:pPr>
      <w:r>
        <w:rPr>
          <w:rFonts w:asciiTheme="majorHAnsi" w:eastAsiaTheme="majorEastAsia" w:hAnsiTheme="majorHAnsi" w:cstheme="majorBidi"/>
          <w:b/>
          <w:bCs/>
          <w:caps/>
          <w:color w:val="9BBB59" w:themeColor="accent3"/>
          <w:szCs w:val="26"/>
          <w:lang w:val="en-GB"/>
        </w:rPr>
        <w:t xml:space="preserve">3. </w:t>
      </w:r>
      <w:r w:rsidR="006355D2" w:rsidRPr="006355D2">
        <w:rPr>
          <w:rFonts w:asciiTheme="majorHAnsi" w:eastAsiaTheme="majorEastAsia" w:hAnsiTheme="majorHAnsi" w:cstheme="majorBidi"/>
          <w:b/>
          <w:bCs/>
          <w:caps/>
          <w:color w:val="9BBB59" w:themeColor="accent3"/>
          <w:szCs w:val="26"/>
          <w:lang w:val="en-GB"/>
        </w:rPr>
        <w:t>COnclusion</w:t>
      </w:r>
    </w:p>
    <w:p w:rsidR="005C6328" w:rsidRDefault="005C6328" w:rsidP="005C6328">
      <w:r>
        <w:t>Taking in</w:t>
      </w:r>
      <w:r w:rsidR="00D02BEF">
        <w:t>to</w:t>
      </w:r>
      <w:r>
        <w:t xml:space="preserve"> consideration that </w:t>
      </w:r>
      <w:r w:rsidRPr="00950FFC">
        <w:rPr>
          <w:b/>
        </w:rPr>
        <w:t xml:space="preserve">the highest number of contracts with a potential </w:t>
      </w:r>
      <w:proofErr w:type="spellStart"/>
      <w:r w:rsidRPr="00950FFC">
        <w:rPr>
          <w:b/>
        </w:rPr>
        <w:t>logframe</w:t>
      </w:r>
      <w:proofErr w:type="spellEnd"/>
      <w:r>
        <w:t xml:space="preserve"> is managed by the </w:t>
      </w:r>
      <w:r w:rsidRPr="00D02BEF">
        <w:rPr>
          <w:b/>
        </w:rPr>
        <w:t>private sector</w:t>
      </w:r>
      <w:r>
        <w:t xml:space="preserve">, it is proposed to </w:t>
      </w:r>
      <w:r w:rsidRPr="00D322D2">
        <w:rPr>
          <w:b/>
        </w:rPr>
        <w:t>focus</w:t>
      </w:r>
      <w:r w:rsidR="00D02BEF">
        <w:rPr>
          <w:b/>
        </w:rPr>
        <w:t>, in a first step,</w:t>
      </w:r>
      <w:r w:rsidRPr="00D322D2">
        <w:rPr>
          <w:b/>
        </w:rPr>
        <w:t xml:space="preserve"> on action grants in direct management </w:t>
      </w:r>
      <w:r>
        <w:t xml:space="preserve">and </w:t>
      </w:r>
      <w:r w:rsidRPr="00D322D2">
        <w:rPr>
          <w:b/>
        </w:rPr>
        <w:t>service contracts</w:t>
      </w:r>
      <w:r>
        <w:t>. These types of contracts do not need any prior inter-institutional agreement or change of contractual clauses</w:t>
      </w:r>
      <w:r w:rsidR="00D02BEF">
        <w:t>,</w:t>
      </w:r>
      <w:r>
        <w:t xml:space="preserve"> as might be the case with </w:t>
      </w:r>
      <w:r w:rsidR="00D02BEF">
        <w:t>i</w:t>
      </w:r>
      <w:r>
        <w:t xml:space="preserve">nternational </w:t>
      </w:r>
      <w:r w:rsidR="00D02BEF">
        <w:t>o</w:t>
      </w:r>
      <w:r>
        <w:t>rganizations (World Bank, UN, etc</w:t>
      </w:r>
      <w:r w:rsidR="00D02BEF">
        <w:t>.</w:t>
      </w:r>
      <w:r>
        <w:t xml:space="preserve">) and </w:t>
      </w:r>
      <w:r w:rsidR="00D02BEF">
        <w:t>p</w:t>
      </w:r>
      <w:r>
        <w:t xml:space="preserve">artner </w:t>
      </w:r>
      <w:r w:rsidR="00D02BEF">
        <w:t>countries</w:t>
      </w:r>
      <w:r>
        <w:t>.</w:t>
      </w:r>
    </w:p>
    <w:p w:rsidR="006F2F68" w:rsidRDefault="006F2F68" w:rsidP="00D322D2">
      <w:r>
        <w:rPr>
          <w:lang w:val="en-GB"/>
        </w:rPr>
        <w:t>P</w:t>
      </w:r>
      <w:r w:rsidR="005C6328">
        <w:rPr>
          <w:lang w:val="en-GB"/>
        </w:rPr>
        <w:t xml:space="preserve">ilot EUDs and HQ units </w:t>
      </w:r>
      <w:r w:rsidR="00D02BEF">
        <w:rPr>
          <w:lang w:val="en-GB"/>
        </w:rPr>
        <w:t>will be asked</w:t>
      </w:r>
      <w:r>
        <w:rPr>
          <w:lang w:val="en-GB"/>
        </w:rPr>
        <w:t xml:space="preserve"> </w:t>
      </w:r>
      <w:r w:rsidR="00D02BEF">
        <w:rPr>
          <w:lang w:val="en-GB"/>
        </w:rPr>
        <w:t xml:space="preserve">to </w:t>
      </w:r>
      <w:r w:rsidR="005C6328">
        <w:rPr>
          <w:lang w:val="en-GB"/>
        </w:rPr>
        <w:t xml:space="preserve">propose a limited number of </w:t>
      </w:r>
      <w:r w:rsidR="00D322D2">
        <w:t xml:space="preserve">implementing partners </w:t>
      </w:r>
      <w:r>
        <w:rPr>
          <w:lang w:val="en-GB"/>
        </w:rPr>
        <w:t xml:space="preserve">that </w:t>
      </w:r>
      <w:r w:rsidR="00D02BEF">
        <w:rPr>
          <w:lang w:val="en-GB"/>
        </w:rPr>
        <w:t>will</w:t>
      </w:r>
      <w:r>
        <w:rPr>
          <w:lang w:val="en-GB"/>
        </w:rPr>
        <w:t xml:space="preserve"> be given access to the system (3-4 NGOs and consulting companies for each pilot EUD, </w:t>
      </w:r>
      <w:r w:rsidR="00D02BEF">
        <w:rPr>
          <w:lang w:val="en-GB"/>
        </w:rPr>
        <w:t>adding up to approx.</w:t>
      </w:r>
      <w:r>
        <w:rPr>
          <w:lang w:val="en-GB"/>
        </w:rPr>
        <w:t xml:space="preserve"> 50 testers)</w:t>
      </w:r>
      <w:r w:rsidR="00D02BEF">
        <w:t>.</w:t>
      </w:r>
    </w:p>
    <w:p w:rsidR="00D322D2" w:rsidRDefault="006355D2" w:rsidP="00D322D2">
      <w:r>
        <w:t xml:space="preserve">The </w:t>
      </w:r>
      <w:r w:rsidR="006F2F68">
        <w:t xml:space="preserve">testing </w:t>
      </w:r>
      <w:r>
        <w:t xml:space="preserve">results </w:t>
      </w:r>
      <w:r w:rsidR="00D02BEF">
        <w:t>will</w:t>
      </w:r>
      <w:r>
        <w:t xml:space="preserve"> steer the decision on whether</w:t>
      </w:r>
      <w:r w:rsidR="00D02BEF">
        <w:t>, when and</w:t>
      </w:r>
      <w:r>
        <w:t xml:space="preserve"> how to open access to other </w:t>
      </w:r>
      <w:r w:rsidR="006F2F68">
        <w:t xml:space="preserve">types of </w:t>
      </w:r>
      <w:r w:rsidR="00D02BEF">
        <w:t>partners.</w:t>
      </w:r>
    </w:p>
    <w:p w:rsidR="00A54F11" w:rsidRDefault="001A60D5" w:rsidP="00FD2058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Annex 1: </w:t>
      </w:r>
      <w:r w:rsidR="00D322D2">
        <w:rPr>
          <w:lang w:val="en-GB"/>
        </w:rPr>
        <w:t>Available functionalities for testing by implemeting partners</w:t>
      </w:r>
    </w:p>
    <w:p w:rsidR="00692482" w:rsidRDefault="00A54F11" w:rsidP="00A54F11">
      <w:pPr>
        <w:spacing w:after="200" w:line="276" w:lineRule="auto"/>
        <w:contextualSpacing/>
      </w:pPr>
      <w:r w:rsidRPr="00A54F11">
        <w:t xml:space="preserve">The following </w:t>
      </w:r>
      <w:r w:rsidR="00276999">
        <w:t xml:space="preserve">table presents </w:t>
      </w:r>
      <w:r w:rsidR="00D02BEF">
        <w:t>an</w:t>
      </w:r>
      <w:r w:rsidR="00276999">
        <w:t xml:space="preserve"> overview of </w:t>
      </w:r>
      <w:r w:rsidRPr="00A54F11">
        <w:t>functionalit</w:t>
      </w:r>
      <w:r>
        <w:t>ies</w:t>
      </w:r>
      <w:r w:rsidR="00276999">
        <w:t xml:space="preserve"> </w:t>
      </w:r>
      <w:r w:rsidR="00D02BEF">
        <w:t xml:space="preserve">available </w:t>
      </w:r>
      <w:r w:rsidR="00276999">
        <w:t xml:space="preserve">for </w:t>
      </w:r>
      <w:r w:rsidR="00D02BEF">
        <w:t xml:space="preserve">testing by </w:t>
      </w:r>
      <w:r w:rsidR="00276999">
        <w:t>implementing partners in OPSYS Track 1</w:t>
      </w:r>
      <w:r w:rsidR="00D02BEF">
        <w:t>,</w:t>
      </w:r>
      <w:r w:rsidR="00276999">
        <w:t xml:space="preserve"> and when they</w:t>
      </w:r>
      <w:r>
        <w:t xml:space="preserve"> will be</w:t>
      </w:r>
      <w:r w:rsidR="00D02BEF">
        <w:t>come ready</w:t>
      </w:r>
      <w:r w:rsidR="00276999">
        <w:t xml:space="preserve"> for testing: </w:t>
      </w:r>
    </w:p>
    <w:p w:rsidR="00276999" w:rsidRDefault="00276999" w:rsidP="00A54F11">
      <w:pPr>
        <w:spacing w:after="200" w:line="276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3044"/>
      </w:tblGrid>
      <w:tr w:rsidR="00692482" w:rsidRPr="001C52D0" w:rsidTr="00692482">
        <w:trPr>
          <w:trHeight w:val="411"/>
        </w:trPr>
        <w:tc>
          <w:tcPr>
            <w:tcW w:w="3418" w:type="pct"/>
            <w:shd w:val="clear" w:color="auto" w:fill="EAF1DD" w:themeFill="accent3" w:themeFillTint="33"/>
            <w:noWrap/>
            <w:vAlign w:val="center"/>
          </w:tcPr>
          <w:p w:rsidR="00692482" w:rsidRPr="001C52D0" w:rsidRDefault="00692482" w:rsidP="001C52D0">
            <w:pPr>
              <w:spacing w:before="60" w:after="60"/>
              <w:jc w:val="left"/>
              <w:rPr>
                <w:rFonts w:eastAsia="Times New Roman" w:cs="Times New Roman"/>
                <w:b/>
                <w:bCs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b/>
                <w:bCs/>
                <w:szCs w:val="20"/>
                <w:lang w:eastAsia="en-GB"/>
              </w:rPr>
              <w:t xml:space="preserve">Feature related to Implementing partner in </w:t>
            </w:r>
            <w:proofErr w:type="spellStart"/>
            <w:r w:rsidRPr="001C52D0">
              <w:rPr>
                <w:rFonts w:eastAsia="Times New Roman" w:cs="Times New Roman"/>
                <w:b/>
                <w:bCs/>
                <w:szCs w:val="20"/>
                <w:lang w:eastAsia="en-GB"/>
              </w:rPr>
              <w:t>Opsys</w:t>
            </w:r>
            <w:proofErr w:type="spellEnd"/>
            <w:r w:rsidRPr="001C52D0">
              <w:rPr>
                <w:rFonts w:eastAsia="Times New Roman" w:cs="Times New Roman"/>
                <w:b/>
                <w:bCs/>
                <w:szCs w:val="20"/>
                <w:lang w:eastAsia="en-GB"/>
              </w:rPr>
              <w:t xml:space="preserve"> Track 1</w:t>
            </w:r>
          </w:p>
        </w:tc>
        <w:tc>
          <w:tcPr>
            <w:tcW w:w="1582" w:type="pct"/>
            <w:shd w:val="clear" w:color="auto" w:fill="EAF1DD" w:themeFill="accent3" w:themeFillTint="33"/>
            <w:vAlign w:val="center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b/>
                <w:bCs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en-GB"/>
              </w:rPr>
              <w:t>Available for testing</w:t>
            </w:r>
          </w:p>
        </w:tc>
      </w:tr>
      <w:tr w:rsidR="00692482" w:rsidRPr="001C52D0" w:rsidTr="00692482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</w:pPr>
            <w:proofErr w:type="spellStart"/>
            <w:r w:rsidRPr="001C52D0"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  <w:t>Logframe</w:t>
            </w:r>
            <w:proofErr w:type="spellEnd"/>
            <w:r w:rsidRPr="001C52D0"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  <w:t xml:space="preserve"> management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 xml:space="preserve">Lead-IP and IP configure and submit </w:t>
            </w:r>
            <w:proofErr w:type="spellStart"/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Logframe</w:t>
            </w:r>
            <w:proofErr w:type="spellEnd"/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 xml:space="preserve"> 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 xml:space="preserve">Lead-IP and IP manage Values 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</w:t>
            </w:r>
          </w:p>
        </w:tc>
      </w:tr>
      <w:tr w:rsidR="00692482" w:rsidRPr="001C52D0" w:rsidTr="00692482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  <w:t xml:space="preserve">Review mechanism 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1C52D0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 xml:space="preserve">OM reviews </w:t>
            </w:r>
            <w:proofErr w:type="spellStart"/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Logframe</w:t>
            </w:r>
            <w:proofErr w:type="spellEnd"/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 xml:space="preserve"> submitted by IP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1C52D0">
            <w:pPr>
              <w:spacing w:before="60" w:after="60"/>
              <w:jc w:val="left"/>
              <w:rPr>
                <w:rFonts w:eastAsia="Times New Roman" w:cs="Times New Roman"/>
                <w:color w:val="FF0000"/>
                <w:szCs w:val="20"/>
                <w:lang w:eastAsia="en-GB"/>
              </w:rPr>
            </w:pPr>
            <w:r w:rsidRPr="00692482">
              <w:rPr>
                <w:rFonts w:eastAsia="Times New Roman" w:cs="Times New Roman"/>
                <w:szCs w:val="20"/>
                <w:lang w:eastAsia="en-GB"/>
              </w:rPr>
              <w:t>OM reviews Values submitted by IP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 (TBC)</w:t>
            </w:r>
          </w:p>
        </w:tc>
      </w:tr>
      <w:tr w:rsidR="00692482" w:rsidRPr="001C52D0" w:rsidTr="00692482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b/>
                <w:color w:val="000000"/>
                <w:szCs w:val="20"/>
                <w:lang w:eastAsia="en-GB"/>
              </w:rPr>
              <w:t>Guidance, Help, support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FF543E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OPSYS provides guidance and help  for IP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</w:t>
            </w:r>
          </w:p>
        </w:tc>
      </w:tr>
      <w:tr w:rsidR="00692482" w:rsidRPr="001C52D0" w:rsidTr="00692482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  <w:t>Access management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FF543E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Operational manager manage access of Lead Implementing Partners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shd w:val="clear" w:color="auto" w:fill="auto"/>
            <w:noWrap/>
            <w:vAlign w:val="bottom"/>
          </w:tcPr>
          <w:p w:rsidR="00692482" w:rsidRPr="001C52D0" w:rsidRDefault="00692482" w:rsidP="00FF543E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Lead implementing partners manage access of Implementing Partners</w:t>
            </w:r>
          </w:p>
        </w:tc>
        <w:tc>
          <w:tcPr>
            <w:tcW w:w="1582" w:type="pct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February 2018</w:t>
            </w:r>
          </w:p>
        </w:tc>
      </w:tr>
      <w:tr w:rsidR="00692482" w:rsidRPr="001C52D0" w:rsidTr="0069248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  <w:t>Monitoring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482" w:rsidRPr="001C52D0" w:rsidRDefault="00692482" w:rsidP="00BC22BB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OM/IP follow</w:t>
            </w:r>
            <w:r w:rsidR="00BC22BB">
              <w:rPr>
                <w:rFonts w:eastAsia="Times New Roman" w:cs="Times New Roman"/>
                <w:color w:val="000000"/>
                <w:szCs w:val="20"/>
                <w:lang w:eastAsia="en-GB"/>
              </w:rPr>
              <w:t xml:space="preserve"> </w:t>
            </w: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up key events and milestones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Q4 2018 (TBC)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OM/IP upload document related to results management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Q4 2018 (TBC)</w:t>
            </w:r>
          </w:p>
        </w:tc>
      </w:tr>
      <w:tr w:rsidR="00692482" w:rsidRPr="001C52D0" w:rsidTr="0069248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b/>
                <w:bCs/>
                <w:color w:val="000000"/>
                <w:szCs w:val="20"/>
                <w:lang w:eastAsia="en-GB"/>
              </w:rPr>
              <w:t>Reporting</w:t>
            </w:r>
          </w:p>
        </w:tc>
      </w:tr>
      <w:tr w:rsidR="00692482" w:rsidRPr="001C52D0" w:rsidTr="00692482">
        <w:trPr>
          <w:trHeight w:val="300"/>
        </w:trPr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 w:rsidRPr="001C52D0">
              <w:rPr>
                <w:rFonts w:eastAsia="Times New Roman" w:cs="Times New Roman"/>
                <w:color w:val="000000"/>
                <w:szCs w:val="20"/>
                <w:lang w:eastAsia="en-GB"/>
              </w:rPr>
              <w:t>OM/IP report  on progress related to Results and Indicators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82" w:rsidRPr="001C52D0" w:rsidRDefault="00692482" w:rsidP="00D01546">
            <w:pPr>
              <w:spacing w:before="60" w:after="60"/>
              <w:jc w:val="left"/>
              <w:rPr>
                <w:rFonts w:eastAsia="Times New Roman" w:cs="Times New Roman"/>
                <w:color w:val="00000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en-GB"/>
              </w:rPr>
              <w:t>Q4 2018 (TBC)</w:t>
            </w:r>
          </w:p>
        </w:tc>
      </w:tr>
    </w:tbl>
    <w:p w:rsidR="001F3BF5" w:rsidRDefault="001F3BF5" w:rsidP="001F3BF5"/>
    <w:p w:rsidR="0076756F" w:rsidRDefault="00D02BEF" w:rsidP="001F3BF5">
      <w:r>
        <w:t>N</w:t>
      </w:r>
      <w:r w:rsidR="0076756F">
        <w:t>on-functional requirements (security, access management, etc</w:t>
      </w:r>
      <w:r>
        <w:t>.</w:t>
      </w:r>
      <w:r w:rsidR="0076756F">
        <w:t xml:space="preserve">) will also be tested, covering the entire group of implementing partners. </w:t>
      </w:r>
    </w:p>
    <w:p w:rsidR="0076756F" w:rsidRDefault="0076756F" w:rsidP="001F3BF5"/>
    <w:p w:rsidR="0076756F" w:rsidRDefault="0076756F" w:rsidP="001F3BF5"/>
    <w:p w:rsidR="0076756F" w:rsidRDefault="0076756F" w:rsidP="001F3BF5"/>
    <w:p w:rsidR="0076756F" w:rsidRDefault="0076756F" w:rsidP="001F3BF5"/>
    <w:p w:rsidR="0076756F" w:rsidRDefault="0076756F" w:rsidP="001F3BF5"/>
    <w:p w:rsidR="0076756F" w:rsidRDefault="0076756F" w:rsidP="001F3BF5"/>
    <w:p w:rsidR="0076756F" w:rsidRPr="001C52D0" w:rsidRDefault="0076756F" w:rsidP="001F3BF5">
      <w:pPr>
        <w:sectPr w:rsidR="0076756F" w:rsidRPr="001C52D0" w:rsidSect="001F3BF5">
          <w:pgSz w:w="12240" w:h="15840"/>
          <w:pgMar w:top="1135" w:right="1417" w:bottom="1134" w:left="1417" w:header="720" w:footer="720" w:gutter="0"/>
          <w:cols w:space="720"/>
          <w:titlePg/>
          <w:docGrid w:linePitch="360"/>
        </w:sectPr>
      </w:pPr>
    </w:p>
    <w:p w:rsidR="00FD2058" w:rsidRDefault="001A60D5" w:rsidP="00FD2058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Annex 2: </w:t>
      </w:r>
      <w:r w:rsidR="00A54F11">
        <w:rPr>
          <w:lang w:val="en-GB"/>
        </w:rPr>
        <w:t xml:space="preserve">Nature </w:t>
      </w:r>
      <w:r w:rsidR="00FD2058">
        <w:rPr>
          <w:lang w:val="en-GB"/>
        </w:rPr>
        <w:t xml:space="preserve">of Implementing Partners </w:t>
      </w:r>
      <w:r w:rsidR="00A54F11">
        <w:rPr>
          <w:lang w:val="en-GB"/>
        </w:rPr>
        <w:t>and mode of management</w:t>
      </w:r>
    </w:p>
    <w:p w:rsidR="00FD2058" w:rsidRDefault="00FD2058" w:rsidP="00FD2058">
      <w:pPr>
        <w:spacing w:after="200" w:line="276" w:lineRule="auto"/>
        <w:ind w:left="360"/>
        <w:contextualSpacing/>
      </w:pPr>
    </w:p>
    <w:p w:rsidR="00A54F11" w:rsidRDefault="00FD2058" w:rsidP="00FD2058">
      <w:pPr>
        <w:spacing w:after="200" w:line="276" w:lineRule="auto"/>
        <w:contextualSpacing/>
      </w:pPr>
      <w:r>
        <w:t xml:space="preserve">The role of implementing partners in the </w:t>
      </w:r>
      <w:proofErr w:type="spellStart"/>
      <w:r>
        <w:t>Relex</w:t>
      </w:r>
      <w:proofErr w:type="spellEnd"/>
      <w:r>
        <w:t xml:space="preserve"> family largely depends on the type of management of the contracts (direct or indirect). </w:t>
      </w:r>
    </w:p>
    <w:p w:rsidR="00FD2058" w:rsidRDefault="001C52D0" w:rsidP="00FD2058">
      <w:pPr>
        <w:spacing w:after="200" w:line="276" w:lineRule="auto"/>
        <w:contextualSpacing/>
      </w:pPr>
      <w:r>
        <w:t>T</w:t>
      </w:r>
      <w:r w:rsidR="00FD2058">
        <w:t>he following tables display the portfolio as contracted on 5 September</w:t>
      </w:r>
      <w:r w:rsidR="00D02BEF">
        <w:t xml:space="preserve"> 2017</w:t>
      </w:r>
      <w:r w:rsidR="00FD2058">
        <w:t>.</w:t>
      </w:r>
    </w:p>
    <w:p w:rsidR="00A54F11" w:rsidRDefault="00EF17F4" w:rsidP="00984239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6B4192">
        <w:rPr>
          <w:noProof/>
        </w:rPr>
        <w:t>1</w:t>
      </w:r>
      <w:r>
        <w:fldChar w:fldCharType="end"/>
      </w:r>
      <w:r w:rsidR="00D02BEF">
        <w:t>:</w:t>
      </w:r>
      <w:r>
        <w:t xml:space="preserve"> </w:t>
      </w:r>
      <w:r w:rsidR="00984239" w:rsidRPr="00984239">
        <w:t xml:space="preserve">Number of contracts by </w:t>
      </w:r>
      <w:r w:rsidR="00D02BEF">
        <w:t>type of implementing partner,</w:t>
      </w:r>
      <w:r w:rsidR="00984239" w:rsidRPr="00984239">
        <w:t xml:space="preserve"> and EU contribution coverage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722"/>
        <w:gridCol w:w="925"/>
        <w:gridCol w:w="893"/>
        <w:gridCol w:w="1632"/>
        <w:gridCol w:w="899"/>
        <w:gridCol w:w="924"/>
        <w:gridCol w:w="793"/>
        <w:gridCol w:w="1632"/>
        <w:gridCol w:w="788"/>
        <w:gridCol w:w="924"/>
        <w:gridCol w:w="782"/>
        <w:gridCol w:w="1527"/>
        <w:gridCol w:w="779"/>
      </w:tblGrid>
      <w:tr w:rsidR="00984239" w:rsidRPr="008E15C2" w:rsidTr="00D6511F">
        <w:trPr>
          <w:trHeight w:val="411"/>
        </w:trPr>
        <w:tc>
          <w:tcPr>
            <w:tcW w:w="605" w:type="pct"/>
            <w:vMerge w:val="restart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Type of Implementing Partner</w:t>
            </w:r>
          </w:p>
        </w:tc>
        <w:tc>
          <w:tcPr>
            <w:tcW w:w="1529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DEVCO</w:t>
            </w:r>
          </w:p>
        </w:tc>
        <w:tc>
          <w:tcPr>
            <w:tcW w:w="1455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NEAR</w:t>
            </w:r>
          </w:p>
        </w:tc>
        <w:tc>
          <w:tcPr>
            <w:tcW w:w="1411" w:type="pct"/>
            <w:gridSpan w:val="4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FPI</w:t>
            </w:r>
          </w:p>
        </w:tc>
      </w:tr>
      <w:tr w:rsidR="00984239" w:rsidRPr="008E15C2" w:rsidTr="00D6511F">
        <w:trPr>
          <w:trHeight w:val="487"/>
        </w:trPr>
        <w:tc>
          <w:tcPr>
            <w:tcW w:w="60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25" w:type="pct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314" w:type="pct"/>
            <w:tcBorders>
              <w:left w:val="dashSmallGap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574" w:type="pct"/>
            <w:tcBorders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Budget</w:t>
            </w:r>
          </w:p>
        </w:tc>
        <w:tc>
          <w:tcPr>
            <w:tcW w:w="316" w:type="pct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325" w:type="pct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79" w:type="pct"/>
            <w:tcBorders>
              <w:left w:val="dashSmallGap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574" w:type="pct"/>
            <w:tcBorders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Budget</w:t>
            </w:r>
          </w:p>
        </w:tc>
        <w:tc>
          <w:tcPr>
            <w:tcW w:w="277" w:type="pct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325" w:type="pct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75" w:type="pct"/>
            <w:tcBorders>
              <w:left w:val="dashSmallGap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537" w:type="pct"/>
            <w:tcBorders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Budget</w:t>
            </w:r>
          </w:p>
        </w:tc>
        <w:tc>
          <w:tcPr>
            <w:tcW w:w="274" w:type="pct"/>
            <w:tcBorders>
              <w:left w:val="dashSmallGap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</w:tr>
      <w:tr w:rsidR="00984239" w:rsidRPr="008E15C2" w:rsidTr="00D6511F">
        <w:tc>
          <w:tcPr>
            <w:tcW w:w="605" w:type="pct"/>
            <w:tcBorders>
              <w:top w:val="double" w:sz="4" w:space="0" w:color="auto"/>
              <w:right w:val="double" w:sz="4" w:space="0" w:color="auto"/>
            </w:tcBorders>
          </w:tcPr>
          <w:p w:rsidR="00984239" w:rsidRPr="008E15C2" w:rsidRDefault="00984239" w:rsidP="00D6511F">
            <w:pPr>
              <w:jc w:val="left"/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International Organizations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426</w:t>
            </w:r>
          </w:p>
        </w:tc>
        <w:tc>
          <w:tcPr>
            <w:tcW w:w="314" w:type="pc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9%</w:t>
            </w:r>
          </w:p>
        </w:tc>
        <w:tc>
          <w:tcPr>
            <w:tcW w:w="574" w:type="pc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€4,973,846,602</w:t>
            </w:r>
          </w:p>
        </w:tc>
        <w:tc>
          <w:tcPr>
            <w:tcW w:w="316" w:type="pct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31%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194</w:t>
            </w:r>
          </w:p>
        </w:tc>
        <w:tc>
          <w:tcPr>
            <w:tcW w:w="279" w:type="pc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8%</w:t>
            </w:r>
          </w:p>
        </w:tc>
        <w:tc>
          <w:tcPr>
            <w:tcW w:w="574" w:type="pc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€1,594,201,865</w:t>
            </w:r>
          </w:p>
        </w:tc>
        <w:tc>
          <w:tcPr>
            <w:tcW w:w="277" w:type="pct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17%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115</w:t>
            </w:r>
          </w:p>
        </w:tc>
        <w:tc>
          <w:tcPr>
            <w:tcW w:w="275" w:type="pc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17%</w:t>
            </w:r>
          </w:p>
        </w:tc>
        <w:tc>
          <w:tcPr>
            <w:tcW w:w="537" w:type="pc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€396,184,035</w:t>
            </w:r>
          </w:p>
        </w:tc>
        <w:tc>
          <w:tcPr>
            <w:tcW w:w="274" w:type="pc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40%</w:t>
            </w:r>
          </w:p>
        </w:tc>
      </w:tr>
      <w:tr w:rsidR="00984239" w:rsidRPr="008E15C2" w:rsidTr="00D6511F">
        <w:tc>
          <w:tcPr>
            <w:tcW w:w="605" w:type="pct"/>
            <w:tcBorders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Third States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198</w:t>
            </w:r>
          </w:p>
        </w:tc>
        <w:tc>
          <w:tcPr>
            <w:tcW w:w="31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€4,158,515,738</w:t>
            </w:r>
          </w:p>
        </w:tc>
        <w:tc>
          <w:tcPr>
            <w:tcW w:w="316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26%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97</w:t>
            </w:r>
          </w:p>
        </w:tc>
        <w:tc>
          <w:tcPr>
            <w:tcW w:w="279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€4,092,482,418</w:t>
            </w:r>
          </w:p>
        </w:tc>
        <w:tc>
          <w:tcPr>
            <w:tcW w:w="27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44%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537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€4,294,805</w:t>
            </w:r>
          </w:p>
        </w:tc>
        <w:tc>
          <w:tcPr>
            <w:tcW w:w="27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</w:tr>
      <w:tr w:rsidR="00984239" w:rsidRPr="008E15C2" w:rsidTr="00D6511F">
        <w:tc>
          <w:tcPr>
            <w:tcW w:w="605" w:type="pct"/>
            <w:tcBorders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Private sector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3749</w:t>
            </w:r>
          </w:p>
        </w:tc>
        <w:tc>
          <w:tcPr>
            <w:tcW w:w="31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79%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€3,490,865,705</w:t>
            </w:r>
          </w:p>
        </w:tc>
        <w:tc>
          <w:tcPr>
            <w:tcW w:w="316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22%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1949</w:t>
            </w:r>
          </w:p>
        </w:tc>
        <w:tc>
          <w:tcPr>
            <w:tcW w:w="279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80%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€1,174,284,369</w:t>
            </w:r>
          </w:p>
        </w:tc>
        <w:tc>
          <w:tcPr>
            <w:tcW w:w="27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13%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524</w:t>
            </w:r>
          </w:p>
        </w:tc>
        <w:tc>
          <w:tcPr>
            <w:tcW w:w="275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77%</w:t>
            </w:r>
          </w:p>
        </w:tc>
        <w:tc>
          <w:tcPr>
            <w:tcW w:w="537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€516,331,236</w:t>
            </w:r>
          </w:p>
        </w:tc>
        <w:tc>
          <w:tcPr>
            <w:tcW w:w="27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52%</w:t>
            </w:r>
          </w:p>
        </w:tc>
      </w:tr>
      <w:tr w:rsidR="00984239" w:rsidRPr="008E15C2" w:rsidTr="00D6511F">
        <w:tc>
          <w:tcPr>
            <w:tcW w:w="605" w:type="pct"/>
            <w:tcBorders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Trust Funds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31</w:t>
            </w:r>
          </w:p>
        </w:tc>
        <w:tc>
          <w:tcPr>
            <w:tcW w:w="31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€2,345,473,627</w:t>
            </w:r>
          </w:p>
        </w:tc>
        <w:tc>
          <w:tcPr>
            <w:tcW w:w="316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14%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18</w:t>
            </w:r>
          </w:p>
        </w:tc>
        <w:tc>
          <w:tcPr>
            <w:tcW w:w="279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€1,176,409,544</w:t>
            </w:r>
          </w:p>
        </w:tc>
        <w:tc>
          <w:tcPr>
            <w:tcW w:w="27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13%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537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</w:tr>
      <w:tr w:rsidR="00984239" w:rsidRPr="008E15C2" w:rsidTr="00D6511F">
        <w:tc>
          <w:tcPr>
            <w:tcW w:w="605" w:type="pct"/>
            <w:tcBorders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Other Public Bodies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239</w:t>
            </w:r>
          </w:p>
        </w:tc>
        <w:tc>
          <w:tcPr>
            <w:tcW w:w="31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€749,446,609</w:t>
            </w:r>
          </w:p>
        </w:tc>
        <w:tc>
          <w:tcPr>
            <w:tcW w:w="316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89</w:t>
            </w:r>
          </w:p>
        </w:tc>
        <w:tc>
          <w:tcPr>
            <w:tcW w:w="279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€502,896,888</w:t>
            </w:r>
          </w:p>
        </w:tc>
        <w:tc>
          <w:tcPr>
            <w:tcW w:w="27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14</w:t>
            </w:r>
          </w:p>
        </w:tc>
        <w:tc>
          <w:tcPr>
            <w:tcW w:w="275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2%</w:t>
            </w:r>
          </w:p>
        </w:tc>
        <w:tc>
          <w:tcPr>
            <w:tcW w:w="537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€11,484,401</w:t>
            </w:r>
          </w:p>
        </w:tc>
        <w:tc>
          <w:tcPr>
            <w:tcW w:w="27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</w:tr>
      <w:tr w:rsidR="00984239" w:rsidRPr="008E15C2" w:rsidTr="00D6511F">
        <w:tc>
          <w:tcPr>
            <w:tcW w:w="605" w:type="pct"/>
            <w:tcBorders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Member states and their Regions-Provinces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27</w:t>
            </w:r>
          </w:p>
        </w:tc>
        <w:tc>
          <w:tcPr>
            <w:tcW w:w="31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€89,989,982</w:t>
            </w:r>
          </w:p>
        </w:tc>
        <w:tc>
          <w:tcPr>
            <w:tcW w:w="316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27</w:t>
            </w:r>
          </w:p>
        </w:tc>
        <w:tc>
          <w:tcPr>
            <w:tcW w:w="279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€275,575,511</w:t>
            </w:r>
          </w:p>
        </w:tc>
        <w:tc>
          <w:tcPr>
            <w:tcW w:w="27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3%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537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€20,497,830</w:t>
            </w:r>
          </w:p>
        </w:tc>
        <w:tc>
          <w:tcPr>
            <w:tcW w:w="27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2%</w:t>
            </w:r>
          </w:p>
        </w:tc>
      </w:tr>
      <w:tr w:rsidR="00984239" w:rsidRPr="008E15C2" w:rsidTr="00D6511F">
        <w:tc>
          <w:tcPr>
            <w:tcW w:w="605" w:type="pct"/>
            <w:tcBorders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EIF – European Investment Fund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</w:t>
            </w:r>
          </w:p>
        </w:tc>
        <w:tc>
          <w:tcPr>
            <w:tcW w:w="279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574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€31,060,216</w:t>
            </w:r>
          </w:p>
        </w:tc>
        <w:tc>
          <w:tcPr>
            <w:tcW w:w="277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325" w:type="pct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  <w:tc>
          <w:tcPr>
            <w:tcW w:w="537" w:type="pct"/>
            <w:tcBorders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lef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0%</w:t>
            </w:r>
          </w:p>
        </w:tc>
      </w:tr>
      <w:tr w:rsidR="00984239" w:rsidRPr="008E15C2" w:rsidTr="00D6511F">
        <w:tc>
          <w:tcPr>
            <w:tcW w:w="605" w:type="pct"/>
            <w:tcBorders>
              <w:bottom w:val="double" w:sz="4" w:space="0" w:color="auto"/>
              <w:right w:val="double" w:sz="4" w:space="0" w:color="auto"/>
            </w:tcBorders>
          </w:tcPr>
          <w:p w:rsidR="00984239" w:rsidRPr="008E15C2" w:rsidRDefault="00984239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325" w:type="pct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53</w:t>
            </w:r>
          </w:p>
        </w:tc>
        <w:tc>
          <w:tcPr>
            <w:tcW w:w="314" w:type="pct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1%</w:t>
            </w:r>
          </w:p>
        </w:tc>
        <w:tc>
          <w:tcPr>
            <w:tcW w:w="574" w:type="pct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€387,837,700</w:t>
            </w:r>
          </w:p>
        </w:tc>
        <w:tc>
          <w:tcPr>
            <w:tcW w:w="316" w:type="pct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2%</w:t>
            </w:r>
          </w:p>
        </w:tc>
        <w:tc>
          <w:tcPr>
            <w:tcW w:w="325" w:type="pct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46</w:t>
            </w:r>
          </w:p>
        </w:tc>
        <w:tc>
          <w:tcPr>
            <w:tcW w:w="279" w:type="pct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2%</w:t>
            </w:r>
          </w:p>
        </w:tc>
        <w:tc>
          <w:tcPr>
            <w:tcW w:w="574" w:type="pct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€360,304,888</w:t>
            </w:r>
          </w:p>
        </w:tc>
        <w:tc>
          <w:tcPr>
            <w:tcW w:w="277" w:type="pct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4%</w:t>
            </w:r>
          </w:p>
        </w:tc>
        <w:tc>
          <w:tcPr>
            <w:tcW w:w="325" w:type="pct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16</w:t>
            </w:r>
          </w:p>
        </w:tc>
        <w:tc>
          <w:tcPr>
            <w:tcW w:w="275" w:type="pct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2%</w:t>
            </w:r>
          </w:p>
        </w:tc>
        <w:tc>
          <w:tcPr>
            <w:tcW w:w="537" w:type="pct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€46,817,511</w:t>
            </w:r>
          </w:p>
        </w:tc>
        <w:tc>
          <w:tcPr>
            <w:tcW w:w="274" w:type="pct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5%</w:t>
            </w:r>
          </w:p>
        </w:tc>
      </w:tr>
      <w:tr w:rsidR="00984239" w:rsidRPr="008E15C2" w:rsidTr="00D6511F">
        <w:trPr>
          <w:trHeight w:val="518"/>
        </w:trPr>
        <w:tc>
          <w:tcPr>
            <w:tcW w:w="605" w:type="pct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8E15C2" w:rsidRDefault="00984239" w:rsidP="00D6511F">
            <w:pPr>
              <w:jc w:val="left"/>
              <w:rPr>
                <w:b/>
                <w:i/>
                <w:color w:val="000000"/>
                <w:sz w:val="18"/>
                <w:szCs w:val="18"/>
              </w:rPr>
            </w:pPr>
            <w:r w:rsidRPr="008E15C2">
              <w:rPr>
                <w:b/>
                <w:i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4723</w:t>
            </w:r>
          </w:p>
        </w:tc>
        <w:tc>
          <w:tcPr>
            <w:tcW w:w="314" w:type="pct"/>
            <w:tcBorders>
              <w:top w:val="double" w:sz="4" w:space="0" w:color="auto"/>
              <w:lef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100%</w:t>
            </w:r>
          </w:p>
        </w:tc>
        <w:tc>
          <w:tcPr>
            <w:tcW w:w="574" w:type="pct"/>
            <w:tcBorders>
              <w:top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€16,195,975,963</w:t>
            </w:r>
          </w:p>
        </w:tc>
        <w:tc>
          <w:tcPr>
            <w:tcW w:w="316" w:type="pct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100%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2424</w:t>
            </w:r>
          </w:p>
        </w:tc>
        <w:tc>
          <w:tcPr>
            <w:tcW w:w="279" w:type="pct"/>
            <w:tcBorders>
              <w:top w:val="double" w:sz="4" w:space="0" w:color="auto"/>
              <w:lef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100%</w:t>
            </w:r>
          </w:p>
        </w:tc>
        <w:tc>
          <w:tcPr>
            <w:tcW w:w="574" w:type="pct"/>
            <w:tcBorders>
              <w:top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€11,380,283,981</w:t>
            </w:r>
          </w:p>
        </w:tc>
        <w:tc>
          <w:tcPr>
            <w:tcW w:w="277" w:type="pct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100%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677</w:t>
            </w:r>
          </w:p>
        </w:tc>
        <w:tc>
          <w:tcPr>
            <w:tcW w:w="275" w:type="pct"/>
            <w:tcBorders>
              <w:top w:val="double" w:sz="4" w:space="0" w:color="auto"/>
              <w:lef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100%</w:t>
            </w:r>
          </w:p>
        </w:tc>
        <w:tc>
          <w:tcPr>
            <w:tcW w:w="537" w:type="pct"/>
            <w:tcBorders>
              <w:top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€1,001,102,170</w:t>
            </w:r>
          </w:p>
        </w:tc>
        <w:tc>
          <w:tcPr>
            <w:tcW w:w="274" w:type="pct"/>
            <w:tcBorders>
              <w:top w:val="double" w:sz="4" w:space="0" w:color="auto"/>
              <w:lef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984239" w:rsidRPr="00AB0E4C" w:rsidRDefault="00984239" w:rsidP="00D6511F">
            <w:pPr>
              <w:jc w:val="center"/>
              <w:rPr>
                <w:sz w:val="18"/>
                <w:szCs w:val="18"/>
              </w:rPr>
            </w:pPr>
            <w:r w:rsidRPr="00AB0E4C">
              <w:rPr>
                <w:sz w:val="18"/>
                <w:szCs w:val="18"/>
              </w:rPr>
              <w:t>100%</w:t>
            </w:r>
          </w:p>
        </w:tc>
      </w:tr>
    </w:tbl>
    <w:p w:rsidR="00984239" w:rsidRDefault="00984239" w:rsidP="00984239"/>
    <w:p w:rsidR="006B4192" w:rsidRDefault="006B4192" w:rsidP="006B4192">
      <w:pPr>
        <w:pStyle w:val="Caption"/>
        <w:keepNext/>
        <w:jc w:val="center"/>
      </w:pPr>
    </w:p>
    <w:p w:rsidR="006B4192" w:rsidRDefault="006B4192" w:rsidP="006B419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D02BEF">
        <w:t>:</w:t>
      </w:r>
      <w:r w:rsidRPr="006B4192">
        <w:t xml:space="preserve"> Nature of contra</w:t>
      </w:r>
      <w:r w:rsidR="00D02BEF">
        <w:t>cts managed by private sector (n</w:t>
      </w:r>
      <w:r w:rsidRPr="006B4192">
        <w:t>umber and EU contribution coverage)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663"/>
        <w:gridCol w:w="875"/>
        <w:gridCol w:w="879"/>
        <w:gridCol w:w="1581"/>
        <w:gridCol w:w="936"/>
        <w:gridCol w:w="862"/>
        <w:gridCol w:w="799"/>
        <w:gridCol w:w="1641"/>
        <w:gridCol w:w="848"/>
        <w:gridCol w:w="893"/>
        <w:gridCol w:w="825"/>
        <w:gridCol w:w="1593"/>
        <w:gridCol w:w="825"/>
      </w:tblGrid>
      <w:tr w:rsidR="006B4192" w:rsidRPr="008E15C2" w:rsidTr="00D6511F">
        <w:trPr>
          <w:trHeight w:val="411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Nature of contracts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DEVCO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NEAR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FPI</w:t>
            </w:r>
          </w:p>
        </w:tc>
      </w:tr>
      <w:tr w:rsidR="006B4192" w:rsidRPr="008E15C2" w:rsidTr="00D6511F">
        <w:trPr>
          <w:trHeight w:val="487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4192" w:rsidRPr="008E15C2" w:rsidRDefault="006B4192" w:rsidP="00D6511F">
            <w:pPr>
              <w:spacing w:before="0" w:after="0"/>
              <w:jc w:val="lef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309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Budget</w:t>
            </w:r>
          </w:p>
        </w:tc>
        <w:tc>
          <w:tcPr>
            <w:tcW w:w="329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81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Budget</w:t>
            </w:r>
          </w:p>
        </w:tc>
        <w:tc>
          <w:tcPr>
            <w:tcW w:w="298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sz w:val="18"/>
                <w:szCs w:val="18"/>
                <w:lang w:val="en-GB"/>
              </w:rPr>
            </w:pPr>
            <w:r w:rsidRPr="008E15C2">
              <w:rPr>
                <w:b/>
                <w:sz w:val="18"/>
                <w:szCs w:val="18"/>
                <w:lang w:val="en-GB"/>
              </w:rPr>
              <w:t>Budget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spacing w:before="0" w:after="0" w:line="276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8E15C2">
              <w:rPr>
                <w:b/>
                <w:i/>
                <w:sz w:val="18"/>
                <w:szCs w:val="18"/>
                <w:lang w:val="en-GB"/>
              </w:rPr>
              <w:t>%</w:t>
            </w:r>
          </w:p>
        </w:tc>
      </w:tr>
      <w:tr w:rsidR="006B4192" w:rsidRPr="008E15C2" w:rsidTr="00D6511F"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B4192" w:rsidRPr="008E15C2" w:rsidRDefault="006B4192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Action grants direct management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1209</w:t>
            </w:r>
          </w:p>
        </w:tc>
        <w:tc>
          <w:tcPr>
            <w:tcW w:w="30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32%</w:t>
            </w:r>
          </w:p>
        </w:tc>
        <w:tc>
          <w:tcPr>
            <w:tcW w:w="5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€1,566,951,421</w:t>
            </w:r>
          </w:p>
        </w:tc>
        <w:tc>
          <w:tcPr>
            <w:tcW w:w="32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45%</w:t>
            </w:r>
          </w:p>
        </w:tc>
        <w:tc>
          <w:tcPr>
            <w:tcW w:w="3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678</w:t>
            </w:r>
          </w:p>
        </w:tc>
        <w:tc>
          <w:tcPr>
            <w:tcW w:w="281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35%</w:t>
            </w:r>
          </w:p>
        </w:tc>
        <w:tc>
          <w:tcPr>
            <w:tcW w:w="5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€475,301,631</w:t>
            </w:r>
          </w:p>
        </w:tc>
        <w:tc>
          <w:tcPr>
            <w:tcW w:w="298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40%</w:t>
            </w:r>
          </w:p>
        </w:tc>
        <w:tc>
          <w:tcPr>
            <w:tcW w:w="3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147</w:t>
            </w:r>
          </w:p>
        </w:tc>
        <w:tc>
          <w:tcPr>
            <w:tcW w:w="29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28%</w:t>
            </w:r>
          </w:p>
        </w:tc>
        <w:tc>
          <w:tcPr>
            <w:tcW w:w="5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€234,207,727</w:t>
            </w:r>
          </w:p>
        </w:tc>
        <w:tc>
          <w:tcPr>
            <w:tcW w:w="29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45%</w:t>
            </w:r>
          </w:p>
        </w:tc>
      </w:tr>
      <w:tr w:rsidR="006B4192" w:rsidRPr="008E15C2" w:rsidTr="00D6511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B4192" w:rsidRPr="008E15C2" w:rsidRDefault="006B4192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Grants indirect management</w:t>
            </w:r>
          </w:p>
        </w:tc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369</w:t>
            </w:r>
          </w:p>
        </w:tc>
        <w:tc>
          <w:tcPr>
            <w:tcW w:w="30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Pr="00AB0E4C">
              <w:rPr>
                <w:sz w:val="18"/>
              </w:rPr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€199,333,979</w:t>
            </w:r>
          </w:p>
        </w:tc>
        <w:tc>
          <w:tcPr>
            <w:tcW w:w="32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6%</w:t>
            </w: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149</w:t>
            </w:r>
          </w:p>
        </w:tc>
        <w:tc>
          <w:tcPr>
            <w:tcW w:w="28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8%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€42,881,364</w:t>
            </w:r>
          </w:p>
        </w:tc>
        <w:tc>
          <w:tcPr>
            <w:tcW w:w="298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4%</w:t>
            </w:r>
          </w:p>
        </w:tc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18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3%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€7,290,597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1%</w:t>
            </w:r>
          </w:p>
        </w:tc>
      </w:tr>
      <w:tr w:rsidR="006B4192" w:rsidRPr="008E15C2" w:rsidTr="00D6511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B4192" w:rsidRPr="008E15C2" w:rsidRDefault="006B4192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Financing agreement</w:t>
            </w:r>
          </w:p>
        </w:tc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52</w:t>
            </w:r>
          </w:p>
        </w:tc>
        <w:tc>
          <w:tcPr>
            <w:tcW w:w="30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AB0E4C">
              <w:rPr>
                <w:sz w:val="18"/>
              </w:rPr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€846,632,092</w:t>
            </w:r>
          </w:p>
        </w:tc>
        <w:tc>
          <w:tcPr>
            <w:tcW w:w="32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24%</w:t>
            </w: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€144,749,056</w:t>
            </w:r>
          </w:p>
        </w:tc>
        <w:tc>
          <w:tcPr>
            <w:tcW w:w="298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12%</w:t>
            </w:r>
          </w:p>
        </w:tc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2%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€34,654,111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7%</w:t>
            </w:r>
          </w:p>
        </w:tc>
      </w:tr>
      <w:tr w:rsidR="006B4192" w:rsidRPr="008E15C2" w:rsidTr="00D6511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B4192" w:rsidRPr="008E15C2" w:rsidRDefault="006B4192" w:rsidP="00D651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E15C2">
              <w:rPr>
                <w:color w:val="000000"/>
                <w:sz w:val="18"/>
                <w:szCs w:val="18"/>
              </w:rPr>
              <w:t>Programmes</w:t>
            </w:r>
            <w:proofErr w:type="spellEnd"/>
            <w:r w:rsidRPr="008E15C2">
              <w:rPr>
                <w:color w:val="000000"/>
                <w:sz w:val="18"/>
                <w:szCs w:val="18"/>
              </w:rPr>
              <w:t xml:space="preserve"> estimates</w:t>
            </w:r>
          </w:p>
        </w:tc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Pr="00AB0E4C">
              <w:rPr>
                <w:sz w:val="18"/>
              </w:rPr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€13,789,674</w:t>
            </w:r>
          </w:p>
        </w:tc>
        <w:tc>
          <w:tcPr>
            <w:tcW w:w="32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0%</w:t>
            </w: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4192" w:rsidRPr="008E15C2" w:rsidTr="00D6511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B4192" w:rsidRPr="008E15C2" w:rsidRDefault="006B4192" w:rsidP="00D6511F">
            <w:pPr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2093</w:t>
            </w:r>
          </w:p>
        </w:tc>
        <w:tc>
          <w:tcPr>
            <w:tcW w:w="30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 w:rsidRPr="00AB0E4C">
              <w:rPr>
                <w:sz w:val="18"/>
              </w:rPr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€726,983,539</w:t>
            </w:r>
          </w:p>
        </w:tc>
        <w:tc>
          <w:tcPr>
            <w:tcW w:w="329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21%</w:t>
            </w: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1108</w:t>
            </w:r>
          </w:p>
        </w:tc>
        <w:tc>
          <w:tcPr>
            <w:tcW w:w="28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57%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€511,352,318</w:t>
            </w:r>
          </w:p>
        </w:tc>
        <w:tc>
          <w:tcPr>
            <w:tcW w:w="298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44%</w:t>
            </w:r>
          </w:p>
        </w:tc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5DFEC" w:themeFill="accent4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350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67%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€240,178,802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47%</w:t>
            </w:r>
          </w:p>
        </w:tc>
      </w:tr>
      <w:tr w:rsidR="006B4192" w:rsidRPr="008E15C2" w:rsidTr="00D6511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6B4192" w:rsidRPr="007E3696" w:rsidRDefault="006B4192" w:rsidP="00D6511F">
            <w:pPr>
              <w:rPr>
                <w:i/>
                <w:color w:val="000000"/>
                <w:sz w:val="18"/>
                <w:szCs w:val="18"/>
              </w:rPr>
            </w:pPr>
            <w:r w:rsidRPr="007E3696">
              <w:rPr>
                <w:i/>
                <w:color w:val="000000"/>
                <w:sz w:val="18"/>
                <w:szCs w:val="18"/>
              </w:rPr>
              <w:t xml:space="preserve">Contract with no </w:t>
            </w:r>
            <w:proofErr w:type="spellStart"/>
            <w:r w:rsidRPr="007E3696">
              <w:rPr>
                <w:i/>
                <w:color w:val="000000"/>
                <w:sz w:val="18"/>
                <w:szCs w:val="18"/>
              </w:rPr>
              <w:t>logframes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17</w:t>
            </w:r>
          </w:p>
        </w:tc>
        <w:tc>
          <w:tcPr>
            <w:tcW w:w="309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0%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€137,175,000</w:t>
            </w:r>
          </w:p>
        </w:tc>
        <w:tc>
          <w:tcPr>
            <w:tcW w:w="329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4%</w:t>
            </w:r>
          </w:p>
        </w:tc>
        <w:tc>
          <w:tcPr>
            <w:tcW w:w="30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0%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€0</w:t>
            </w:r>
          </w:p>
        </w:tc>
        <w:tc>
          <w:tcPr>
            <w:tcW w:w="298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0%</w:t>
            </w:r>
          </w:p>
        </w:tc>
        <w:tc>
          <w:tcPr>
            <w:tcW w:w="3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B4192" w:rsidRPr="008E15C2" w:rsidTr="00D6511F">
        <w:trPr>
          <w:trHeight w:val="518"/>
        </w:trPr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B4192" w:rsidRPr="008E15C2" w:rsidRDefault="006B4192" w:rsidP="00D6511F">
            <w:pPr>
              <w:jc w:val="left"/>
              <w:rPr>
                <w:color w:val="000000"/>
                <w:sz w:val="18"/>
                <w:szCs w:val="18"/>
              </w:rPr>
            </w:pPr>
            <w:r w:rsidRPr="008E15C2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3749</w:t>
            </w:r>
          </w:p>
        </w:tc>
        <w:tc>
          <w:tcPr>
            <w:tcW w:w="30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100%</w:t>
            </w:r>
          </w:p>
        </w:tc>
        <w:tc>
          <w:tcPr>
            <w:tcW w:w="5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€3,490,865,705</w:t>
            </w:r>
          </w:p>
        </w:tc>
        <w:tc>
          <w:tcPr>
            <w:tcW w:w="329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100%</w:t>
            </w:r>
          </w:p>
        </w:tc>
        <w:tc>
          <w:tcPr>
            <w:tcW w:w="3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1949</w:t>
            </w:r>
          </w:p>
        </w:tc>
        <w:tc>
          <w:tcPr>
            <w:tcW w:w="281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100%</w:t>
            </w:r>
          </w:p>
        </w:tc>
        <w:tc>
          <w:tcPr>
            <w:tcW w:w="5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€1,174,284,369</w:t>
            </w:r>
          </w:p>
        </w:tc>
        <w:tc>
          <w:tcPr>
            <w:tcW w:w="298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100%</w:t>
            </w:r>
          </w:p>
        </w:tc>
        <w:tc>
          <w:tcPr>
            <w:tcW w:w="3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524</w:t>
            </w:r>
          </w:p>
        </w:tc>
        <w:tc>
          <w:tcPr>
            <w:tcW w:w="29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100%</w:t>
            </w:r>
          </w:p>
        </w:tc>
        <w:tc>
          <w:tcPr>
            <w:tcW w:w="5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€516,331,236</w:t>
            </w:r>
          </w:p>
        </w:tc>
        <w:tc>
          <w:tcPr>
            <w:tcW w:w="290" w:type="pc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B4192" w:rsidRPr="00AB0E4C" w:rsidRDefault="006B4192" w:rsidP="00D6511F">
            <w:pPr>
              <w:jc w:val="center"/>
              <w:rPr>
                <w:sz w:val="18"/>
              </w:rPr>
            </w:pPr>
            <w:r w:rsidRPr="00AB0E4C">
              <w:rPr>
                <w:sz w:val="18"/>
              </w:rPr>
              <w:t>100%</w:t>
            </w:r>
          </w:p>
        </w:tc>
      </w:tr>
    </w:tbl>
    <w:p w:rsidR="006B4192" w:rsidRPr="00307C84" w:rsidRDefault="006B4192" w:rsidP="006B4192"/>
    <w:p w:rsidR="006B4192" w:rsidRPr="004F7568" w:rsidRDefault="00D02BEF" w:rsidP="006B4192">
      <w:pPr>
        <w:spacing w:before="0" w:after="0"/>
        <w:rPr>
          <w:sz w:val="16"/>
          <w:lang w:val="en-GB"/>
        </w:rPr>
      </w:pPr>
      <w:r>
        <w:rPr>
          <w:sz w:val="16"/>
          <w:lang w:val="en-GB"/>
        </w:rPr>
        <w:t xml:space="preserve">Note: </w:t>
      </w:r>
      <w:r w:rsidR="006B4192" w:rsidRPr="004F7568">
        <w:rPr>
          <w:sz w:val="16"/>
          <w:lang w:val="en-GB"/>
        </w:rPr>
        <w:t xml:space="preserve">The analysis was made on the basis of the following assumptions: </w:t>
      </w:r>
    </w:p>
    <w:p w:rsidR="006B4192" w:rsidRPr="004F7568" w:rsidRDefault="006B4192" w:rsidP="006B4192">
      <w:pPr>
        <w:pStyle w:val="ListParagraph"/>
        <w:numPr>
          <w:ilvl w:val="0"/>
          <w:numId w:val="1"/>
        </w:numPr>
        <w:spacing w:after="0"/>
        <w:rPr>
          <w:sz w:val="16"/>
        </w:rPr>
      </w:pPr>
      <w:r w:rsidRPr="004F7568">
        <w:rPr>
          <w:sz w:val="16"/>
        </w:rPr>
        <w:t>The period covered starts on 1 January 2014 (at the level of decision) and ends on 31</w:t>
      </w:r>
      <w:r w:rsidR="00D02BEF">
        <w:rPr>
          <w:sz w:val="16"/>
        </w:rPr>
        <w:t xml:space="preserve"> August 2017.</w:t>
      </w:r>
    </w:p>
    <w:p w:rsidR="006B4192" w:rsidRPr="004F7568" w:rsidRDefault="00984DB8" w:rsidP="006B4192">
      <w:pPr>
        <w:pStyle w:val="ListParagraph"/>
        <w:numPr>
          <w:ilvl w:val="0"/>
          <w:numId w:val="1"/>
        </w:numPr>
        <w:spacing w:after="0"/>
        <w:rPr>
          <w:sz w:val="16"/>
        </w:rPr>
      </w:pPr>
      <w:r>
        <w:rPr>
          <w:sz w:val="16"/>
        </w:rPr>
        <w:t>C</w:t>
      </w:r>
      <w:r w:rsidR="006B4192" w:rsidRPr="004F7568">
        <w:rPr>
          <w:sz w:val="16"/>
        </w:rPr>
        <w:t xml:space="preserve">ontracts belonging to administrative decisions were removed of the list, </w:t>
      </w:r>
    </w:p>
    <w:p w:rsidR="006B4192" w:rsidRPr="004F7568" w:rsidRDefault="00984DB8" w:rsidP="006B4192">
      <w:pPr>
        <w:pStyle w:val="ListParagraph"/>
        <w:numPr>
          <w:ilvl w:val="0"/>
          <w:numId w:val="1"/>
        </w:numPr>
        <w:spacing w:after="0"/>
        <w:rPr>
          <w:sz w:val="16"/>
        </w:rPr>
      </w:pPr>
      <w:r>
        <w:rPr>
          <w:sz w:val="16"/>
        </w:rPr>
        <w:t>C</w:t>
      </w:r>
      <w:r w:rsidR="006B4192" w:rsidRPr="004F7568">
        <w:rPr>
          <w:sz w:val="16"/>
        </w:rPr>
        <w:t xml:space="preserve">ontracts of the following nature were considered as contracts with no </w:t>
      </w:r>
      <w:proofErr w:type="spellStart"/>
      <w:r w:rsidR="006B4192" w:rsidRPr="004F7568">
        <w:rPr>
          <w:sz w:val="16"/>
        </w:rPr>
        <w:t>logframes</w:t>
      </w:r>
      <w:proofErr w:type="spellEnd"/>
      <w:r w:rsidR="006B4192" w:rsidRPr="004F7568">
        <w:rPr>
          <w:sz w:val="16"/>
        </w:rPr>
        <w:t xml:space="preserve">: 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 xml:space="preserve">Administrative arrangements, 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Administrative expenditure except procurement,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Authorisation of expenditure,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Late payments interests,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Membership fees,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Recommitment</w:t>
      </w:r>
      <w:r w:rsidR="00984DB8">
        <w:rPr>
          <w:sz w:val="16"/>
        </w:rPr>
        <w:t>s</w:t>
      </w:r>
      <w:r w:rsidRPr="004F7568">
        <w:rPr>
          <w:sz w:val="16"/>
        </w:rPr>
        <w:t>,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Specific contracts,</w:t>
      </w:r>
    </w:p>
    <w:p w:rsidR="006B4192" w:rsidRPr="004F7568" w:rsidRDefault="006B4192" w:rsidP="006B4192">
      <w:pPr>
        <w:pStyle w:val="ListParagraph"/>
        <w:numPr>
          <w:ilvl w:val="1"/>
          <w:numId w:val="1"/>
        </w:numPr>
        <w:spacing w:after="0"/>
        <w:rPr>
          <w:sz w:val="16"/>
        </w:rPr>
      </w:pPr>
      <w:r w:rsidRPr="004F7568">
        <w:rPr>
          <w:sz w:val="16"/>
        </w:rPr>
        <w:t>Supplies,</w:t>
      </w:r>
    </w:p>
    <w:p w:rsidR="006B4192" w:rsidRPr="00984239" w:rsidRDefault="006B4192" w:rsidP="00984239">
      <w:pPr>
        <w:pStyle w:val="ListParagraph"/>
        <w:numPr>
          <w:ilvl w:val="1"/>
          <w:numId w:val="1"/>
        </w:numPr>
        <w:spacing w:after="0"/>
      </w:pPr>
      <w:r w:rsidRPr="006B4192">
        <w:rPr>
          <w:sz w:val="16"/>
        </w:rPr>
        <w:t>Works.</w:t>
      </w:r>
    </w:p>
    <w:sectPr w:rsidR="006B4192" w:rsidRPr="00984239" w:rsidSect="001F3B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AB9"/>
    <w:multiLevelType w:val="hybridMultilevel"/>
    <w:tmpl w:val="5DDC2416"/>
    <w:lvl w:ilvl="0" w:tplc="BB40FE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30AC9"/>
    <w:multiLevelType w:val="hybridMultilevel"/>
    <w:tmpl w:val="CA06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E2C0D"/>
    <w:multiLevelType w:val="hybridMultilevel"/>
    <w:tmpl w:val="5E6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C727F"/>
    <w:multiLevelType w:val="hybridMultilevel"/>
    <w:tmpl w:val="ADB8E5C0"/>
    <w:lvl w:ilvl="0" w:tplc="BCD82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A7341"/>
    <w:multiLevelType w:val="hybridMultilevel"/>
    <w:tmpl w:val="9FB2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58"/>
    <w:rsid w:val="0006558B"/>
    <w:rsid w:val="001A5455"/>
    <w:rsid w:val="001A60D5"/>
    <w:rsid w:val="001C52D0"/>
    <w:rsid w:val="001F3BF5"/>
    <w:rsid w:val="0024626E"/>
    <w:rsid w:val="00276999"/>
    <w:rsid w:val="002806EB"/>
    <w:rsid w:val="002A7A7E"/>
    <w:rsid w:val="002D38EA"/>
    <w:rsid w:val="002E5460"/>
    <w:rsid w:val="005651C4"/>
    <w:rsid w:val="005C6328"/>
    <w:rsid w:val="006355D2"/>
    <w:rsid w:val="00692482"/>
    <w:rsid w:val="006B4192"/>
    <w:rsid w:val="006F2F68"/>
    <w:rsid w:val="00722327"/>
    <w:rsid w:val="0076756F"/>
    <w:rsid w:val="00772931"/>
    <w:rsid w:val="008F3BFA"/>
    <w:rsid w:val="00933848"/>
    <w:rsid w:val="009442AD"/>
    <w:rsid w:val="00950FFC"/>
    <w:rsid w:val="00984239"/>
    <w:rsid w:val="00984DB8"/>
    <w:rsid w:val="009A3872"/>
    <w:rsid w:val="009E4D9B"/>
    <w:rsid w:val="00A54F11"/>
    <w:rsid w:val="00A65ABF"/>
    <w:rsid w:val="00AD5FB9"/>
    <w:rsid w:val="00B432CC"/>
    <w:rsid w:val="00B74E0A"/>
    <w:rsid w:val="00B7618C"/>
    <w:rsid w:val="00BC22BB"/>
    <w:rsid w:val="00C27BFC"/>
    <w:rsid w:val="00CE6F58"/>
    <w:rsid w:val="00D02BEF"/>
    <w:rsid w:val="00D322D2"/>
    <w:rsid w:val="00DD5018"/>
    <w:rsid w:val="00EF17F4"/>
    <w:rsid w:val="00FC1559"/>
    <w:rsid w:val="00FD117A"/>
    <w:rsid w:val="00FD2058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58"/>
    <w:pPr>
      <w:spacing w:before="80" w:after="80" w:line="240" w:lineRule="auto"/>
      <w:jc w:val="both"/>
    </w:pPr>
    <w:rPr>
      <w:rFonts w:ascii="Calibri" w:eastAsiaTheme="minorEastAsia" w:hAnsi="Calibri"/>
      <w:sz w:val="20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FD2058"/>
    <w:pPr>
      <w:spacing w:before="360" w:after="120"/>
      <w:outlineLvl w:val="0"/>
    </w:pPr>
    <w:rPr>
      <w:rFonts w:asciiTheme="majorHAnsi" w:eastAsiaTheme="majorEastAsia" w:hAnsiTheme="majorHAnsi" w:cstheme="majorBidi"/>
      <w:b/>
      <w:bCs/>
      <w:caps/>
      <w:color w:val="9BBB59" w:themeColor="accent3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D2058"/>
    <w:pPr>
      <w:spacing w:before="240"/>
      <w:outlineLvl w:val="1"/>
    </w:pPr>
    <w:rPr>
      <w:rFonts w:asciiTheme="majorHAnsi" w:eastAsiaTheme="majorEastAsia" w:hAnsiTheme="majorHAnsi" w:cstheme="majorBidi"/>
      <w:bCs/>
      <w:color w:val="9BBB59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058"/>
    <w:rPr>
      <w:rFonts w:asciiTheme="majorHAnsi" w:eastAsiaTheme="majorEastAsia" w:hAnsiTheme="majorHAnsi" w:cstheme="majorBidi"/>
      <w:b/>
      <w:bCs/>
      <w:caps/>
      <w:color w:val="9BBB59" w:themeColor="accent3"/>
      <w:sz w:val="20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FD2058"/>
    <w:rPr>
      <w:rFonts w:asciiTheme="majorHAnsi" w:eastAsiaTheme="majorEastAsia" w:hAnsiTheme="majorHAnsi" w:cstheme="majorBidi"/>
      <w:bCs/>
      <w:color w:val="9BBB59" w:themeColor="accent3"/>
      <w:sz w:val="20"/>
      <w:szCs w:val="21"/>
      <w:lang w:val="en-US" w:eastAsia="ja-JP"/>
    </w:rPr>
  </w:style>
  <w:style w:type="table" w:styleId="TableGrid">
    <w:name w:val="Table Grid"/>
    <w:basedOn w:val="TableNormal"/>
    <w:uiPriority w:val="39"/>
    <w:rsid w:val="00FD2058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058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D205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54F11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character" w:customStyle="1" w:styleId="TitleChar">
    <w:name w:val="Title Char"/>
    <w:basedOn w:val="DefaultParagraphFont"/>
    <w:link w:val="Title"/>
    <w:rsid w:val="00A54F11"/>
    <w:rPr>
      <w:rFonts w:asciiTheme="majorHAnsi" w:eastAsiaTheme="majorEastAsia" w:hAnsiTheme="majorHAnsi" w:cstheme="majorBidi"/>
      <w:color w:val="000000" w:themeColor="text1"/>
      <w:sz w:val="44"/>
      <w:szCs w:val="5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F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1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ZCom">
    <w:name w:val="Z_Com"/>
    <w:basedOn w:val="Normal"/>
    <w:next w:val="ZDGName"/>
    <w:uiPriority w:val="99"/>
    <w:rsid w:val="001F3BF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1F3BF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infoblue">
    <w:name w:val="infoblue"/>
    <w:basedOn w:val="Normal"/>
    <w:link w:val="infoblueChar"/>
    <w:rsid w:val="00692482"/>
    <w:pPr>
      <w:spacing w:before="0" w:after="120" w:line="240" w:lineRule="atLeast"/>
      <w:ind w:left="720"/>
      <w:jc w:val="left"/>
    </w:pPr>
    <w:rPr>
      <w:rFonts w:eastAsia="SimSun" w:cs="Times New Roman"/>
      <w:i/>
      <w:iCs/>
      <w:color w:val="0000FF"/>
      <w:sz w:val="24"/>
      <w:szCs w:val="20"/>
      <w:lang w:val="fr-BE" w:eastAsia="zh-CN"/>
    </w:rPr>
  </w:style>
  <w:style w:type="character" w:customStyle="1" w:styleId="infoblueChar">
    <w:name w:val="infoblue Char"/>
    <w:link w:val="infoblue"/>
    <w:rsid w:val="00692482"/>
    <w:rPr>
      <w:rFonts w:ascii="Calibri" w:eastAsia="SimSun" w:hAnsi="Calibri" w:cs="Times New Roman"/>
      <w:i/>
      <w:iCs/>
      <w:color w:val="0000FF"/>
      <w:sz w:val="24"/>
      <w:szCs w:val="20"/>
      <w:lang w:val="fr-B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58"/>
    <w:pPr>
      <w:spacing w:before="80" w:after="80" w:line="240" w:lineRule="auto"/>
      <w:jc w:val="both"/>
    </w:pPr>
    <w:rPr>
      <w:rFonts w:ascii="Calibri" w:eastAsiaTheme="minorEastAsia" w:hAnsi="Calibri"/>
      <w:sz w:val="20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FD2058"/>
    <w:pPr>
      <w:spacing w:before="360" w:after="120"/>
      <w:outlineLvl w:val="0"/>
    </w:pPr>
    <w:rPr>
      <w:rFonts w:asciiTheme="majorHAnsi" w:eastAsiaTheme="majorEastAsia" w:hAnsiTheme="majorHAnsi" w:cstheme="majorBidi"/>
      <w:b/>
      <w:bCs/>
      <w:caps/>
      <w:color w:val="9BBB59" w:themeColor="accent3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D2058"/>
    <w:pPr>
      <w:spacing w:before="240"/>
      <w:outlineLvl w:val="1"/>
    </w:pPr>
    <w:rPr>
      <w:rFonts w:asciiTheme="majorHAnsi" w:eastAsiaTheme="majorEastAsia" w:hAnsiTheme="majorHAnsi" w:cstheme="majorBidi"/>
      <w:bCs/>
      <w:color w:val="9BBB59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058"/>
    <w:rPr>
      <w:rFonts w:asciiTheme="majorHAnsi" w:eastAsiaTheme="majorEastAsia" w:hAnsiTheme="majorHAnsi" w:cstheme="majorBidi"/>
      <w:b/>
      <w:bCs/>
      <w:caps/>
      <w:color w:val="9BBB59" w:themeColor="accent3"/>
      <w:sz w:val="20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FD2058"/>
    <w:rPr>
      <w:rFonts w:asciiTheme="majorHAnsi" w:eastAsiaTheme="majorEastAsia" w:hAnsiTheme="majorHAnsi" w:cstheme="majorBidi"/>
      <w:bCs/>
      <w:color w:val="9BBB59" w:themeColor="accent3"/>
      <w:sz w:val="20"/>
      <w:szCs w:val="21"/>
      <w:lang w:val="en-US" w:eastAsia="ja-JP"/>
    </w:rPr>
  </w:style>
  <w:style w:type="table" w:styleId="TableGrid">
    <w:name w:val="Table Grid"/>
    <w:basedOn w:val="TableNormal"/>
    <w:uiPriority w:val="39"/>
    <w:rsid w:val="00FD2058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058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D205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54F11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character" w:customStyle="1" w:styleId="TitleChar">
    <w:name w:val="Title Char"/>
    <w:basedOn w:val="DefaultParagraphFont"/>
    <w:link w:val="Title"/>
    <w:rsid w:val="00A54F11"/>
    <w:rPr>
      <w:rFonts w:asciiTheme="majorHAnsi" w:eastAsiaTheme="majorEastAsia" w:hAnsiTheme="majorHAnsi" w:cstheme="majorBidi"/>
      <w:color w:val="000000" w:themeColor="text1"/>
      <w:sz w:val="44"/>
      <w:szCs w:val="5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F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1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ZCom">
    <w:name w:val="Z_Com"/>
    <w:basedOn w:val="Normal"/>
    <w:next w:val="ZDGName"/>
    <w:uiPriority w:val="99"/>
    <w:rsid w:val="001F3BF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1F3BF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infoblue">
    <w:name w:val="infoblue"/>
    <w:basedOn w:val="Normal"/>
    <w:link w:val="infoblueChar"/>
    <w:rsid w:val="00692482"/>
    <w:pPr>
      <w:spacing w:before="0" w:after="120" w:line="240" w:lineRule="atLeast"/>
      <w:ind w:left="720"/>
      <w:jc w:val="left"/>
    </w:pPr>
    <w:rPr>
      <w:rFonts w:eastAsia="SimSun" w:cs="Times New Roman"/>
      <w:i/>
      <w:iCs/>
      <w:color w:val="0000FF"/>
      <w:sz w:val="24"/>
      <w:szCs w:val="20"/>
      <w:lang w:val="fr-BE" w:eastAsia="zh-CN"/>
    </w:rPr>
  </w:style>
  <w:style w:type="character" w:customStyle="1" w:styleId="infoblueChar">
    <w:name w:val="infoblue Char"/>
    <w:link w:val="infoblue"/>
    <w:rsid w:val="00692482"/>
    <w:rPr>
      <w:rFonts w:ascii="Calibri" w:eastAsia="SimSun" w:hAnsi="Calibri" w:cs="Times New Roman"/>
      <w:i/>
      <w:iCs/>
      <w:color w:val="0000FF"/>
      <w:sz w:val="24"/>
      <w:szCs w:val="20"/>
      <w:lang w:val="fr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C06834F47B486A82ECB5B8DB317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7D8E-B139-40A9-8076-623BED382A7B}"/>
      </w:docPartPr>
      <w:docPartBody>
        <w:p w:rsidR="004D4F82" w:rsidRDefault="00CA1734" w:rsidP="00CA1734">
          <w:pPr>
            <w:pStyle w:val="0DC06834F47B486A82ECB5B8DB317582"/>
          </w:pPr>
          <w:r>
            <w:t>[Meeting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34"/>
    <w:rsid w:val="00170962"/>
    <w:rsid w:val="004D4F82"/>
    <w:rsid w:val="006C760B"/>
    <w:rsid w:val="007C4491"/>
    <w:rsid w:val="007E363E"/>
    <w:rsid w:val="00CA1734"/>
    <w:rsid w:val="00C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4E00039D24FB6BD0F0F3FD21FD067">
    <w:name w:val="63D4E00039D24FB6BD0F0F3FD21FD067"/>
    <w:rsid w:val="00CA1734"/>
  </w:style>
  <w:style w:type="paragraph" w:customStyle="1" w:styleId="D2126E07F4AF4A6E9CEA4AF2B411DC47">
    <w:name w:val="D2126E07F4AF4A6E9CEA4AF2B411DC47"/>
    <w:rsid w:val="00CA1734"/>
  </w:style>
  <w:style w:type="paragraph" w:customStyle="1" w:styleId="59A59846C5924B7DA45D9874B0B1DFAC">
    <w:name w:val="59A59846C5924B7DA45D9874B0B1DFAC"/>
    <w:rsid w:val="00CA1734"/>
  </w:style>
  <w:style w:type="paragraph" w:customStyle="1" w:styleId="0DC06834F47B486A82ECB5B8DB317582">
    <w:name w:val="0DC06834F47B486A82ECB5B8DB317582"/>
    <w:rsid w:val="00CA17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D4E00039D24FB6BD0F0F3FD21FD067">
    <w:name w:val="63D4E00039D24FB6BD0F0F3FD21FD067"/>
    <w:rsid w:val="00CA1734"/>
  </w:style>
  <w:style w:type="paragraph" w:customStyle="1" w:styleId="D2126E07F4AF4A6E9CEA4AF2B411DC47">
    <w:name w:val="D2126E07F4AF4A6E9CEA4AF2B411DC47"/>
    <w:rsid w:val="00CA1734"/>
  </w:style>
  <w:style w:type="paragraph" w:customStyle="1" w:styleId="59A59846C5924B7DA45D9874B0B1DFAC">
    <w:name w:val="59A59846C5924B7DA45D9874B0B1DFAC"/>
    <w:rsid w:val="00CA1734"/>
  </w:style>
  <w:style w:type="paragraph" w:customStyle="1" w:styleId="0DC06834F47B486A82ECB5B8DB317582">
    <w:name w:val="0DC06834F47B486A82ECB5B8DB317582"/>
    <w:rsid w:val="00CA1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F823-443A-4B9D-BEE2-ACD1CCD0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Veronique (DEVCO-EXT)</dc:creator>
  <cp:lastModifiedBy>KREJZA Michal (EAC)</cp:lastModifiedBy>
  <cp:revision>10</cp:revision>
  <cp:lastPrinted>2017-11-28T15:32:00Z</cp:lastPrinted>
  <dcterms:created xsi:type="dcterms:W3CDTF">2017-12-04T16:59:00Z</dcterms:created>
  <dcterms:modified xsi:type="dcterms:W3CDTF">2017-12-04T18:43:00Z</dcterms:modified>
</cp:coreProperties>
</file>