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Default Extension="sldx" ContentType="application/vnd.openxmlformats-officedocument.presentationml.slide"/>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63" w:rsidRDefault="00C26263" w:rsidP="00DD7ADF">
      <w:pPr>
        <w:pStyle w:val="Overskrift1"/>
      </w:pPr>
    </w:p>
    <w:p w:rsidR="00C26263" w:rsidRDefault="00C26263" w:rsidP="00DD7ADF">
      <w:pPr>
        <w:pStyle w:val="Overskrift1"/>
      </w:pPr>
    </w:p>
    <w:p w:rsidR="00C26263" w:rsidRPr="005559F0" w:rsidRDefault="00C26263" w:rsidP="005559F0">
      <w:pPr>
        <w:pStyle w:val="Overskrift1"/>
        <w:jc w:val="right"/>
        <w:rPr>
          <w:sz w:val="40"/>
          <w:szCs w:val="40"/>
        </w:rPr>
      </w:pPr>
      <w:r w:rsidRPr="005559F0">
        <w:rPr>
          <w:sz w:val="40"/>
          <w:szCs w:val="40"/>
        </w:rPr>
        <w:t xml:space="preserve">Addressing Capacity Development </w:t>
      </w:r>
    </w:p>
    <w:p w:rsidR="00C26263" w:rsidRPr="005559F0" w:rsidRDefault="00C26263" w:rsidP="005559F0">
      <w:pPr>
        <w:pStyle w:val="Overskrift1"/>
        <w:jc w:val="right"/>
        <w:rPr>
          <w:sz w:val="40"/>
          <w:szCs w:val="40"/>
        </w:rPr>
      </w:pPr>
      <w:r w:rsidRPr="005559F0">
        <w:rPr>
          <w:sz w:val="40"/>
          <w:szCs w:val="40"/>
        </w:rPr>
        <w:t>in Danish Development Cooperation</w:t>
      </w:r>
    </w:p>
    <w:p w:rsidR="00C26263" w:rsidRDefault="00C26263" w:rsidP="005559F0"/>
    <w:p w:rsidR="00C26263" w:rsidRDefault="00C26263" w:rsidP="005559F0"/>
    <w:p w:rsidR="00C26263" w:rsidRDefault="00C26263" w:rsidP="005559F0">
      <w:pPr>
        <w:pStyle w:val="Overskrift2"/>
        <w:jc w:val="right"/>
      </w:pPr>
      <w:r>
        <w:t xml:space="preserve">Focusing on change readiness, requisite results and dialogue  </w:t>
      </w:r>
    </w:p>
    <w:p w:rsidR="00C26263" w:rsidRDefault="00C26263" w:rsidP="005559F0">
      <w:pPr>
        <w:pStyle w:val="Overskrift2"/>
        <w:jc w:val="right"/>
      </w:pPr>
    </w:p>
    <w:p w:rsidR="00C26263" w:rsidRDefault="00C26263" w:rsidP="005559F0">
      <w:pPr>
        <w:pStyle w:val="Overskrift2"/>
        <w:jc w:val="right"/>
      </w:pPr>
    </w:p>
    <w:p w:rsidR="00C26263" w:rsidRDefault="00C26263" w:rsidP="005559F0">
      <w:pPr>
        <w:pStyle w:val="Overskrift2"/>
        <w:jc w:val="right"/>
      </w:pPr>
    </w:p>
    <w:p w:rsidR="00C26263" w:rsidRDefault="00C26263" w:rsidP="005559F0">
      <w:pPr>
        <w:pStyle w:val="Overskrift2"/>
        <w:jc w:val="right"/>
      </w:pPr>
    </w:p>
    <w:p w:rsidR="00C26263" w:rsidRDefault="00B91050" w:rsidP="005559F0">
      <w:pPr>
        <w:pStyle w:val="Overskrift2"/>
        <w:jc w:val="right"/>
      </w:pPr>
      <w:r>
        <w:t>Draft, June 28</w:t>
      </w:r>
      <w:r w:rsidR="00C26263" w:rsidRPr="005559F0">
        <w:rPr>
          <w:vertAlign w:val="superscript"/>
        </w:rPr>
        <w:t>th</w:t>
      </w:r>
      <w:r w:rsidR="00C26263">
        <w:t xml:space="preserve">, 2010 </w:t>
      </w:r>
    </w:p>
    <w:p w:rsidR="00C26263" w:rsidRDefault="00C26263" w:rsidP="000F2E0F">
      <w:pPr>
        <w:pStyle w:val="Overskrift1"/>
        <w:numPr>
          <w:ilvl w:val="0"/>
          <w:numId w:val="11"/>
        </w:numPr>
        <w:rPr>
          <w:lang w:val="en-GB"/>
        </w:rPr>
      </w:pPr>
      <w:r>
        <w:br w:type="page"/>
      </w:r>
      <w:r>
        <w:rPr>
          <w:lang w:val="en-GB"/>
        </w:rPr>
        <w:lastRenderedPageBreak/>
        <w:t>Introduction</w:t>
      </w:r>
    </w:p>
    <w:p w:rsidR="00C26263" w:rsidRDefault="00C26263" w:rsidP="00E752D1">
      <w:pPr>
        <w:spacing w:after="0" w:line="240" w:lineRule="auto"/>
        <w:rPr>
          <w:lang w:val="en-GB"/>
        </w:rPr>
      </w:pPr>
      <w:r>
        <w:rPr>
          <w:lang w:val="en-GB"/>
        </w:rPr>
        <w:t xml:space="preserve">The ability to manage own affairs successfully at societal, sector, organisation and individual levels is an integral and central part of development. </w:t>
      </w:r>
      <w:smartTag w:uri="urn:schemas-microsoft-com:office:smarttags" w:element="country-region">
        <w:smartTag w:uri="urn:schemas-microsoft-com:office:smarttags" w:element="place">
          <w:r>
            <w:rPr>
              <w:lang w:val="en-GB"/>
            </w:rPr>
            <w:t>Denmark</w:t>
          </w:r>
        </w:smartTag>
      </w:smartTag>
      <w:r>
        <w:rPr>
          <w:lang w:val="en-GB"/>
        </w:rPr>
        <w:t xml:space="preserve"> is committed to the Paris Declaration on Aid Effectiveness and the Accra Agenda for Action which both underlines the fundamental importance of capacity and capacity development (CD).</w:t>
      </w:r>
    </w:p>
    <w:p w:rsidR="00C26263" w:rsidRDefault="00C26263" w:rsidP="00E752D1">
      <w:pPr>
        <w:spacing w:after="0" w:line="240" w:lineRule="auto"/>
        <w:rPr>
          <w:lang w:val="en-GB"/>
        </w:rPr>
      </w:pPr>
    </w:p>
    <w:p w:rsidR="00C26263" w:rsidRDefault="00C26263" w:rsidP="00812C33">
      <w:pPr>
        <w:spacing w:after="0" w:line="240" w:lineRule="auto"/>
        <w:rPr>
          <w:lang w:val="en-GB"/>
        </w:rPr>
      </w:pPr>
      <w:r>
        <w:rPr>
          <w:lang w:val="en-GB"/>
        </w:rPr>
        <w:t xml:space="preserve">There have been considerable advances in the understanding of CD processes: they depend on the broader drivers and constraints in the context; owner- and leadership of those whose capacity is to be developed is critical (“the capacity to develop capacity”); and external partners can only play a secondary role. It is also recognised that CD is as much a political as a technical process that takes time and requires high level of flexibility and adaptability to the context. </w:t>
      </w:r>
    </w:p>
    <w:p w:rsidR="00C26263" w:rsidRDefault="00C26263" w:rsidP="00E752D1">
      <w:pPr>
        <w:spacing w:after="0" w:line="240" w:lineRule="auto"/>
        <w:rPr>
          <w:lang w:val="en-GB"/>
        </w:rPr>
      </w:pPr>
    </w:p>
    <w:p w:rsidR="00C26263" w:rsidRDefault="00C26263" w:rsidP="00E752D1">
      <w:pPr>
        <w:spacing w:after="0" w:line="240" w:lineRule="auto"/>
        <w:rPr>
          <w:lang w:val="en-GB"/>
        </w:rPr>
      </w:pPr>
      <w:r>
        <w:rPr>
          <w:lang w:val="en-GB"/>
        </w:rPr>
        <w:t>At the same time, there are several inherent dilemmas in the aid relationships that make it difficult to pay attention to these critical factors. Both country partners and donors want to see tangible results materialize quickly; they have strong incentives to set ambitious targets; and to focus on short term and timely implementation of donor support. The configuration and dynamics of the aid relationship do not make it easy for the parties to engage in a continuous and frank dialogue about the complexities of the formal and informal realities that shape whether CD – and support to CD – will be successful.</w:t>
      </w:r>
    </w:p>
    <w:p w:rsidR="00C26263" w:rsidRDefault="00C26263" w:rsidP="00E752D1">
      <w:pPr>
        <w:spacing w:after="0" w:line="240" w:lineRule="auto"/>
        <w:rPr>
          <w:lang w:val="en-GB"/>
        </w:rPr>
      </w:pPr>
    </w:p>
    <w:p w:rsidR="00C26263" w:rsidRDefault="00C26263" w:rsidP="00E752D1">
      <w:pPr>
        <w:spacing w:after="0" w:line="240" w:lineRule="auto"/>
        <w:rPr>
          <w:lang w:val="en-GB"/>
        </w:rPr>
      </w:pPr>
      <w:r>
        <w:rPr>
          <w:lang w:val="en-GB"/>
        </w:rPr>
        <w:t>This guidance note recognizes the inherent dilemmas that surround CD and CD support from donors. In doing so, it builds on previous guidance</w:t>
      </w:r>
      <w:r>
        <w:rPr>
          <w:rStyle w:val="Fodnotehenvisning"/>
          <w:lang w:val="en-GB"/>
        </w:rPr>
        <w:footnoteReference w:id="1"/>
      </w:r>
      <w:r>
        <w:rPr>
          <w:lang w:val="en-GB"/>
        </w:rPr>
        <w:t xml:space="preserve"> but expands the perspective and adds new insights that have crystallized internationally in recent years:</w:t>
      </w:r>
    </w:p>
    <w:p w:rsidR="00C26263" w:rsidRDefault="00C26263" w:rsidP="00E752D1">
      <w:pPr>
        <w:spacing w:after="0" w:line="240" w:lineRule="auto"/>
        <w:rPr>
          <w:lang w:val="en-GB"/>
        </w:rPr>
      </w:pPr>
    </w:p>
    <w:p w:rsidR="00C26263" w:rsidRDefault="00C26263" w:rsidP="00E752D1">
      <w:pPr>
        <w:numPr>
          <w:ilvl w:val="0"/>
          <w:numId w:val="9"/>
        </w:numPr>
        <w:spacing w:after="0" w:line="240" w:lineRule="auto"/>
        <w:rPr>
          <w:lang w:val="en-GB"/>
        </w:rPr>
      </w:pPr>
      <w:r>
        <w:rPr>
          <w:lang w:val="en-GB"/>
        </w:rPr>
        <w:t xml:space="preserve">The note focuses on </w:t>
      </w:r>
      <w:r w:rsidRPr="005559F0">
        <w:rPr>
          <w:i/>
          <w:lang w:val="en-GB"/>
        </w:rPr>
        <w:t xml:space="preserve">CD in the sectors and </w:t>
      </w:r>
      <w:r>
        <w:rPr>
          <w:i/>
          <w:lang w:val="en-GB"/>
        </w:rPr>
        <w:t>organisations</w:t>
      </w:r>
      <w:r>
        <w:rPr>
          <w:lang w:val="en-GB"/>
        </w:rPr>
        <w:t xml:space="preserve"> that </w:t>
      </w:r>
      <w:smartTag w:uri="urn:schemas-microsoft-com:office:smarttags" w:element="place">
        <w:smartTag w:uri="urn:schemas-microsoft-com:office:smarttags" w:element="country-region">
          <w:r>
            <w:rPr>
              <w:lang w:val="en-GB"/>
            </w:rPr>
            <w:t>Denmark</w:t>
          </w:r>
        </w:smartTag>
      </w:smartTag>
      <w:r>
        <w:rPr>
          <w:lang w:val="en-GB"/>
        </w:rPr>
        <w:t xml:space="preserve"> supports, rather than on Danish CD support. A </w:t>
      </w:r>
      <w:r>
        <w:rPr>
          <w:i/>
          <w:lang w:val="en-GB"/>
        </w:rPr>
        <w:t>development effectiveness perspective</w:t>
      </w:r>
      <w:r>
        <w:rPr>
          <w:lang w:val="en-GB"/>
        </w:rPr>
        <w:t xml:space="preserve"> is driving the guidance instead of a narrower aid effectiveness perspective. The focus is on the public sector where CD is particularly complex, but the principles and concepts are also valid for non-state actors.</w:t>
      </w:r>
    </w:p>
    <w:p w:rsidR="00C26263" w:rsidRDefault="00C26263" w:rsidP="00E752D1">
      <w:pPr>
        <w:numPr>
          <w:ilvl w:val="0"/>
          <w:numId w:val="9"/>
        </w:numPr>
        <w:spacing w:after="0" w:line="240" w:lineRule="auto"/>
        <w:rPr>
          <w:lang w:val="en-GB"/>
        </w:rPr>
      </w:pPr>
      <w:r>
        <w:rPr>
          <w:lang w:val="en-GB"/>
        </w:rPr>
        <w:t xml:space="preserve">Ownership of CD processes is converted to operational concepts of </w:t>
      </w:r>
      <w:r>
        <w:rPr>
          <w:i/>
          <w:lang w:val="en-GB"/>
        </w:rPr>
        <w:t>change readiness</w:t>
      </w:r>
      <w:r>
        <w:rPr>
          <w:lang w:val="en-GB"/>
        </w:rPr>
        <w:t xml:space="preserve"> and </w:t>
      </w:r>
      <w:r>
        <w:rPr>
          <w:i/>
          <w:lang w:val="en-GB"/>
        </w:rPr>
        <w:t xml:space="preserve">change management capacity </w:t>
      </w:r>
      <w:r>
        <w:rPr>
          <w:lang w:val="en-GB"/>
        </w:rPr>
        <w:t xml:space="preserve">that are as important as the focus on capacity assessments and CD plans. </w:t>
      </w:r>
    </w:p>
    <w:p w:rsidR="00C26263" w:rsidRDefault="00C26263" w:rsidP="00E752D1">
      <w:pPr>
        <w:numPr>
          <w:ilvl w:val="0"/>
          <w:numId w:val="9"/>
        </w:numPr>
        <w:spacing w:after="0" w:line="240" w:lineRule="auto"/>
        <w:rPr>
          <w:lang w:val="en-GB"/>
        </w:rPr>
      </w:pPr>
      <w:r>
        <w:rPr>
          <w:lang w:val="en-GB"/>
        </w:rPr>
        <w:t>In relation to Danish CD support, the emphasis is on g</w:t>
      </w:r>
      <w:r>
        <w:rPr>
          <w:i/>
          <w:lang w:val="en-GB"/>
        </w:rPr>
        <w:t xml:space="preserve">etting processes and results right </w:t>
      </w:r>
      <w:r>
        <w:rPr>
          <w:lang w:val="en-GB"/>
        </w:rPr>
        <w:t>in the often “missing middle” between a narrow focus on what donors do and the long-term outcomes and impact that is often the staple of sector policies and plans. This middle includes immediate service delivery, performance and capacity.</w:t>
      </w:r>
    </w:p>
    <w:p w:rsidR="00C26263" w:rsidRDefault="00C26263" w:rsidP="00E752D1">
      <w:pPr>
        <w:spacing w:after="0" w:line="240" w:lineRule="auto"/>
        <w:rPr>
          <w:lang w:val="en-GB"/>
        </w:rPr>
      </w:pPr>
    </w:p>
    <w:p w:rsidR="00C26263" w:rsidRDefault="00C26263" w:rsidP="00E752D1">
      <w:pPr>
        <w:spacing w:after="0" w:line="240" w:lineRule="auto"/>
        <w:rPr>
          <w:lang w:val="en-GB"/>
        </w:rPr>
      </w:pPr>
      <w:r>
        <w:rPr>
          <w:lang w:val="en-GB"/>
        </w:rPr>
        <w:t xml:space="preserve">The note first lays out </w:t>
      </w:r>
      <w:r w:rsidRPr="00E752D1">
        <w:rPr>
          <w:i/>
          <w:lang w:val="en-GB"/>
        </w:rPr>
        <w:t>key concepts and insights</w:t>
      </w:r>
      <w:r>
        <w:rPr>
          <w:lang w:val="en-GB"/>
        </w:rPr>
        <w:t xml:space="preserve"> about capacity and capacity development, then details </w:t>
      </w:r>
      <w:r w:rsidRPr="00E752D1">
        <w:rPr>
          <w:i/>
          <w:lang w:val="en-GB"/>
        </w:rPr>
        <w:t>core principles</w:t>
      </w:r>
      <w:r>
        <w:rPr>
          <w:lang w:val="en-GB"/>
        </w:rPr>
        <w:t xml:space="preserve"> for addressing CD in Danish development cooperation. It then outlines </w:t>
      </w:r>
      <w:r w:rsidRPr="00E752D1">
        <w:rPr>
          <w:i/>
          <w:lang w:val="en-GB"/>
        </w:rPr>
        <w:t>how CD can be addressed in the business processes</w:t>
      </w:r>
      <w:r>
        <w:rPr>
          <w:lang w:val="en-GB"/>
        </w:rPr>
        <w:t xml:space="preserve"> that apply to Danish governmental aid. A short concluding section addresses risk management in relation to CD.</w:t>
      </w:r>
    </w:p>
    <w:p w:rsidR="00C26263" w:rsidRDefault="00C26263" w:rsidP="00E752D1">
      <w:pPr>
        <w:spacing w:after="0" w:line="240" w:lineRule="auto"/>
        <w:rPr>
          <w:lang w:val="en-GB"/>
        </w:rPr>
      </w:pPr>
    </w:p>
    <w:p w:rsidR="00C26263" w:rsidRDefault="00C26263" w:rsidP="00E752D1">
      <w:pPr>
        <w:spacing w:after="0" w:line="240" w:lineRule="auto"/>
        <w:rPr>
          <w:lang w:val="en-GB"/>
        </w:rPr>
      </w:pPr>
      <w:r>
        <w:rPr>
          <w:lang w:val="en-GB"/>
        </w:rPr>
        <w:t>The</w:t>
      </w:r>
      <w:r>
        <w:t xml:space="preserve"> note is not by itself sufficient to allow non-experts address CD issues in detail. This may often require attention from specialists in the field, and reference to more detailed tools and guidelines. The guidance note will, however, help staff to ascertain if and when they might need such specialized assistance.</w:t>
      </w:r>
      <w:r w:rsidRPr="00E752D1">
        <w:rPr>
          <w:lang w:val="en-GB"/>
        </w:rPr>
        <w:t xml:space="preserve"> </w:t>
      </w:r>
      <w:r>
        <w:rPr>
          <w:lang w:val="en-GB"/>
        </w:rPr>
        <w:t xml:space="preserve">References are offered at the end of the note.  </w:t>
      </w:r>
    </w:p>
    <w:p w:rsidR="00C26263" w:rsidRDefault="00C26263" w:rsidP="00E752D1">
      <w:pPr>
        <w:spacing w:after="0" w:line="240" w:lineRule="auto"/>
        <w:rPr>
          <w:lang w:val="en-GB"/>
        </w:rPr>
      </w:pPr>
    </w:p>
    <w:p w:rsidR="00C26263" w:rsidRDefault="00C26263" w:rsidP="00E752D1">
      <w:pPr>
        <w:spacing w:after="0" w:line="240" w:lineRule="auto"/>
        <w:rPr>
          <w:lang w:val="en-GB"/>
        </w:rPr>
      </w:pPr>
    </w:p>
    <w:p w:rsidR="00C26263" w:rsidRDefault="00C26263" w:rsidP="000F2E0F">
      <w:pPr>
        <w:pStyle w:val="Overskrift1"/>
        <w:numPr>
          <w:ilvl w:val="0"/>
          <w:numId w:val="11"/>
        </w:numPr>
        <w:spacing w:before="0" w:line="240" w:lineRule="auto"/>
        <w:rPr>
          <w:lang w:val="en-GB"/>
        </w:rPr>
      </w:pPr>
      <w:r>
        <w:rPr>
          <w:lang w:val="en-GB"/>
        </w:rPr>
        <w:lastRenderedPageBreak/>
        <w:t xml:space="preserve">Making sense of Capacity Development </w:t>
      </w:r>
    </w:p>
    <w:tbl>
      <w:tblPr>
        <w:tblpPr w:leftFromText="141" w:rightFromText="141" w:vertAnchor="text" w:horzAnchor="margin" w:tblpXSpec="right" w:tblpY="336"/>
        <w:tblOverlap w:val="never"/>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4567"/>
      </w:tblGrid>
      <w:tr w:rsidR="00C26263" w:rsidRPr="00D77582" w:rsidTr="00B8369B">
        <w:tc>
          <w:tcPr>
            <w:tcW w:w="4567" w:type="dxa"/>
            <w:shd w:val="clear" w:color="auto" w:fill="4F81BD"/>
            <w:vAlign w:val="center"/>
          </w:tcPr>
          <w:p w:rsidR="00C26263" w:rsidRPr="00D77582" w:rsidRDefault="00C26263" w:rsidP="00B8369B">
            <w:pPr>
              <w:spacing w:after="0"/>
              <w:jc w:val="center"/>
              <w:rPr>
                <w:b/>
                <w:bCs/>
                <w:color w:val="FFFFFF"/>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bCs/>
                        <w:color w:val="FFFFFF"/>
                      </w:rPr>
                      <w:t>Box</w:t>
                    </w:r>
                  </w:smartTag>
                </w:smartTag>
                <w:r>
                  <w:rPr>
                    <w:b/>
                    <w:bCs/>
                    <w:color w:val="FFFFFF"/>
                  </w:rPr>
                  <w:t xml:space="preserve"> 1</w:t>
                </w:r>
              </w:smartTag>
            </w:smartTag>
            <w:r>
              <w:rPr>
                <w:b/>
                <w:bCs/>
                <w:color w:val="FFFFFF"/>
              </w:rPr>
              <w:t xml:space="preserve">: </w:t>
            </w:r>
            <w:r w:rsidRPr="00D77582">
              <w:rPr>
                <w:b/>
                <w:bCs/>
                <w:color w:val="FFFFFF"/>
              </w:rPr>
              <w:t>The OECD/DAC definitions</w:t>
            </w:r>
            <w:r>
              <w:rPr>
                <w:rStyle w:val="Fodnotehenvisning"/>
                <w:b/>
                <w:bCs/>
                <w:color w:val="FFFFFF"/>
              </w:rPr>
              <w:footnoteReference w:id="2"/>
            </w:r>
          </w:p>
        </w:tc>
      </w:tr>
      <w:tr w:rsidR="00C26263" w:rsidRPr="00D77582" w:rsidTr="00B8369B">
        <w:tc>
          <w:tcPr>
            <w:tcW w:w="4567" w:type="dxa"/>
            <w:shd w:val="clear" w:color="auto" w:fill="DBE5F1"/>
          </w:tcPr>
          <w:p w:rsidR="00C26263" w:rsidRPr="00D77582" w:rsidRDefault="00C26263" w:rsidP="00B8369B">
            <w:pPr>
              <w:spacing w:after="0" w:line="240" w:lineRule="auto"/>
              <w:rPr>
                <w:b/>
                <w:bCs/>
                <w:i/>
                <w:lang w:val="en-GB"/>
              </w:rPr>
            </w:pPr>
          </w:p>
          <w:p w:rsidR="00C26263" w:rsidRPr="00AE48D4" w:rsidRDefault="00C26263" w:rsidP="00B8369B">
            <w:pPr>
              <w:spacing w:after="0" w:line="240" w:lineRule="auto"/>
              <w:rPr>
                <w:bCs/>
                <w:lang w:val="en-GB"/>
              </w:rPr>
            </w:pPr>
            <w:r w:rsidRPr="00D77582">
              <w:rPr>
                <w:b/>
                <w:bCs/>
                <w:i/>
                <w:lang w:val="en-GB"/>
              </w:rPr>
              <w:t>Capacity</w:t>
            </w:r>
            <w:r w:rsidRPr="00D77582">
              <w:rPr>
                <w:b/>
                <w:bCs/>
                <w:lang w:val="en-GB"/>
              </w:rPr>
              <w:t xml:space="preserve"> </w:t>
            </w:r>
            <w:r w:rsidRPr="00AE48D4">
              <w:rPr>
                <w:bCs/>
                <w:lang w:val="en-GB"/>
              </w:rPr>
              <w:t>is the ability of people, organisations and society as a whole to manage their affairs successfully.</w:t>
            </w:r>
          </w:p>
          <w:p w:rsidR="00C26263" w:rsidRPr="00D77582" w:rsidRDefault="00C26263" w:rsidP="00B8369B">
            <w:pPr>
              <w:autoSpaceDE w:val="0"/>
              <w:autoSpaceDN w:val="0"/>
              <w:adjustRightInd w:val="0"/>
              <w:spacing w:after="0" w:line="240" w:lineRule="auto"/>
              <w:rPr>
                <w:b/>
                <w:bCs/>
                <w:i/>
                <w:lang w:val="en-GB"/>
              </w:rPr>
            </w:pPr>
          </w:p>
          <w:p w:rsidR="00C26263" w:rsidRPr="00AE48D4" w:rsidRDefault="00C26263" w:rsidP="00B8369B">
            <w:pPr>
              <w:autoSpaceDE w:val="0"/>
              <w:autoSpaceDN w:val="0"/>
              <w:adjustRightInd w:val="0"/>
              <w:spacing w:after="0" w:line="240" w:lineRule="auto"/>
              <w:rPr>
                <w:bCs/>
                <w:lang w:val="en-GB"/>
              </w:rPr>
            </w:pPr>
            <w:r w:rsidRPr="00D77582">
              <w:rPr>
                <w:b/>
                <w:bCs/>
                <w:i/>
                <w:lang w:val="en-GB"/>
              </w:rPr>
              <w:t>Capacity development</w:t>
            </w:r>
            <w:r w:rsidRPr="00D77582">
              <w:rPr>
                <w:b/>
                <w:bCs/>
                <w:lang w:val="en-GB"/>
              </w:rPr>
              <w:t xml:space="preserve"> </w:t>
            </w:r>
            <w:r w:rsidRPr="00AE48D4">
              <w:rPr>
                <w:bCs/>
                <w:lang w:val="en-GB"/>
              </w:rPr>
              <w:t>is the process whereby people, organisations and society as a whole unleash, strengthen, create, adapt and maintain capacity over time.</w:t>
            </w:r>
          </w:p>
          <w:p w:rsidR="00C26263" w:rsidRPr="00D77582" w:rsidRDefault="00C26263" w:rsidP="00B8369B">
            <w:pPr>
              <w:autoSpaceDE w:val="0"/>
              <w:autoSpaceDN w:val="0"/>
              <w:adjustRightInd w:val="0"/>
              <w:spacing w:after="0" w:line="240" w:lineRule="auto"/>
              <w:rPr>
                <w:b/>
                <w:bCs/>
                <w:i/>
                <w:lang w:val="en-GB"/>
              </w:rPr>
            </w:pPr>
          </w:p>
          <w:p w:rsidR="00C26263" w:rsidRPr="00D77582" w:rsidRDefault="00C26263" w:rsidP="00B8369B">
            <w:pPr>
              <w:autoSpaceDE w:val="0"/>
              <w:autoSpaceDN w:val="0"/>
              <w:adjustRightInd w:val="0"/>
              <w:spacing w:after="0" w:line="240" w:lineRule="auto"/>
              <w:rPr>
                <w:bCs/>
                <w:lang w:val="en-GB"/>
              </w:rPr>
            </w:pPr>
            <w:r w:rsidRPr="00D77582">
              <w:rPr>
                <w:b/>
                <w:bCs/>
                <w:i/>
                <w:lang w:val="en-GB"/>
              </w:rPr>
              <w:t>Promotion of capacity development</w:t>
            </w:r>
            <w:r w:rsidRPr="00D77582">
              <w:rPr>
                <w:b/>
                <w:bCs/>
                <w:lang w:val="en-GB"/>
              </w:rPr>
              <w:t xml:space="preserve"> </w:t>
            </w:r>
            <w:r w:rsidRPr="00AE48D4">
              <w:rPr>
                <w:bCs/>
                <w:lang w:val="en-GB"/>
              </w:rPr>
              <w:t>refers to what outside partners – domestic or foreign – can do to support, facilitate or catalyse capacity development and related change processes</w:t>
            </w:r>
          </w:p>
        </w:tc>
      </w:tr>
    </w:tbl>
    <w:p w:rsidR="00C26263" w:rsidRDefault="00C26263" w:rsidP="00812C33">
      <w:pPr>
        <w:spacing w:after="0" w:line="240" w:lineRule="auto"/>
      </w:pPr>
    </w:p>
    <w:p w:rsidR="00C26263" w:rsidRDefault="00C26263" w:rsidP="00DC41AD">
      <w:pPr>
        <w:pStyle w:val="Overskrift3"/>
      </w:pPr>
      <w:r>
        <w:t>Ownership, context and politics</w:t>
      </w:r>
    </w:p>
    <w:p w:rsidR="00C26263" w:rsidRDefault="00C26263" w:rsidP="00812C33">
      <w:pPr>
        <w:spacing w:after="0" w:line="240" w:lineRule="auto"/>
      </w:pPr>
      <w:r>
        <w:t xml:space="preserve">Capacity development cannot be “done” for others, but only by the others themselves. Individuals and organizations – and wider systems - can be incentivized, assisted, facilitated, pushed, rewarded and sanctioned -  but eventually, CD are endogenous processes. This is the key message in the broadly agreed understanding of capacity and CD displayed in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Box</w:t>
              </w:r>
            </w:smartTag>
          </w:smartTag>
          <w:r>
            <w:t xml:space="preserve"> 1</w:t>
          </w:r>
        </w:smartTag>
      </w:smartTag>
      <w:r>
        <w:t>.</w:t>
      </w:r>
    </w:p>
    <w:p w:rsidR="00C26263" w:rsidRDefault="00C26263" w:rsidP="00812C33">
      <w:pPr>
        <w:spacing w:after="0" w:line="240" w:lineRule="auto"/>
      </w:pPr>
    </w:p>
    <w:p w:rsidR="00C26263" w:rsidRPr="00B8369B" w:rsidRDefault="00C26263" w:rsidP="00812C33">
      <w:pPr>
        <w:pStyle w:val="Listeafsnit"/>
        <w:numPr>
          <w:ilvl w:val="0"/>
          <w:numId w:val="13"/>
        </w:numPr>
        <w:spacing w:after="0" w:line="240" w:lineRule="auto"/>
        <w:rPr>
          <w:i/>
        </w:rPr>
      </w:pPr>
      <w:r w:rsidRPr="00B8369B">
        <w:rPr>
          <w:i/>
        </w:rPr>
        <w:t>Donors cannot “do” CD. They can promote and support endogenous efforts.</w:t>
      </w:r>
      <w:r>
        <w:rPr>
          <w:i/>
        </w:rPr>
        <w:t xml:space="preserve"> If there are no such efforts, donors can suggest and promote – nothing more.</w:t>
      </w:r>
    </w:p>
    <w:p w:rsidR="00C26263" w:rsidRDefault="00C26263" w:rsidP="00812C33">
      <w:pPr>
        <w:spacing w:after="0" w:line="240" w:lineRule="auto"/>
      </w:pPr>
    </w:p>
    <w:p w:rsidR="00C26263" w:rsidRDefault="00C26263" w:rsidP="00B8369B">
      <w:pPr>
        <w:spacing w:after="0" w:line="240" w:lineRule="auto"/>
      </w:pPr>
      <w:r>
        <w:t xml:space="preserve">The nature of CD implies that </w:t>
      </w:r>
      <w:r w:rsidRPr="00812C33">
        <w:rPr>
          <w:i/>
        </w:rPr>
        <w:t>ownership</w:t>
      </w:r>
      <w:r>
        <w:rPr>
          <w:i/>
        </w:rPr>
        <w:t xml:space="preserve"> </w:t>
      </w:r>
      <w:r>
        <w:t>is not only a desired feature, but an indispensable feature. Unfortunately, ownership is neither a clear concept nor an unambiguous state of affairs: In a sector, there will be multiple stakeholders with different interests, agendas and energies for investment – and these factors change as a trajectory of events unfold. Addressing ownership therefore entails breaking the concept down in much more operational terms, and recognize the dilemmas around ownership for both country partners and donors.</w:t>
      </w:r>
    </w:p>
    <w:p w:rsidR="00C26263" w:rsidRDefault="00C26263" w:rsidP="00812C33">
      <w:pPr>
        <w:spacing w:after="0" w:line="240" w:lineRule="auto"/>
      </w:pPr>
    </w:p>
    <w:p w:rsidR="00C26263" w:rsidRDefault="00C26263" w:rsidP="00812C33">
      <w:pPr>
        <w:spacing w:after="0" w:line="240" w:lineRule="auto"/>
      </w:pPr>
      <w:r>
        <w:t xml:space="preserve">Empirical evidence indicates that capacity development processes in public sectors are most often incremental, because even the most energetic push for radical and quick change is constrained and conditioned by the </w:t>
      </w:r>
      <w:r w:rsidRPr="002E5717">
        <w:rPr>
          <w:i/>
        </w:rPr>
        <w:t>context of institutional, social and political factors</w:t>
      </w:r>
      <w:r>
        <w:t>. This adds to the difficulty of assessing ownership which – even if strongly displayed by what appears to be a critical mass of powerful actors – may finally be insufficient to drive through a comprehensive change process. But it also opens opportunities to stimulate CD “from the outside”, through support to oversight bodies, citizen/client voice mechanisms, media etc.</w:t>
      </w:r>
    </w:p>
    <w:p w:rsidR="00C26263" w:rsidRDefault="00C26263" w:rsidP="00812C33">
      <w:pPr>
        <w:spacing w:after="0" w:line="240" w:lineRule="auto"/>
      </w:pPr>
    </w:p>
    <w:p w:rsidR="00C26263" w:rsidRDefault="00C26263" w:rsidP="007D7CE8">
      <w:pPr>
        <w:pStyle w:val="Listeafsnit"/>
        <w:numPr>
          <w:ilvl w:val="0"/>
          <w:numId w:val="15"/>
        </w:numPr>
        <w:spacing w:after="0" w:line="240" w:lineRule="auto"/>
      </w:pPr>
      <w:r>
        <w:rPr>
          <w:i/>
        </w:rPr>
        <w:t xml:space="preserve">“Demand-side” support to change in the external incentives and (sector) governance mechanisms (oversight, complaints mechanisms, domestic accountability, citizen and media involvement) should always be considered – it is never enough to consider internal or “supply-side” CD support only (e.g. staff and management training, development of systems and procedures, etc.). </w:t>
      </w:r>
    </w:p>
    <w:p w:rsidR="00C26263" w:rsidRDefault="00C26263" w:rsidP="00812C33">
      <w:pPr>
        <w:spacing w:after="0" w:line="240" w:lineRule="auto"/>
      </w:pPr>
    </w:p>
    <w:p w:rsidR="00C26263" w:rsidRDefault="00C26263" w:rsidP="00812C33">
      <w:pPr>
        <w:spacing w:after="0" w:line="240" w:lineRule="auto"/>
      </w:pPr>
      <w:r>
        <w:t xml:space="preserve">Successful capacity development processes address </w:t>
      </w:r>
      <w:r w:rsidRPr="007D7CE8">
        <w:rPr>
          <w:i/>
        </w:rPr>
        <w:t>“functional” aspects</w:t>
      </w:r>
      <w:r>
        <w:t xml:space="preserve"> of how organisations and systems operate and interact. They also address – or align to – the interests, incentives and power realities inside and around organisations and systems – the </w:t>
      </w:r>
      <w:r w:rsidRPr="007D7CE8">
        <w:rPr>
          <w:i/>
        </w:rPr>
        <w:t>“political aspects”</w:t>
      </w:r>
      <w:r>
        <w:t xml:space="preserve"> of capacity and capacity development which are normally informal but often far more important than the formal mechanisms</w:t>
      </w:r>
      <w:r>
        <w:rPr>
          <w:rStyle w:val="Fodnotehenvisning"/>
        </w:rPr>
        <w:footnoteReference w:id="3"/>
      </w:r>
      <w:r>
        <w:t>.</w:t>
      </w:r>
    </w:p>
    <w:p w:rsidR="00C26263" w:rsidRDefault="00C26263" w:rsidP="00812C33">
      <w:pPr>
        <w:spacing w:after="0" w:line="240" w:lineRule="auto"/>
      </w:pPr>
    </w:p>
    <w:p w:rsidR="00C26263" w:rsidRDefault="00C26263" w:rsidP="007D7CE8">
      <w:pPr>
        <w:pStyle w:val="Listeafsnit"/>
        <w:numPr>
          <w:ilvl w:val="0"/>
          <w:numId w:val="14"/>
        </w:numPr>
        <w:spacing w:after="0" w:line="240" w:lineRule="auto"/>
      </w:pPr>
      <w:r>
        <w:rPr>
          <w:i/>
        </w:rPr>
        <w:t xml:space="preserve">Donors need to understand the political playing field of CD to be able to provide good support. Their role is more as brokers than as players, but that role requires deep contextual knowledge and networks. </w:t>
      </w:r>
    </w:p>
    <w:p w:rsidR="00C26263" w:rsidRDefault="00C26263" w:rsidP="00812C33">
      <w:pPr>
        <w:spacing w:after="0" w:line="240" w:lineRule="auto"/>
      </w:pPr>
    </w:p>
    <w:p w:rsidR="00C26263" w:rsidRDefault="00C26263" w:rsidP="00DC41AD">
      <w:pPr>
        <w:pStyle w:val="Overskrift3"/>
      </w:pPr>
      <w:r>
        <w:lastRenderedPageBreak/>
        <w:t>Capacity is an integrated part of sustainable development</w:t>
      </w:r>
    </w:p>
    <w:p w:rsidR="00C26263" w:rsidRDefault="00C26263" w:rsidP="00C123C8">
      <w:pPr>
        <w:spacing w:after="0" w:line="240" w:lineRule="auto"/>
        <w:rPr>
          <w:lang w:val="en-GB"/>
        </w:rPr>
      </w:pPr>
      <w:r>
        <w:rPr>
          <w:lang w:val="en-GB"/>
        </w:rPr>
        <w:t xml:space="preserve">Capacity development is an integrated part of sustainable development of countries, sectors and territorial units. A policy or programme is incomplete if it identifies targets at outcome or impact level but does not address whether the capacity to achieve the outcomes is sufficient. If the existing capacity is limited, the main trust of a policy or programme may indeed be to enhance capacity so that outcome-oriented policy making becomes meaningful in the first place. </w:t>
      </w:r>
    </w:p>
    <w:p w:rsidR="00C26263" w:rsidRDefault="00C26263" w:rsidP="00C123C8">
      <w:pPr>
        <w:spacing w:after="0" w:line="240" w:lineRule="auto"/>
        <w:rPr>
          <w:lang w:val="en-GB"/>
        </w:rPr>
      </w:pPr>
    </w:p>
    <w:p w:rsidR="00C26263" w:rsidRDefault="00C26263" w:rsidP="00C123C8">
      <w:pPr>
        <w:spacing w:after="0" w:line="240" w:lineRule="auto"/>
        <w:rPr>
          <w:lang w:val="en-GB"/>
        </w:rPr>
      </w:pPr>
      <w:r>
        <w:rPr>
          <w:lang w:val="en-GB"/>
        </w:rPr>
        <w:t>The more outcome-targets are beyond what can be achieved with the current capacity (illustrated by the bottom width of the pyramid in figure 1), the bigger the capacity development challenge – and the bigger the risk that the actual effects of implementation will either be limited or unsustainable.</w:t>
      </w:r>
    </w:p>
    <w:p w:rsidR="00C26263" w:rsidRDefault="00C26263" w:rsidP="00C123C8">
      <w:pPr>
        <w:spacing w:after="0" w:line="240" w:lineRule="auto"/>
        <w:rPr>
          <w:lang w:val="en-GB"/>
        </w:rPr>
      </w:pPr>
    </w:p>
    <w:p w:rsidR="00C26263" w:rsidRDefault="00C26263" w:rsidP="00D77582">
      <w:pPr>
        <w:rPr>
          <w:b/>
          <w:lang w:val="en-GB"/>
        </w:rPr>
      </w:pPr>
      <w:r w:rsidRPr="001A4BFC">
        <w:rPr>
          <w:b/>
          <w:lang w:val="en-GB"/>
        </w:rPr>
        <w:t>Figure 1: The</w:t>
      </w:r>
      <w:r>
        <w:rPr>
          <w:b/>
          <w:lang w:val="en-GB"/>
        </w:rPr>
        <w:t xml:space="preserve"> likely</w:t>
      </w:r>
      <w:r w:rsidRPr="001A4BFC">
        <w:rPr>
          <w:b/>
          <w:lang w:val="en-GB"/>
        </w:rPr>
        <w:t xml:space="preserve"> </w:t>
      </w:r>
      <w:r>
        <w:rPr>
          <w:b/>
          <w:lang w:val="en-GB"/>
        </w:rPr>
        <w:t>effect of a widening gap</w:t>
      </w:r>
      <w:r w:rsidRPr="001A4BFC">
        <w:rPr>
          <w:b/>
          <w:lang w:val="en-GB"/>
        </w:rPr>
        <w:t xml:space="preserve"> between </w:t>
      </w:r>
      <w:r>
        <w:rPr>
          <w:b/>
          <w:lang w:val="en-GB"/>
        </w:rPr>
        <w:t xml:space="preserve">outcome </w:t>
      </w:r>
      <w:r w:rsidRPr="001A4BFC">
        <w:rPr>
          <w:b/>
          <w:lang w:val="en-GB"/>
        </w:rPr>
        <w:t>ambitions</w:t>
      </w:r>
      <w:r>
        <w:rPr>
          <w:b/>
          <w:lang w:val="en-GB"/>
        </w:rPr>
        <w:t xml:space="preserve"> and </w:t>
      </w:r>
      <w:r w:rsidRPr="001A4BFC">
        <w:rPr>
          <w:b/>
          <w:lang w:val="en-GB"/>
        </w:rPr>
        <w:t>current capacity</w:t>
      </w:r>
    </w:p>
    <w:p w:rsidR="00C26263" w:rsidRDefault="0061167F" w:rsidP="00F96225">
      <w:pPr>
        <w:ind w:left="1304"/>
        <w:rPr>
          <w:lang w:val="en-GB"/>
        </w:rPr>
      </w:pPr>
      <w:r>
        <w:rPr>
          <w:noProof/>
          <w:lang w:val="da-DK" w:eastAsia="da-DK"/>
        </w:rPr>
        <w:pict>
          <v:shapetype id="_x0000_t202" coordsize="21600,21600" o:spt="202" path="m,l,21600r21600,l21600,xe">
            <v:stroke joinstyle="miter"/>
            <v:path gradientshapeok="t" o:connecttype="rect"/>
          </v:shapetype>
          <v:shape id="_x0000_s1026" type="#_x0000_t202" style="position:absolute;left:0;text-align:left;margin-left:47.1pt;margin-top:124.15pt;width:85.8pt;height:49.2pt;z-index:251656704" fillcolor="#4f81bd" strokecolor="#f2f2f2" strokeweight="3pt">
            <v:shadow on="t" type="perspective" color="#243f60" opacity=".5" offset="1pt" offset2="-1pt"/>
            <v:textbox style="mso-next-textbox:#_x0000_s1026">
              <w:txbxContent>
                <w:p w:rsidR="00C26263" w:rsidRPr="00DE2EB8" w:rsidRDefault="00C26263">
                  <w:pPr>
                    <w:rPr>
                      <w:color w:val="FFFFFF"/>
                      <w:sz w:val="16"/>
                      <w:szCs w:val="16"/>
                    </w:rPr>
                  </w:pPr>
                  <w:r w:rsidRPr="00DE2EB8">
                    <w:rPr>
                      <w:color w:val="FFFFFF"/>
                      <w:sz w:val="16"/>
                      <w:szCs w:val="16"/>
                    </w:rPr>
                    <w:t>Larger gap between outcome ambitions and current capacity</w:t>
                  </w:r>
                </w:p>
              </w:txbxContent>
            </v:textbox>
          </v:shape>
        </w:pict>
      </w:r>
      <w:r>
        <w:rPr>
          <w:noProof/>
          <w:lang w:val="da-DK" w:eastAsia="da-DK"/>
        </w:rPr>
        <w:pict>
          <v:shapetype id="_x0000_t32" coordsize="21600,21600" o:spt="32" o:oned="t" path="m,l21600,21600e" filled="f">
            <v:path arrowok="t" fillok="f" o:connecttype="none"/>
            <o:lock v:ext="edit" shapetype="t"/>
          </v:shapetype>
          <v:shape id="_x0000_s1027" type="#_x0000_t32" style="position:absolute;left:0;text-align:left;margin-left:89.65pt;margin-top:61.15pt;width:.05pt;height:60pt;flip:y;z-index:251658752" o:connectortype="straight" strokecolor="#1f497d" strokeweight="3pt">
            <v:stroke startarrow="block" endarrow="block"/>
          </v:shape>
        </w:pict>
      </w:r>
      <w:r>
        <w:rPr>
          <w:noProof/>
          <w:lang w:val="da-DK" w:eastAsia="da-DK"/>
        </w:rPr>
        <w:pict>
          <v:shape id="_x0000_s1028" type="#_x0000_t202" style="position:absolute;left:0;text-align:left;margin-left:47.1pt;margin-top:7.15pt;width:85.8pt;height:49.2pt;z-index:251657728" fillcolor="#4f81bd" strokecolor="#f2f2f2" strokeweight="3pt">
            <v:shadow on="t" type="perspective" color="#243f60" opacity=".5" offset="1pt" offset2="-1pt"/>
            <v:textbox style="mso-next-textbox:#_x0000_s1028">
              <w:txbxContent>
                <w:p w:rsidR="00C26263" w:rsidRPr="00DE2EB8" w:rsidRDefault="00C26263" w:rsidP="001A4BFC">
                  <w:pPr>
                    <w:rPr>
                      <w:color w:val="FFFFFF"/>
                      <w:sz w:val="16"/>
                      <w:szCs w:val="16"/>
                    </w:rPr>
                  </w:pPr>
                  <w:r w:rsidRPr="00DE2EB8">
                    <w:rPr>
                      <w:color w:val="FFFFFF"/>
                      <w:sz w:val="16"/>
                      <w:szCs w:val="16"/>
                    </w:rPr>
                    <w:t xml:space="preserve">Small gap between outcome ambitions and current capacity </w:t>
                  </w:r>
                </w:p>
              </w:txbxContent>
            </v:textbox>
          </v:shape>
        </w:pict>
      </w:r>
      <w:r w:rsidR="00AB1DD3">
        <w:rPr>
          <w:noProof/>
          <w:lang w:val="da-DK" w:eastAsia="zh-CN"/>
        </w:rPr>
        <w:drawing>
          <wp:inline distT="0" distB="0" distL="0" distR="0">
            <wp:extent cx="5288280" cy="2258537"/>
            <wp:effectExtent l="0" t="0" r="0" b="8413"/>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C26263">
        <w:rPr>
          <w:lang w:val="en-GB"/>
        </w:rPr>
        <w:t xml:space="preserve">    </w:t>
      </w:r>
    </w:p>
    <w:p w:rsidR="00C26263" w:rsidRDefault="00C26263" w:rsidP="00C123C8">
      <w:pPr>
        <w:spacing w:after="0" w:line="240" w:lineRule="auto"/>
        <w:rPr>
          <w:lang w:val="en-GB"/>
        </w:rPr>
      </w:pPr>
      <w:r>
        <w:rPr>
          <w:lang w:val="en-GB"/>
        </w:rPr>
        <w:t xml:space="preserve">Capacity is thus not a(nother) cross-cutting issue that has to be addressed </w:t>
      </w:r>
      <w:r w:rsidRPr="001A4BFC">
        <w:rPr>
          <w:i/>
          <w:lang w:val="en-GB"/>
        </w:rPr>
        <w:t>after</w:t>
      </w:r>
      <w:r>
        <w:rPr>
          <w:lang w:val="en-GB"/>
        </w:rPr>
        <w:t xml:space="preserve"> policy or programme targets have been identified. It is a core aspect that determines whether policies and programmes are “pie in the sky”, whether they will end up producing only temporary and unsustainable results, or whether they reflect a healthy ambition level where it is feasible to balance growth in outcomes </w:t>
      </w:r>
      <w:r>
        <w:rPr>
          <w:i/>
          <w:lang w:val="en-GB"/>
        </w:rPr>
        <w:t xml:space="preserve">and </w:t>
      </w:r>
      <w:r>
        <w:rPr>
          <w:lang w:val="en-GB"/>
        </w:rPr>
        <w:t>capacity.</w:t>
      </w:r>
    </w:p>
    <w:p w:rsidR="00C26263" w:rsidRDefault="00C26263" w:rsidP="00C123C8">
      <w:pPr>
        <w:spacing w:after="0" w:line="240" w:lineRule="auto"/>
        <w:rPr>
          <w:lang w:val="en-GB"/>
        </w:rPr>
      </w:pPr>
    </w:p>
    <w:p w:rsidR="00C26263" w:rsidRPr="00F60994" w:rsidRDefault="00C26263" w:rsidP="00C123C8">
      <w:pPr>
        <w:pStyle w:val="Listeafsnit"/>
        <w:numPr>
          <w:ilvl w:val="0"/>
          <w:numId w:val="12"/>
        </w:numPr>
        <w:spacing w:after="0" w:line="240" w:lineRule="auto"/>
        <w:rPr>
          <w:lang w:val="en-GB"/>
        </w:rPr>
      </w:pPr>
      <w:r>
        <w:rPr>
          <w:i/>
          <w:lang w:val="en-GB"/>
        </w:rPr>
        <w:t xml:space="preserve">Bringing capacity and capacity development issues back at centre stage of domestic policy processes at all levels, in programme development and in policy dialogue is critical. First defining ambitious targets, then identifying the “capacity gap”, and then pretending it can be filled are a recipe for failure.  </w:t>
      </w:r>
    </w:p>
    <w:p w:rsidR="00C26263" w:rsidRDefault="00C26263" w:rsidP="00C123C8">
      <w:pPr>
        <w:pStyle w:val="Overskrift3"/>
        <w:spacing w:before="0" w:line="240" w:lineRule="auto"/>
        <w:rPr>
          <w:lang w:val="en-GB"/>
        </w:rPr>
      </w:pPr>
    </w:p>
    <w:p w:rsidR="00C26263" w:rsidRPr="00D77582" w:rsidRDefault="00C26263" w:rsidP="00A23979">
      <w:pPr>
        <w:pStyle w:val="Overskrift3"/>
        <w:rPr>
          <w:lang w:val="en-GB"/>
        </w:rPr>
      </w:pPr>
      <w:r>
        <w:rPr>
          <w:lang w:val="en-GB"/>
        </w:rPr>
        <w:t>Three key elements determine success of CD processes</w:t>
      </w:r>
    </w:p>
    <w:p w:rsidR="00C26263" w:rsidRDefault="00C26263" w:rsidP="00C123C8">
      <w:pPr>
        <w:spacing w:after="0" w:line="240" w:lineRule="auto"/>
      </w:pPr>
      <w:r>
        <w:t xml:space="preserve">Successful CD requires that there is an </w:t>
      </w:r>
      <w:r w:rsidRPr="005270C5">
        <w:rPr>
          <w:i/>
        </w:rPr>
        <w:t>enabling current situation</w:t>
      </w:r>
      <w:r>
        <w:rPr>
          <w:i/>
        </w:rPr>
        <w:t>; an appealing vision and a credible change process</w:t>
      </w:r>
      <w:r>
        <w:t>, as shown in figure 2 below</w:t>
      </w:r>
      <w:r>
        <w:rPr>
          <w:i/>
        </w:rPr>
        <w:t xml:space="preserve">. </w:t>
      </w:r>
      <w:r>
        <w:t xml:space="preserve"> </w:t>
      </w:r>
    </w:p>
    <w:p w:rsidR="00C26263" w:rsidRDefault="00C26263" w:rsidP="00C123C8">
      <w:pPr>
        <w:spacing w:after="0" w:line="240" w:lineRule="auto"/>
      </w:pPr>
    </w:p>
    <w:p w:rsidR="00C26263" w:rsidRDefault="00C26263" w:rsidP="00C123C8">
      <w:pPr>
        <w:spacing w:after="0" w:line="240" w:lineRule="auto"/>
        <w:rPr>
          <w:lang w:val="en-GB"/>
        </w:rPr>
      </w:pPr>
      <w:r>
        <w:rPr>
          <w:i/>
          <w:lang w:val="en-GB"/>
        </w:rPr>
        <w:t xml:space="preserve">Enabling situation: </w:t>
      </w:r>
      <w:r>
        <w:rPr>
          <w:lang w:val="en-GB"/>
        </w:rPr>
        <w:t xml:space="preserve">The drivers for change – both those in the context and those close to and inside organisations and systems - must be stronger than the constraints to change. CD does not happen just because it is needed from a technical point of view – it requires that sufficiently powerful external and internal stakeholders are dissatisfied with the current situation and willing to invest in changing it, often despite the negative odds provided by institutional and structural factors in the context. This explains why CD in the private sector can be very successful also in settings where public sector development is slow: when strong competition on prices and services are encouraged (e.g. in the cell phone market), providers will either develop or die. This is for a several reasons not the case in the public sector. </w:t>
      </w:r>
    </w:p>
    <w:p w:rsidR="00C26263" w:rsidRDefault="00C26263" w:rsidP="00A23979">
      <w:pPr>
        <w:spacing w:after="0" w:line="240" w:lineRule="auto"/>
        <w:rPr>
          <w:b/>
        </w:rPr>
      </w:pPr>
      <w:r>
        <w:rPr>
          <w:b/>
        </w:rPr>
        <w:lastRenderedPageBreak/>
        <w:t xml:space="preserve">Figure 2: Three key elements of successful CD </w:t>
      </w:r>
    </w:p>
    <w:p w:rsidR="00C26263" w:rsidRDefault="00C26263" w:rsidP="00A23979">
      <w:pPr>
        <w:spacing w:after="0" w:line="240" w:lineRule="auto"/>
        <w:rPr>
          <w:b/>
        </w:rPr>
      </w:pPr>
    </w:p>
    <w:p w:rsidR="00C26263" w:rsidRDefault="00AB1DD3" w:rsidP="002D0AFD">
      <w:pPr>
        <w:spacing w:after="0" w:line="240" w:lineRule="auto"/>
        <w:rPr>
          <w:lang w:val="en-GB"/>
        </w:rPr>
      </w:pPr>
      <w:r>
        <w:rPr>
          <w:noProof/>
          <w:lang w:val="da-DK" w:eastAsia="zh-CN"/>
        </w:rPr>
        <w:drawing>
          <wp:inline distT="0" distB="0" distL="0" distR="0">
            <wp:extent cx="5341620" cy="1690078"/>
            <wp:effectExtent l="0" t="0" r="0" b="5372"/>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26263" w:rsidRDefault="00C26263" w:rsidP="002D0AFD">
      <w:pPr>
        <w:spacing w:after="0" w:line="240" w:lineRule="auto"/>
        <w:rPr>
          <w:lang w:val="en-GB"/>
        </w:rPr>
      </w:pPr>
    </w:p>
    <w:p w:rsidR="00C26263" w:rsidRDefault="00C26263" w:rsidP="002D0AFD">
      <w:pPr>
        <w:spacing w:after="0" w:line="240" w:lineRule="auto"/>
        <w:rPr>
          <w:lang w:val="en-GB"/>
        </w:rPr>
      </w:pPr>
      <w:r>
        <w:rPr>
          <w:i/>
          <w:lang w:val="en-GB"/>
        </w:rPr>
        <w:t xml:space="preserve">An appealing vision: </w:t>
      </w:r>
      <w:r>
        <w:rPr>
          <w:lang w:val="en-GB"/>
        </w:rPr>
        <w:t xml:space="preserve">The vision must be appealing, answering the “CD for what?” question about where a CD process will bring a sector, an organisation or an individual. This requires a balance between boldness and realism, and a focus on tangible results that will materialise also in the shorter term. Staff, managers, politicians and donors will remain unimpressed by a vision that only promises to deliver 15-20 years down the road, or a vision that only focus on internal processes (e.g. staff trained, procedures revised). Section 4 below provides details about result-oriented CD.  </w:t>
      </w:r>
    </w:p>
    <w:p w:rsidR="00C26263" w:rsidRDefault="00C26263" w:rsidP="002D0AFD">
      <w:pPr>
        <w:spacing w:after="0" w:line="240" w:lineRule="auto"/>
        <w:rPr>
          <w:lang w:val="en-GB"/>
        </w:rPr>
      </w:pPr>
    </w:p>
    <w:p w:rsidR="00C26263" w:rsidRPr="00DF0029" w:rsidRDefault="00C26263" w:rsidP="002D0AFD">
      <w:pPr>
        <w:spacing w:after="0" w:line="240" w:lineRule="auto"/>
        <w:rPr>
          <w:lang w:val="en-GB"/>
        </w:rPr>
      </w:pPr>
      <w:r>
        <w:rPr>
          <w:i/>
          <w:lang w:val="en-GB"/>
        </w:rPr>
        <w:t xml:space="preserve">A credible change process: </w:t>
      </w:r>
      <w:r>
        <w:rPr>
          <w:lang w:val="en-GB"/>
        </w:rPr>
        <w:t xml:space="preserve">Those involved and affected must trust that those in charge of the change and CD process can and will lead and manage the process. A bold vision, policy or sector plan that follow several others that were not implemented will be met with indifference or cynicism unless those propagating it can credibly convince stakeholders that “this time it will be different”.   </w:t>
      </w:r>
    </w:p>
    <w:p w:rsidR="00C26263" w:rsidRDefault="00C26263" w:rsidP="002D0AFD">
      <w:pPr>
        <w:spacing w:after="0" w:line="240" w:lineRule="auto"/>
        <w:rPr>
          <w:lang w:val="en-GB"/>
        </w:rPr>
      </w:pPr>
    </w:p>
    <w:p w:rsidR="00C26263" w:rsidRDefault="00C26263" w:rsidP="002D0AFD">
      <w:pPr>
        <w:spacing w:after="0" w:line="240" w:lineRule="auto"/>
        <w:rPr>
          <w:lang w:val="en-GB"/>
        </w:rPr>
      </w:pPr>
      <w:r>
        <w:rPr>
          <w:lang w:val="en-GB"/>
        </w:rPr>
        <w:t xml:space="preserve">These three elements must be in balance: if “enablers” and change capacity is limited, then this will not sustain an ambitious vision – but maybe some smaller, incremental steps. Conversely, stakeholders hugely dissatisfied with a dysfunctional organisational set-up will not want to waste energy on small, largely cosmetic change ambitions. </w:t>
      </w:r>
    </w:p>
    <w:p w:rsidR="00C26263" w:rsidRDefault="00C26263" w:rsidP="002D0AFD">
      <w:pPr>
        <w:spacing w:after="0" w:line="240" w:lineRule="auto"/>
        <w:rPr>
          <w:lang w:val="en-GB"/>
        </w:rPr>
      </w:pPr>
    </w:p>
    <w:p w:rsidR="00C26263" w:rsidRPr="00E77756" w:rsidRDefault="00C26263" w:rsidP="00F05A9C">
      <w:pPr>
        <w:pStyle w:val="Listeafsnit"/>
        <w:numPr>
          <w:ilvl w:val="0"/>
          <w:numId w:val="12"/>
        </w:numPr>
        <w:spacing w:after="0" w:line="240" w:lineRule="auto"/>
        <w:rPr>
          <w:lang w:val="en-GB"/>
        </w:rPr>
      </w:pPr>
      <w:r w:rsidRPr="00E77756">
        <w:rPr>
          <w:i/>
          <w:lang w:val="en-GB"/>
        </w:rPr>
        <w:t xml:space="preserve"> “Enablers” and change capacity – or the “change readiness” of the partners – must inform the scope of the vision or policy. Though malleable, the change readiness is the independent variable in the short run, and understanding the change readiness is therefore the starting point for coming to a realistic vision. Starting with “what needs to be done” is unhelpful at best.   </w:t>
      </w:r>
    </w:p>
    <w:p w:rsidR="00C26263" w:rsidRDefault="00C26263" w:rsidP="00973C89">
      <w:pPr>
        <w:pStyle w:val="Overskrift1"/>
        <w:numPr>
          <w:ilvl w:val="0"/>
          <w:numId w:val="11"/>
        </w:numPr>
        <w:rPr>
          <w:lang w:val="en-GB"/>
        </w:rPr>
      </w:pPr>
      <w:r>
        <w:rPr>
          <w:lang w:val="en-GB"/>
        </w:rPr>
        <w:t>Principles for addressing capacity development</w:t>
      </w:r>
    </w:p>
    <w:p w:rsidR="00C26263" w:rsidRDefault="00C26263" w:rsidP="00BA0E9F">
      <w:pPr>
        <w:spacing w:after="0" w:line="240" w:lineRule="auto"/>
        <w:rPr>
          <w:lang w:val="en-GB"/>
        </w:rPr>
      </w:pPr>
      <w:r>
        <w:rPr>
          <w:lang w:val="en-GB"/>
        </w:rPr>
        <w:t>The basics about CD outlined lead to five principles for addressing CD in Danish development assistance. Details will follow in subsequent sections. Figure 3 summarises the five principles.</w:t>
      </w:r>
    </w:p>
    <w:p w:rsidR="00C26263" w:rsidRDefault="00C26263">
      <w:pPr>
        <w:spacing w:after="0" w:line="240" w:lineRule="auto"/>
        <w:rPr>
          <w:lang w:val="en-GB"/>
        </w:rPr>
      </w:pPr>
      <w:r>
        <w:rPr>
          <w:lang w:val="en-GB"/>
        </w:rPr>
        <w:br w:type="page"/>
      </w:r>
    </w:p>
    <w:p w:rsidR="00C26263" w:rsidRDefault="00C26263" w:rsidP="00BA0E9F">
      <w:pPr>
        <w:spacing w:after="0" w:line="240" w:lineRule="auto"/>
        <w:rPr>
          <w:lang w:val="en-GB"/>
        </w:rPr>
      </w:pPr>
    </w:p>
    <w:p w:rsidR="00C26263" w:rsidRDefault="00C26263" w:rsidP="00BA0E9F">
      <w:pPr>
        <w:spacing w:after="0" w:line="240" w:lineRule="auto"/>
        <w:rPr>
          <w:b/>
          <w:lang w:val="en-GB"/>
        </w:rPr>
      </w:pPr>
      <w:r>
        <w:rPr>
          <w:b/>
          <w:lang w:val="en-GB"/>
        </w:rPr>
        <w:t xml:space="preserve">Figure 3: Five principles for addressing CD in Danish development cooperation </w:t>
      </w:r>
    </w:p>
    <w:p w:rsidR="00C26263" w:rsidRPr="0028303D" w:rsidRDefault="00C26263" w:rsidP="00BA0E9F">
      <w:pPr>
        <w:spacing w:after="0" w:line="240" w:lineRule="auto"/>
        <w:rPr>
          <w:b/>
          <w:lang w:val="en-GB"/>
        </w:rPr>
      </w:pPr>
    </w:p>
    <w:p w:rsidR="00C26263" w:rsidRDefault="00AB1DD3" w:rsidP="00F96225">
      <w:pPr>
        <w:spacing w:after="0" w:line="240" w:lineRule="auto"/>
        <w:ind w:left="648"/>
        <w:rPr>
          <w:lang w:val="en-GB"/>
        </w:rPr>
      </w:pPr>
      <w:r>
        <w:rPr>
          <w:noProof/>
          <w:lang w:val="da-DK" w:eastAsia="zh-CN"/>
        </w:rPr>
        <w:drawing>
          <wp:inline distT="0" distB="0" distL="0" distR="0">
            <wp:extent cx="4768342" cy="2260077"/>
            <wp:effectExtent l="19050" t="0" r="13208" b="6873"/>
            <wp:docPr id="3" name="Picture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26263" w:rsidRDefault="00C26263" w:rsidP="00BA0E9F">
      <w:pPr>
        <w:spacing w:after="0" w:line="240" w:lineRule="auto"/>
        <w:rPr>
          <w:lang w:val="en-GB"/>
        </w:rPr>
      </w:pPr>
    </w:p>
    <w:p w:rsidR="00C26263" w:rsidRPr="00883003" w:rsidRDefault="00C26263" w:rsidP="00792B30">
      <w:pPr>
        <w:pStyle w:val="Listeafsnit"/>
        <w:numPr>
          <w:ilvl w:val="0"/>
          <w:numId w:val="18"/>
        </w:numPr>
        <w:spacing w:after="0" w:line="240" w:lineRule="auto"/>
        <w:rPr>
          <w:b/>
          <w:lang w:val="en-GB"/>
        </w:rPr>
      </w:pPr>
      <w:r w:rsidRPr="00883003">
        <w:rPr>
          <w:b/>
          <w:i/>
          <w:lang w:val="en-GB"/>
        </w:rPr>
        <w:t>CD has to be addressed from a strategic development perspective, and not from a narrow aid effectiveness perspective</w:t>
      </w:r>
      <w:r w:rsidRPr="00883003">
        <w:rPr>
          <w:b/>
          <w:lang w:val="en-GB"/>
        </w:rPr>
        <w:t xml:space="preserve">. </w:t>
      </w:r>
    </w:p>
    <w:p w:rsidR="00C26263" w:rsidRDefault="00C26263" w:rsidP="00973C89">
      <w:pPr>
        <w:spacing w:after="0" w:line="240" w:lineRule="auto"/>
        <w:rPr>
          <w:lang w:val="en-GB"/>
        </w:rPr>
      </w:pPr>
    </w:p>
    <w:p w:rsidR="00C26263" w:rsidRDefault="00C26263" w:rsidP="00973C89">
      <w:pPr>
        <w:spacing w:after="0" w:line="240" w:lineRule="auto"/>
        <w:rPr>
          <w:lang w:val="en-GB"/>
        </w:rPr>
      </w:pPr>
      <w:r w:rsidRPr="00973C89">
        <w:rPr>
          <w:lang w:val="en-GB"/>
        </w:rPr>
        <w:t xml:space="preserve">CD </w:t>
      </w:r>
      <w:r>
        <w:rPr>
          <w:lang w:val="en-GB"/>
        </w:rPr>
        <w:t>is</w:t>
      </w:r>
      <w:r w:rsidRPr="00973C89">
        <w:rPr>
          <w:lang w:val="en-GB"/>
        </w:rPr>
        <w:t xml:space="preserve"> part of parcel of sector, thematic or area policies</w:t>
      </w:r>
      <w:r>
        <w:rPr>
          <w:lang w:val="en-GB"/>
        </w:rPr>
        <w:t>.</w:t>
      </w:r>
      <w:r w:rsidRPr="00973C89">
        <w:rPr>
          <w:lang w:val="en-GB"/>
        </w:rPr>
        <w:t xml:space="preserve"> Development of the education or agricultural sector i</w:t>
      </w:r>
      <w:r>
        <w:rPr>
          <w:lang w:val="en-GB"/>
        </w:rPr>
        <w:t>ncludes</w:t>
      </w:r>
      <w:r w:rsidRPr="00973C89">
        <w:rPr>
          <w:lang w:val="en-GB"/>
        </w:rPr>
        <w:t xml:space="preserve"> development of the capacity of the sector to deliver</w:t>
      </w:r>
      <w:r>
        <w:rPr>
          <w:lang w:val="en-GB"/>
        </w:rPr>
        <w:t xml:space="preserve"> certain outputs that lead to outcomes/impact, a</w:t>
      </w:r>
      <w:r w:rsidRPr="00973C89">
        <w:rPr>
          <w:lang w:val="en-GB"/>
        </w:rPr>
        <w:t xml:space="preserve">nd therefore </w:t>
      </w:r>
      <w:r>
        <w:rPr>
          <w:lang w:val="en-GB"/>
        </w:rPr>
        <w:t xml:space="preserve">CD is </w:t>
      </w:r>
      <w:r w:rsidRPr="00973C89">
        <w:rPr>
          <w:lang w:val="en-GB"/>
        </w:rPr>
        <w:t>a</w:t>
      </w:r>
      <w:r>
        <w:rPr>
          <w:lang w:val="en-GB"/>
        </w:rPr>
        <w:t>n integrated</w:t>
      </w:r>
      <w:r w:rsidRPr="00973C89">
        <w:rPr>
          <w:lang w:val="en-GB"/>
        </w:rPr>
        <w:t xml:space="preserve"> key element of any policy or plan.</w:t>
      </w:r>
      <w:r>
        <w:rPr>
          <w:lang w:val="en-GB"/>
        </w:rPr>
        <w:t xml:space="preserve"> </w:t>
      </w:r>
    </w:p>
    <w:p w:rsidR="00C26263" w:rsidRDefault="00C26263" w:rsidP="00973C89">
      <w:pPr>
        <w:spacing w:after="0" w:line="240" w:lineRule="auto"/>
        <w:rPr>
          <w:lang w:val="en-GB"/>
        </w:rPr>
      </w:pPr>
    </w:p>
    <w:p w:rsidR="00C26263" w:rsidRPr="00973C89" w:rsidRDefault="00C26263" w:rsidP="00973C89">
      <w:pPr>
        <w:spacing w:after="0" w:line="240" w:lineRule="auto"/>
        <w:rPr>
          <w:lang w:val="en-GB"/>
        </w:rPr>
      </w:pPr>
      <w:r>
        <w:rPr>
          <w:lang w:val="en-GB"/>
        </w:rPr>
        <w:t>Having a strategic approach that discusses CD based on the wider perspective on sector development is also required to avoid becoming “locked” in a particular institution – notably the sector ministry – and thereby ending up effectively supporting CD that serve the narrower institutional interests of the ministry rather than the wider demands from the broader set of sector stakeholders.</w:t>
      </w:r>
    </w:p>
    <w:p w:rsidR="00C26263" w:rsidRDefault="00C26263" w:rsidP="00BA0E9F">
      <w:pPr>
        <w:spacing w:after="0" w:line="240" w:lineRule="auto"/>
        <w:rPr>
          <w:lang w:val="en-GB"/>
        </w:rPr>
      </w:pPr>
    </w:p>
    <w:p w:rsidR="00C26263" w:rsidRDefault="00C26263" w:rsidP="00ED5E7D">
      <w:pPr>
        <w:spacing w:after="0" w:line="240" w:lineRule="auto"/>
      </w:pPr>
      <w:r>
        <w:rPr>
          <w:lang w:val="en-GB"/>
        </w:rPr>
        <w:t xml:space="preserve"> </w:t>
      </w:r>
      <w:r>
        <w:t xml:space="preserve">If CD and CD support is addressed as a way to “fix” a problem related to an aid package or to the use of a specific aid modality, rather than supporting the broader endogenous CD processes – then experience indicates that there is a high risk that fragmentation will be the consequence, splitting up CD efforts supported by different donors in bits that lacks coherence and consistency. Such fragmentation may affect the entire partnership, potentially undermining the coherence that e.g. budget support modalities should in principle promote. </w:t>
      </w:r>
    </w:p>
    <w:p w:rsidR="00C26263" w:rsidRDefault="00C26263" w:rsidP="00ED5E7D">
      <w:pPr>
        <w:spacing w:after="0" w:line="240" w:lineRule="auto"/>
        <w:rPr>
          <w:lang w:val="en-GB"/>
        </w:rPr>
      </w:pPr>
    </w:p>
    <w:p w:rsidR="00C26263" w:rsidRPr="00792B30" w:rsidRDefault="00C26263" w:rsidP="00792B30">
      <w:pPr>
        <w:pStyle w:val="Listeafsnit"/>
        <w:numPr>
          <w:ilvl w:val="0"/>
          <w:numId w:val="18"/>
        </w:numPr>
        <w:spacing w:after="0" w:line="240" w:lineRule="auto"/>
        <w:rPr>
          <w:i/>
          <w:lang w:val="en-GB"/>
        </w:rPr>
      </w:pPr>
      <w:r w:rsidRPr="00883003">
        <w:rPr>
          <w:b/>
          <w:i/>
          <w:lang w:val="en-GB"/>
        </w:rPr>
        <w:t>When addressing CD the point of departure is where the partners are and what they can and will do to promote CD as integral part of their policies</w:t>
      </w:r>
      <w:r>
        <w:rPr>
          <w:b/>
          <w:i/>
          <w:lang w:val="en-GB"/>
        </w:rPr>
        <w:t xml:space="preserve"> and</w:t>
      </w:r>
      <w:r w:rsidRPr="00883003">
        <w:rPr>
          <w:b/>
          <w:i/>
          <w:lang w:val="en-GB"/>
        </w:rPr>
        <w:t xml:space="preserve"> programmes</w:t>
      </w:r>
      <w:r w:rsidRPr="00792B30">
        <w:rPr>
          <w:i/>
          <w:lang w:val="en-GB"/>
        </w:rPr>
        <w:t xml:space="preserve">. </w:t>
      </w:r>
    </w:p>
    <w:p w:rsidR="00C26263" w:rsidRPr="00973C89" w:rsidRDefault="00C26263" w:rsidP="00973C89">
      <w:pPr>
        <w:pStyle w:val="Listeafsnit"/>
        <w:spacing w:after="0" w:line="240" w:lineRule="auto"/>
        <w:ind w:left="1008"/>
        <w:rPr>
          <w:i/>
          <w:lang w:val="en-GB"/>
        </w:rPr>
      </w:pPr>
    </w:p>
    <w:p w:rsidR="00C26263" w:rsidRDefault="00C26263" w:rsidP="00973C89">
      <w:pPr>
        <w:spacing w:after="0" w:line="240" w:lineRule="auto"/>
      </w:pPr>
      <w:r>
        <w:rPr>
          <w:lang w:val="en-GB"/>
        </w:rPr>
        <w:t xml:space="preserve">CD dialogue starts from an understanding and recognition of why current capacity is what it is; and how institutions, incentives and interests shape current dynamics. </w:t>
      </w:r>
      <w:r>
        <w:t xml:space="preserve">This is neither a given, nor a harmonious, nor a static picture, and has as consequence that CD dialogue must be permanent, and support flexible. </w:t>
      </w:r>
    </w:p>
    <w:p w:rsidR="00C26263" w:rsidRDefault="00C26263" w:rsidP="00973C89">
      <w:pPr>
        <w:spacing w:after="0" w:line="240" w:lineRule="auto"/>
      </w:pPr>
    </w:p>
    <w:p w:rsidR="00C26263" w:rsidRDefault="00C26263" w:rsidP="00973C89">
      <w:pPr>
        <w:spacing w:after="0" w:line="240" w:lineRule="auto"/>
        <w:rPr>
          <w:lang w:val="en-GB"/>
        </w:rPr>
      </w:pPr>
      <w:r>
        <w:rPr>
          <w:lang w:val="en-GB"/>
        </w:rPr>
        <w:t>Starting from what is there also implies building on strengths, adopting an appreciative approach to CD support rather than an overly critical and often superficial view on gaps, shortcoming and “lack of...” observations that effectively are solutions looking for problems rather than the other way around.</w:t>
      </w:r>
    </w:p>
    <w:p w:rsidR="00C26263" w:rsidRDefault="00C26263" w:rsidP="00973C89">
      <w:pPr>
        <w:spacing w:after="0" w:line="240" w:lineRule="auto"/>
        <w:rPr>
          <w:lang w:val="en-GB"/>
        </w:rPr>
      </w:pPr>
    </w:p>
    <w:p w:rsidR="00C26263" w:rsidRDefault="00C26263" w:rsidP="00ED5E7D">
      <w:pPr>
        <w:spacing w:after="0" w:line="240" w:lineRule="auto"/>
        <w:rPr>
          <w:lang w:val="en-GB"/>
        </w:rPr>
      </w:pPr>
      <w:r>
        <w:rPr>
          <w:lang w:val="en-GB"/>
        </w:rPr>
        <w:t>The principle also implies that</w:t>
      </w:r>
      <w:r w:rsidRPr="00973C89">
        <w:rPr>
          <w:lang w:val="en-GB"/>
        </w:rPr>
        <w:t xml:space="preserve"> Danish and other donor support to CD will only be effective as a supplement to the </w:t>
      </w:r>
      <w:r>
        <w:rPr>
          <w:lang w:val="en-GB"/>
        </w:rPr>
        <w:t xml:space="preserve">partners’ </w:t>
      </w:r>
      <w:r w:rsidRPr="00973C89">
        <w:rPr>
          <w:lang w:val="en-GB"/>
        </w:rPr>
        <w:t xml:space="preserve">investment – of political capital, managerial attention and staff dedication etc. </w:t>
      </w:r>
      <w:r>
        <w:rPr>
          <w:lang w:val="en-GB"/>
        </w:rPr>
        <w:t xml:space="preserve">This has </w:t>
      </w:r>
      <w:r>
        <w:rPr>
          <w:lang w:val="en-GB"/>
        </w:rPr>
        <w:lastRenderedPageBreak/>
        <w:t xml:space="preserve">operational implications for how the dialogue about CD and CD support must detail the combined resources of the “CD partnership” between donors and country stakeholders. </w:t>
      </w:r>
    </w:p>
    <w:p w:rsidR="00C26263" w:rsidRPr="009E5783" w:rsidRDefault="00C26263" w:rsidP="009E5783">
      <w:pPr>
        <w:spacing w:after="0" w:line="240" w:lineRule="auto"/>
        <w:rPr>
          <w:b/>
          <w:i/>
          <w:lang w:val="en-GB"/>
        </w:rPr>
      </w:pPr>
    </w:p>
    <w:p w:rsidR="00C26263" w:rsidRPr="00883003" w:rsidRDefault="00C26263" w:rsidP="00792B30">
      <w:pPr>
        <w:pStyle w:val="Listeafsnit"/>
        <w:numPr>
          <w:ilvl w:val="0"/>
          <w:numId w:val="18"/>
        </w:numPr>
        <w:spacing w:after="0" w:line="240" w:lineRule="auto"/>
        <w:rPr>
          <w:b/>
          <w:i/>
          <w:lang w:val="en-GB"/>
        </w:rPr>
      </w:pPr>
      <w:r w:rsidRPr="00883003">
        <w:rPr>
          <w:b/>
          <w:i/>
          <w:lang w:val="en-GB"/>
        </w:rPr>
        <w:t>Dialogue about CD is driven by a focus on tangible results in terms of effectiveness and efficiency of service delivery and/or regulatory performance.</w:t>
      </w:r>
    </w:p>
    <w:p w:rsidR="00C26263" w:rsidRDefault="00C26263" w:rsidP="002652B6">
      <w:pPr>
        <w:spacing w:after="0" w:line="240" w:lineRule="auto"/>
        <w:rPr>
          <w:lang w:val="en-GB"/>
        </w:rPr>
      </w:pPr>
      <w:r w:rsidRPr="002652B6">
        <w:rPr>
          <w:i/>
          <w:lang w:val="en-GB"/>
        </w:rPr>
        <w:t xml:space="preserve"> </w:t>
      </w:r>
    </w:p>
    <w:p w:rsidR="00C26263" w:rsidRDefault="00C26263" w:rsidP="002652B6">
      <w:pPr>
        <w:spacing w:after="0" w:line="240" w:lineRule="auto"/>
        <w:rPr>
          <w:lang w:val="en-GB"/>
        </w:rPr>
      </w:pPr>
      <w:r>
        <w:rPr>
          <w:lang w:val="en-GB"/>
        </w:rPr>
        <w:t xml:space="preserve">CD must focus on – and eventually specify to a relevant degree- the better services and improved performance that is aimed for, the capacity this will require – and the processes that will enhance the capacity to deliver this improved performance. This is also why dialogue about CD must focus strongly on leadership and management – because leaders and managers ultimately are in charge of and responsible for performance, and for CD of their organisations. </w:t>
      </w:r>
    </w:p>
    <w:p w:rsidR="00C26263" w:rsidRDefault="00C26263" w:rsidP="002652B6">
      <w:pPr>
        <w:spacing w:after="0" w:line="240" w:lineRule="auto"/>
        <w:rPr>
          <w:lang w:val="en-GB"/>
        </w:rPr>
      </w:pPr>
    </w:p>
    <w:p w:rsidR="00C26263" w:rsidRDefault="00C26263" w:rsidP="002652B6">
      <w:pPr>
        <w:spacing w:after="0" w:line="240" w:lineRule="auto"/>
        <w:rPr>
          <w:lang w:val="en-GB"/>
        </w:rPr>
      </w:pPr>
      <w:r>
        <w:rPr>
          <w:lang w:val="en-GB"/>
        </w:rPr>
        <w:t xml:space="preserve">This is a clear break from the frequent perception that CD is about “talking” (as opposed to “walking”), or about “processes” rather than “results”. This misperception typically reflects that CD has effectively become disjoined from strategizing and from the mainstream, daily management functions in and across sectors; often relegated to a special unit (e.g. a Human Resource Management or Training Section) – or to technical assistance and cooperation from donors which is supposed to “do” CD while the organisation attends to its “ordinary” business.  </w:t>
      </w:r>
    </w:p>
    <w:p w:rsidR="00C26263" w:rsidRDefault="00C26263" w:rsidP="002652B6">
      <w:pPr>
        <w:spacing w:after="0" w:line="240" w:lineRule="auto"/>
        <w:rPr>
          <w:lang w:val="en-GB"/>
        </w:rPr>
      </w:pPr>
    </w:p>
    <w:p w:rsidR="00C26263" w:rsidRPr="00BF532C" w:rsidRDefault="00C26263" w:rsidP="00BF532C">
      <w:pPr>
        <w:pStyle w:val="Listeafsnit"/>
        <w:numPr>
          <w:ilvl w:val="0"/>
          <w:numId w:val="18"/>
        </w:numPr>
        <w:spacing w:after="0" w:line="240" w:lineRule="auto"/>
        <w:rPr>
          <w:lang w:val="en-GB"/>
        </w:rPr>
      </w:pPr>
      <w:r>
        <w:rPr>
          <w:b/>
          <w:i/>
          <w:lang w:val="en-GB"/>
        </w:rPr>
        <w:t>Joint donor approaches to CD dialogue and support is the default.</w:t>
      </w:r>
    </w:p>
    <w:p w:rsidR="00C26263" w:rsidRDefault="00C26263" w:rsidP="002652B6">
      <w:pPr>
        <w:spacing w:after="0" w:line="240" w:lineRule="auto"/>
        <w:rPr>
          <w:lang w:val="en-GB"/>
        </w:rPr>
      </w:pPr>
    </w:p>
    <w:p w:rsidR="00C26263" w:rsidRPr="0028303D" w:rsidRDefault="00C26263" w:rsidP="002652B6">
      <w:pPr>
        <w:spacing w:after="0" w:line="240" w:lineRule="auto"/>
      </w:pPr>
      <w:r>
        <w:rPr>
          <w:lang w:val="en-GB"/>
        </w:rPr>
        <w:t>There is solid evidence demonstrating that the more a country is dependent on aid – and the more fragile the situation it is in – the more will fragmented donor behaviour risk introducing perverse incentives in the public sector as well as additional patronage opportunities, thereby effectively eroding existing capacity. While recognizing that it is difficult for donors – including Danida</w:t>
      </w:r>
      <w:r>
        <w:rPr>
          <w:rStyle w:val="Fodnotehenvisning"/>
          <w:lang w:val="en-GB"/>
        </w:rPr>
        <w:footnoteReference w:id="4"/>
      </w:r>
      <w:r>
        <w:rPr>
          <w:lang w:val="en-GB"/>
        </w:rPr>
        <w:t xml:space="preserve"> - to harmonize effectively when it comes to the “soft” components of aid , it requires special justification if Danish dialogue about and assistance for CD – including advisers, twinning arrangements, fellowships – is conducted and delivered parallel to what others deliver in the same sector or subsector. </w:t>
      </w:r>
    </w:p>
    <w:p w:rsidR="00C26263" w:rsidRPr="002652B6" w:rsidRDefault="00C26263" w:rsidP="002652B6">
      <w:pPr>
        <w:spacing w:after="0" w:line="240" w:lineRule="auto"/>
        <w:rPr>
          <w:i/>
          <w:lang w:val="en-GB"/>
        </w:rPr>
      </w:pPr>
    </w:p>
    <w:p w:rsidR="00C26263" w:rsidRDefault="00C26263" w:rsidP="00792B30">
      <w:pPr>
        <w:pStyle w:val="Listeafsnit"/>
        <w:numPr>
          <w:ilvl w:val="0"/>
          <w:numId w:val="18"/>
        </w:numPr>
        <w:spacing w:after="0" w:line="240" w:lineRule="auto"/>
        <w:rPr>
          <w:i/>
          <w:lang w:val="en-GB"/>
        </w:rPr>
      </w:pPr>
      <w:r>
        <w:rPr>
          <w:b/>
          <w:i/>
          <w:lang w:val="en-GB"/>
        </w:rPr>
        <w:t>Recognise dilemmas openly when balancing policy and CD ambitions</w:t>
      </w:r>
    </w:p>
    <w:p w:rsidR="00C26263" w:rsidRDefault="00C26263" w:rsidP="004C66CF">
      <w:pPr>
        <w:spacing w:after="0" w:line="240" w:lineRule="auto"/>
        <w:rPr>
          <w:lang w:val="en-GB"/>
        </w:rPr>
      </w:pPr>
    </w:p>
    <w:p w:rsidR="00C26263" w:rsidRDefault="00C26263" w:rsidP="004C66CF">
      <w:pPr>
        <w:spacing w:after="0" w:line="240" w:lineRule="auto"/>
        <w:rPr>
          <w:lang w:val="en-GB"/>
        </w:rPr>
      </w:pPr>
      <w:r>
        <w:rPr>
          <w:lang w:val="en-GB"/>
        </w:rPr>
        <w:t>Development assistance aims at enabling the partners to achieve results that they would otherwise not be able to achieve, or to enable them to attend concerns that the donors find important but that the partners would not otherwise prioritize. In many aid dependent countries, the resource transfer from aid constitute a significant part of the public budget, in particular the investment budget. Despite formal agreement on policy as expressed in documents, plans and performance frameworks, donors and country partners may in several cases effectively pursue less than fully overlapping priorities – and policy documents may for this same reason (and not because of poor technical formulation) be less than clear.</w:t>
      </w:r>
    </w:p>
    <w:p w:rsidR="00C26263" w:rsidRDefault="00C26263" w:rsidP="004C66CF">
      <w:pPr>
        <w:spacing w:after="0" w:line="240" w:lineRule="auto"/>
        <w:rPr>
          <w:lang w:val="en-GB"/>
        </w:rPr>
      </w:pPr>
    </w:p>
    <w:p w:rsidR="00C26263" w:rsidRDefault="00C26263" w:rsidP="004C66CF">
      <w:pPr>
        <w:spacing w:after="0" w:line="240" w:lineRule="auto"/>
        <w:rPr>
          <w:lang w:val="en-GB"/>
        </w:rPr>
      </w:pPr>
      <w:r>
        <w:rPr>
          <w:lang w:val="en-GB"/>
        </w:rPr>
        <w:t xml:space="preserve">In addition, many aid dependent and developing countries have difficulties spending donor funds “well” – in the same way as they have difficulties spending their own resources well. </w:t>
      </w:r>
    </w:p>
    <w:p w:rsidR="00C26263" w:rsidRDefault="00C26263" w:rsidP="004C66CF">
      <w:pPr>
        <w:spacing w:after="0" w:line="240" w:lineRule="auto"/>
        <w:rPr>
          <w:lang w:val="en-GB"/>
        </w:rPr>
      </w:pPr>
      <w:r>
        <w:rPr>
          <w:lang w:val="en-GB"/>
        </w:rPr>
        <w:t xml:space="preserve"> </w:t>
      </w:r>
    </w:p>
    <w:p w:rsidR="00C26263" w:rsidRDefault="00C26263" w:rsidP="004C66CF">
      <w:pPr>
        <w:spacing w:after="0" w:line="240" w:lineRule="auto"/>
        <w:rPr>
          <w:lang w:val="en-GB"/>
        </w:rPr>
      </w:pPr>
      <w:r>
        <w:rPr>
          <w:lang w:val="en-GB"/>
        </w:rPr>
        <w:t xml:space="preserve">These factors introduce a dilemma for donors and partners: Policy agendas and disbursement targets are often highly ambitious compared to the present capacity and effective change capacity of the partners. Both donors and partners may share the interest of speeding up implementation through temporary, unsustainable implementation structures, and/or use technical assistance to push for implementation and </w:t>
      </w:r>
      <w:r>
        <w:rPr>
          <w:lang w:val="en-GB"/>
        </w:rPr>
        <w:lastRenderedPageBreak/>
        <w:t xml:space="preserve">value for money. This often implies a strong focus on safeguarding those parts of the system (planning, procurement, public financial management) that represents the highest political risks for donors. Donors may also tend to react to the ambiguities of policies and priorities by pushing for those items highest on their own political agenda.   </w:t>
      </w:r>
    </w:p>
    <w:p w:rsidR="00C26263" w:rsidRDefault="00C26263" w:rsidP="004C66CF">
      <w:pPr>
        <w:spacing w:after="0" w:line="240" w:lineRule="auto"/>
        <w:rPr>
          <w:lang w:val="en-GB"/>
        </w:rPr>
      </w:pPr>
    </w:p>
    <w:p w:rsidR="00C26263" w:rsidRDefault="00C26263" w:rsidP="00732477">
      <w:pPr>
        <w:spacing w:after="0" w:line="240" w:lineRule="auto"/>
        <w:rPr>
          <w:lang w:val="en-GB"/>
        </w:rPr>
      </w:pPr>
      <w:r>
        <w:rPr>
          <w:lang w:val="en-GB"/>
        </w:rPr>
        <w:t xml:space="preserve">CD plans in such a context will often be driven by these aid-related concerns and tend to become excessively ambitious, aiming at whole-sale system overhauls (planning and information systems, HR management,  monitoring systems etc.) over 3-5 years.  </w:t>
      </w:r>
    </w:p>
    <w:p w:rsidR="00C26263" w:rsidRDefault="00C26263" w:rsidP="00732477">
      <w:pPr>
        <w:spacing w:after="0" w:line="240" w:lineRule="auto"/>
        <w:rPr>
          <w:lang w:val="en-GB"/>
        </w:rPr>
      </w:pPr>
    </w:p>
    <w:p w:rsidR="00C26263" w:rsidRDefault="00C26263" w:rsidP="00732477">
      <w:pPr>
        <w:spacing w:after="0" w:line="240" w:lineRule="auto"/>
        <w:rPr>
          <w:lang w:val="en-GB"/>
        </w:rPr>
      </w:pPr>
      <w:r>
        <w:rPr>
          <w:lang w:val="en-GB"/>
        </w:rPr>
        <w:t>Getting ambitions right by lowering policy targets so that endogenous CD processes can catch up with them is of course desirable. Requisite humility is also appropriate in CD dialogue and CD support. However, there are no rewards for donors being insignificant or only marginally significant. The reality is that the dilemmas – particularly between ambition levels and existing capacity - will remain as part of the CD and aid challenges, and this must be openly recognised and included in the dialogue with country partners and other development partners. Addressing and supporting CD implies trade-offs and choices between different legitimate concerns in Danish development assistance, and pretending that this is not the case is unhelpful.</w:t>
      </w:r>
    </w:p>
    <w:p w:rsidR="00C26263" w:rsidRDefault="00C26263" w:rsidP="00E752D1">
      <w:pPr>
        <w:spacing w:after="0" w:line="240" w:lineRule="auto"/>
        <w:ind w:left="360"/>
        <w:rPr>
          <w:lang w:val="en-GB"/>
        </w:rPr>
      </w:pPr>
    </w:p>
    <w:p w:rsidR="00C26263" w:rsidRDefault="00C26263" w:rsidP="000F2E0F">
      <w:pPr>
        <w:pStyle w:val="Overskrift1"/>
        <w:numPr>
          <w:ilvl w:val="0"/>
          <w:numId w:val="11"/>
        </w:numPr>
        <w:spacing w:before="0" w:line="240" w:lineRule="auto"/>
        <w:rPr>
          <w:lang w:val="en-GB"/>
        </w:rPr>
      </w:pPr>
      <w:r>
        <w:rPr>
          <w:lang w:val="en-GB"/>
        </w:rPr>
        <w:t>Getting CD into the Danish aid business processes</w:t>
      </w:r>
    </w:p>
    <w:p w:rsidR="00C26263" w:rsidRDefault="00C26263" w:rsidP="00CD1EB5">
      <w:pPr>
        <w:spacing w:after="0" w:line="240" w:lineRule="auto"/>
      </w:pPr>
    </w:p>
    <w:p w:rsidR="00C26263" w:rsidRDefault="00C26263" w:rsidP="00C123C8">
      <w:pPr>
        <w:spacing w:after="0" w:line="240" w:lineRule="auto"/>
      </w:pPr>
      <w:r>
        <w:t>The endogenous nature of CD processes imply that they must be dealt with as part of the policy dynamics, cycles and calendars in a country, sector or area – and not only according to the business process cycles of individual donors seeking to support CD. Dialogue about and attention to CD is therefore a core element of the continuous policy dialogue between Danish embassies and partners, and not another element to be considered in the relatively compressed timeslots where Danish support is made operational</w:t>
      </w:r>
      <w:r>
        <w:rPr>
          <w:rStyle w:val="Fodnotehenvisning"/>
        </w:rPr>
        <w:footnoteReference w:id="5"/>
      </w:r>
      <w:r>
        <w:t>.</w:t>
      </w:r>
    </w:p>
    <w:p w:rsidR="00C26263" w:rsidRDefault="00C26263" w:rsidP="00C123C8">
      <w:pPr>
        <w:spacing w:after="0" w:line="240" w:lineRule="auto"/>
      </w:pPr>
    </w:p>
    <w:p w:rsidR="00C26263" w:rsidRDefault="00C26263" w:rsidP="00C123C8">
      <w:pPr>
        <w:spacing w:after="0" w:line="240" w:lineRule="auto"/>
      </w:pPr>
      <w:r>
        <w:t>This said the Danish business cycle for identification, formulation and monitoring of support represents opportunities to condense the knowledge based on which Danish funding decisions will be taken and to intensify the policy dialogue – including the dialogue about CD. The following sections identify the issues that are of particular importance during identification, formulation and implementation of Danish support. They do so with reference to the three key elements of successful CD mentioned in chapter 2  – enabling situation, credible change capacity and appealing vision – and a stylized logical framework for CD shown in figure 4:</w:t>
      </w:r>
    </w:p>
    <w:p w:rsidR="00C26263" w:rsidRDefault="00C26263" w:rsidP="0035637E">
      <w:pPr>
        <w:spacing w:after="0" w:line="240" w:lineRule="auto"/>
        <w:jc w:val="center"/>
      </w:pPr>
      <w:r w:rsidRPr="0035637E">
        <w:rPr>
          <w:lang w:val="da-DK"/>
        </w:rPr>
        <w:object w:dxaOrig="7146"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64.75pt" o:ole="">
            <v:imagedata r:id="rId22" o:title=""/>
          </v:shape>
          <o:OLEObject Type="Embed" ProgID="PowerPoint.Slide.12" ShapeID="_x0000_i1025" DrawAspect="Content" ObjectID="_1339238439" r:id="rId23"/>
        </w:object>
      </w:r>
    </w:p>
    <w:p w:rsidR="00C26263" w:rsidRDefault="00C26263" w:rsidP="00CD1EB5">
      <w:pPr>
        <w:spacing w:after="0" w:line="240" w:lineRule="auto"/>
      </w:pPr>
    </w:p>
    <w:p w:rsidR="00C26263" w:rsidRDefault="00C26263" w:rsidP="00CD1EB5">
      <w:pPr>
        <w:spacing w:after="0" w:line="240" w:lineRule="auto"/>
      </w:pPr>
      <w:r>
        <w:t>The figure demonstrates the means-ends linkage between a sector vision and what is labeled the “capacity development results”: the internal capacity and the actual performance of (a set of) organizations or a sector. It also underlines the importance of context, and that internal resources are key to successful CD processes</w:t>
      </w:r>
      <w:r>
        <w:rPr>
          <w:rStyle w:val="Fodnotehenvisning"/>
        </w:rPr>
        <w:footnoteReference w:id="6"/>
      </w:r>
      <w:r>
        <w:t xml:space="preserve">. Governance is added to indicate the importance of the specific governance arrangements in a sector (or organization, or area) for current and future capacity. </w:t>
      </w:r>
    </w:p>
    <w:p w:rsidR="00C26263" w:rsidRDefault="00C26263" w:rsidP="00CD1EB5">
      <w:pPr>
        <w:spacing w:after="0" w:line="240" w:lineRule="auto"/>
      </w:pPr>
    </w:p>
    <w:p w:rsidR="00C26263" w:rsidRDefault="00C26263" w:rsidP="00CD1EB5">
      <w:pPr>
        <w:spacing w:after="0" w:line="240" w:lineRule="auto"/>
      </w:pPr>
      <w:r>
        <w:t>During the Danish business cycle, and in the ongoing dialogue, both the elements in figure 3 and the three success-factors for CD must be considered, and to some degree, they will all have to be considered in any of the specific phases of the Danish business cycle. However, focus and order of salience will vary as illustrated by figure 5:</w:t>
      </w:r>
    </w:p>
    <w:p w:rsidR="00C26263" w:rsidRDefault="00C26263" w:rsidP="00CD1EB5">
      <w:pPr>
        <w:spacing w:after="0" w:line="240" w:lineRule="auto"/>
      </w:pPr>
    </w:p>
    <w:p w:rsidR="00C26263" w:rsidRPr="005D3E4B" w:rsidRDefault="00C26263" w:rsidP="00CD1EB5">
      <w:pPr>
        <w:spacing w:after="0" w:line="240" w:lineRule="auto"/>
        <w:rPr>
          <w:b/>
        </w:rPr>
      </w:pPr>
      <w:r>
        <w:rPr>
          <w:b/>
        </w:rPr>
        <w:t>Figure 5: Special focus areas in the different phases of the Danish business cycle</w:t>
      </w:r>
    </w:p>
    <w:p w:rsidR="00C26263" w:rsidRDefault="00C26263" w:rsidP="00CD1EB5">
      <w:pPr>
        <w:spacing w:after="0" w:line="240" w:lineRule="auto"/>
      </w:pPr>
    </w:p>
    <w:p w:rsidR="00C26263" w:rsidRDefault="00AB1DD3" w:rsidP="00BB0626">
      <w:pPr>
        <w:spacing w:after="0" w:line="240" w:lineRule="auto"/>
        <w:ind w:left="648"/>
      </w:pPr>
      <w:r>
        <w:rPr>
          <w:noProof/>
          <w:lang w:val="da-DK" w:eastAsia="zh-CN"/>
        </w:rPr>
        <w:drawing>
          <wp:inline distT="0" distB="0" distL="0" distR="0">
            <wp:extent cx="5121921" cy="2358675"/>
            <wp:effectExtent l="19050" t="0" r="21579" b="3525"/>
            <wp:docPr id="5" name="Picture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26263" w:rsidRDefault="00C26263" w:rsidP="003F712B">
      <w:pPr>
        <w:spacing w:after="0" w:line="240" w:lineRule="auto"/>
      </w:pPr>
    </w:p>
    <w:p w:rsidR="00C26263" w:rsidRDefault="00C26263" w:rsidP="00C123C8">
      <w:pPr>
        <w:pStyle w:val="Listeafsnit"/>
        <w:numPr>
          <w:ilvl w:val="0"/>
          <w:numId w:val="29"/>
        </w:numPr>
        <w:spacing w:after="0" w:line="240" w:lineRule="auto"/>
      </w:pPr>
      <w:r>
        <w:t xml:space="preserve">During </w:t>
      </w:r>
      <w:r w:rsidRPr="00FC237E">
        <w:rPr>
          <w:i/>
        </w:rPr>
        <w:t>identification</w:t>
      </w:r>
      <w:r>
        <w:t xml:space="preserve">, the emphasis is on </w:t>
      </w:r>
      <w:r w:rsidRPr="00FC237E">
        <w:rPr>
          <w:i/>
        </w:rPr>
        <w:t xml:space="preserve">change readiness. </w:t>
      </w:r>
      <w:r>
        <w:t xml:space="preserve">This should come </w:t>
      </w:r>
      <w:r w:rsidRPr="00FC237E">
        <w:rPr>
          <w:i/>
        </w:rPr>
        <w:t xml:space="preserve">after </w:t>
      </w:r>
      <w:r>
        <w:t xml:space="preserve">strategic directions </w:t>
      </w:r>
      <w:r w:rsidR="00FC237E">
        <w:t xml:space="preserve">and ambition of the vision for the sector (or programme or area) is identified.  </w:t>
      </w:r>
      <w:r>
        <w:t xml:space="preserve">It should, however come </w:t>
      </w:r>
      <w:r w:rsidRPr="00FC237E">
        <w:rPr>
          <w:i/>
        </w:rPr>
        <w:t>before</w:t>
      </w:r>
      <w:r>
        <w:t xml:space="preserve"> the detailed</w:t>
      </w:r>
      <w:r w:rsidR="00FC237E">
        <w:t xml:space="preserve"> scooping </w:t>
      </w:r>
      <w:r w:rsidR="001155D5">
        <w:t xml:space="preserve">of the vision </w:t>
      </w:r>
      <w:r w:rsidR="00FC237E">
        <w:t xml:space="preserve">and priority intervention areas </w:t>
      </w:r>
      <w:r w:rsidR="001155D5">
        <w:t xml:space="preserve">are </w:t>
      </w:r>
      <w:r w:rsidR="00FC237E">
        <w:t>agreed.</w:t>
      </w:r>
    </w:p>
    <w:p w:rsidR="00C26263" w:rsidRPr="00886C19" w:rsidRDefault="00C26263" w:rsidP="00C123C8">
      <w:pPr>
        <w:pStyle w:val="Listeafsnit"/>
        <w:numPr>
          <w:ilvl w:val="0"/>
          <w:numId w:val="29"/>
        </w:numPr>
        <w:spacing w:after="0" w:line="240" w:lineRule="auto"/>
      </w:pPr>
      <w:r>
        <w:t xml:space="preserve">During </w:t>
      </w:r>
      <w:r>
        <w:rPr>
          <w:i/>
        </w:rPr>
        <w:t>formulation</w:t>
      </w:r>
      <w:r>
        <w:t xml:space="preserve">, the emphasis is on establishing </w:t>
      </w:r>
      <w:r w:rsidRPr="006A5FD0">
        <w:rPr>
          <w:i/>
        </w:rPr>
        <w:t xml:space="preserve">a </w:t>
      </w:r>
      <w:r>
        <w:rPr>
          <w:i/>
        </w:rPr>
        <w:t>good enough</w:t>
      </w:r>
      <w:r w:rsidRPr="006A5FD0">
        <w:rPr>
          <w:i/>
        </w:rPr>
        <w:t xml:space="preserve"> baseline </w:t>
      </w:r>
      <w:r>
        <w:rPr>
          <w:i/>
        </w:rPr>
        <w:t>about</w:t>
      </w:r>
      <w:r w:rsidRPr="006A5FD0">
        <w:rPr>
          <w:i/>
        </w:rPr>
        <w:t xml:space="preserve"> current capacity</w:t>
      </w:r>
      <w:r>
        <w:t>, detailing</w:t>
      </w:r>
      <w:r>
        <w:rPr>
          <w:i/>
        </w:rPr>
        <w:t xml:space="preserve"> the key results areas along the results chain from outcomes/impact back to CD processes; the endogenous resources to be invested in CD; and the possible Danish/donor support.</w:t>
      </w:r>
    </w:p>
    <w:p w:rsidR="00C26263" w:rsidRPr="006A5FD0" w:rsidRDefault="00C26263" w:rsidP="00C123C8">
      <w:pPr>
        <w:pStyle w:val="Listeafsnit"/>
        <w:numPr>
          <w:ilvl w:val="0"/>
          <w:numId w:val="29"/>
        </w:numPr>
        <w:spacing w:after="0" w:line="240" w:lineRule="auto"/>
      </w:pPr>
      <w:r>
        <w:t xml:space="preserve">During </w:t>
      </w:r>
      <w:r>
        <w:rPr>
          <w:i/>
        </w:rPr>
        <w:t xml:space="preserve">appraisal, </w:t>
      </w:r>
      <w:r w:rsidRPr="006A5FD0">
        <w:t>particular focus should</w:t>
      </w:r>
      <w:r>
        <w:t xml:space="preserve"> be on</w:t>
      </w:r>
      <w:r>
        <w:rPr>
          <w:i/>
        </w:rPr>
        <w:t xml:space="preserve"> </w:t>
      </w:r>
      <w:r>
        <w:t xml:space="preserve">the </w:t>
      </w:r>
      <w:r w:rsidRPr="00B179E0">
        <w:rPr>
          <w:i/>
        </w:rPr>
        <w:t>match between ownership and ambition levels.</w:t>
      </w:r>
      <w:r>
        <w:rPr>
          <w:i/>
        </w:rPr>
        <w:t xml:space="preserve"> </w:t>
      </w:r>
    </w:p>
    <w:p w:rsidR="00C26263" w:rsidRDefault="00C26263" w:rsidP="00C123C8">
      <w:pPr>
        <w:pStyle w:val="Listeafsnit"/>
        <w:numPr>
          <w:ilvl w:val="0"/>
          <w:numId w:val="29"/>
        </w:numPr>
        <w:spacing w:after="0" w:line="240" w:lineRule="auto"/>
      </w:pPr>
      <w:r>
        <w:t xml:space="preserve">During </w:t>
      </w:r>
      <w:r w:rsidRPr="006A5FD0">
        <w:rPr>
          <w:i/>
        </w:rPr>
        <w:t>implementation</w:t>
      </w:r>
      <w:r>
        <w:rPr>
          <w:i/>
        </w:rPr>
        <w:t xml:space="preserve"> and in reviews</w:t>
      </w:r>
      <w:r>
        <w:t>, monitoring of the continued change readiness and the progress at the level of “CD results” are of particular importance.</w:t>
      </w:r>
    </w:p>
    <w:p w:rsidR="00C26263" w:rsidRDefault="00C26263" w:rsidP="009721D8">
      <w:pPr>
        <w:spacing w:after="0" w:line="240" w:lineRule="auto"/>
      </w:pPr>
    </w:p>
    <w:p w:rsidR="00C26263" w:rsidRDefault="00C26263" w:rsidP="009721D8">
      <w:pPr>
        <w:spacing w:after="0" w:line="240" w:lineRule="auto"/>
      </w:pPr>
      <w:r>
        <w:t>Ideally, the partners should lead and manage the development of their policies, visions and programmes, including the CD aspects of these. Donor support to the partners’ programmes – including CD support if required – should also be led by partner(s), in close dialogue with donors. Effectively, in many cases, donors will continue to play a key role, including writing up the documents governing their support.</w:t>
      </w:r>
    </w:p>
    <w:p w:rsidR="00C26263" w:rsidRDefault="00C26263" w:rsidP="009721D8">
      <w:pPr>
        <w:spacing w:after="0" w:line="240" w:lineRule="auto"/>
      </w:pPr>
    </w:p>
    <w:p w:rsidR="00C26263" w:rsidRDefault="00C26263" w:rsidP="002D4BE0">
      <w:pPr>
        <w:pStyle w:val="Listeafsnit"/>
        <w:numPr>
          <w:ilvl w:val="0"/>
          <w:numId w:val="22"/>
        </w:numPr>
        <w:spacing w:after="0" w:line="240" w:lineRule="auto"/>
      </w:pPr>
      <w:r>
        <w:rPr>
          <w:i/>
        </w:rPr>
        <w:t xml:space="preserve">The more it is donors that request attention to CD aspects in national policies and programmes, the more may change readiness be limited. The more donors lead the identification and formulation of their support to the partners’ programmes, the bigger the risk that partner ownership diminishes, donor perspectives prevail, and commitment to CD becomes a token. Constant attention to the details of the roles assumed, initiatives taken, and tasks performed by different stakeholders, is critical. </w:t>
      </w:r>
    </w:p>
    <w:p w:rsidR="00C26263" w:rsidRPr="00434050" w:rsidRDefault="00C26263" w:rsidP="009721D8">
      <w:pPr>
        <w:spacing w:after="0" w:line="240" w:lineRule="auto"/>
      </w:pPr>
      <w:r>
        <w:t xml:space="preserve">   </w:t>
      </w:r>
    </w:p>
    <w:p w:rsidR="00C26263" w:rsidRDefault="00C26263" w:rsidP="00647E39">
      <w:pPr>
        <w:pStyle w:val="Overskrift2"/>
      </w:pPr>
      <w:r>
        <w:t>Identification phase: Assessing change readiness</w:t>
      </w:r>
      <w:r w:rsidR="001155D5">
        <w:t xml:space="preserve"> (</w:t>
      </w:r>
      <w:r>
        <w:t>18-12 months</w:t>
      </w:r>
      <w:r w:rsidR="001155D5">
        <w:t xml:space="preserve"> before support approval</w:t>
      </w:r>
      <w:r>
        <w:t>)</w:t>
      </w:r>
    </w:p>
    <w:p w:rsidR="00C26263" w:rsidRDefault="00C26263" w:rsidP="00647E39">
      <w:pPr>
        <w:spacing w:after="0" w:line="240" w:lineRule="auto"/>
      </w:pPr>
    </w:p>
    <w:p w:rsidR="00C26263" w:rsidRDefault="00C26263" w:rsidP="00647E39">
      <w:pPr>
        <w:spacing w:after="0" w:line="240" w:lineRule="auto"/>
      </w:pPr>
      <w:r>
        <w:t>During identification, the focus of attention and dialogue is on:</w:t>
      </w:r>
    </w:p>
    <w:p w:rsidR="00C26263" w:rsidRDefault="00C26263" w:rsidP="00647E39">
      <w:pPr>
        <w:pStyle w:val="Listeafsnit"/>
        <w:numPr>
          <w:ilvl w:val="0"/>
          <w:numId w:val="30"/>
        </w:numPr>
        <w:spacing w:after="0" w:line="240" w:lineRule="auto"/>
      </w:pPr>
      <w:r>
        <w:rPr>
          <w:i/>
        </w:rPr>
        <w:t xml:space="preserve">Context factors </w:t>
      </w:r>
      <w:r>
        <w:t xml:space="preserve">(see box 2) </w:t>
      </w:r>
      <w:r>
        <w:rPr>
          <w:i/>
        </w:rPr>
        <w:t xml:space="preserve"> </w:t>
      </w:r>
      <w:r>
        <w:t>in the situation that would enable and constrain, respectively, CD and change.</w:t>
      </w:r>
    </w:p>
    <w:p w:rsidR="00C26263" w:rsidRDefault="00C26263" w:rsidP="00647E39">
      <w:pPr>
        <w:pStyle w:val="Listeafsnit"/>
        <w:numPr>
          <w:ilvl w:val="0"/>
          <w:numId w:val="30"/>
        </w:numPr>
        <w:spacing w:after="0" w:line="240" w:lineRule="auto"/>
      </w:pPr>
      <w:r>
        <w:rPr>
          <w:i/>
        </w:rPr>
        <w:t xml:space="preserve">The wider arena of external and internal stakeholders </w:t>
      </w:r>
      <w:r>
        <w:t>that would support and resist changes in sector performance and, consequently, support or resist changes in the capacity to perform.</w:t>
      </w:r>
    </w:p>
    <w:p w:rsidR="00C26263" w:rsidRDefault="00C26263" w:rsidP="00647E39">
      <w:pPr>
        <w:pStyle w:val="Listeafsnit"/>
        <w:numPr>
          <w:ilvl w:val="0"/>
          <w:numId w:val="30"/>
        </w:numPr>
        <w:spacing w:after="0" w:line="240" w:lineRule="auto"/>
      </w:pPr>
      <w:r w:rsidRPr="00BB0626">
        <w:rPr>
          <w:i/>
        </w:rPr>
        <w:t xml:space="preserve">The capacity to manage change and CD processes, </w:t>
      </w:r>
      <w:r>
        <w:t>including careful stocktaking of relevant past experiences</w:t>
      </w:r>
      <w:r w:rsidRPr="00BB0626">
        <w:rPr>
          <w:i/>
        </w:rPr>
        <w:t xml:space="preserve">. </w:t>
      </w:r>
    </w:p>
    <w:p w:rsidR="00C26263" w:rsidRDefault="00C26263" w:rsidP="00647E39">
      <w:pPr>
        <w:spacing w:after="0" w:line="240" w:lineRule="auto"/>
      </w:pPr>
      <w:r>
        <w:t>For operational tools that can help assessment and dialogue about the three issues listed above, see Danida’s Guide to Political Economy and Stakeholder Analysis at Sector Level, 2009. (See web-reference at the end of the note). Other tools are available that may be as well or better suited to the specific country or sector context. The distillation of lessons from previous CD efforts is particularly important (and often neglected) – relevant approaches can include story-telling, Most-Significant-Change-approaches and appreciative inquiry</w:t>
      </w:r>
      <w:r>
        <w:rPr>
          <w:rStyle w:val="Fodnotehenvisning"/>
        </w:rPr>
        <w:footnoteReference w:id="7"/>
      </w:r>
      <w:r>
        <w:t xml:space="preserve">. </w:t>
      </w:r>
    </w:p>
    <w:p w:rsidR="00C26263" w:rsidRDefault="00C26263" w:rsidP="00647E39">
      <w:pPr>
        <w:spacing w:after="0" w:line="240" w:lineRule="auto"/>
      </w:pPr>
    </w:p>
    <w:p w:rsidR="00C26263" w:rsidRDefault="00C26263" w:rsidP="00647E39">
      <w:pPr>
        <w:spacing w:after="0" w:line="240" w:lineRule="auto"/>
      </w:pPr>
      <w:r>
        <w:t xml:space="preserve">Together, the dialogue about these three areas will enable to reach a shared picture of the </w:t>
      </w:r>
      <w:r w:rsidRPr="00A653A5">
        <w:rPr>
          <w:i/>
        </w:rPr>
        <w:t>change readiness</w:t>
      </w:r>
      <w:r>
        <w:t xml:space="preserve"> in a sector, around a thematic issue or in an area (e.g. a district or urban area). This is part of the assessment of </w:t>
      </w:r>
      <w:r w:rsidRPr="00DF5250">
        <w:rPr>
          <w:i/>
        </w:rPr>
        <w:t>ownership</w:t>
      </w:r>
      <w:r>
        <w:t xml:space="preserve"> that is discussed more comprehensively in section 5.</w:t>
      </w:r>
    </w:p>
    <w:p w:rsidR="00C26263" w:rsidRPr="00647E39" w:rsidRDefault="00C26263" w:rsidP="00647E39"/>
    <w:tbl>
      <w:tblPr>
        <w:tblpPr w:leftFromText="141" w:rightFromText="141" w:vertAnchor="text" w:horzAnchor="margin" w:tblpXSpec="right" w:tblpY="-1579"/>
        <w:tblOverlap w:val="never"/>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738"/>
      </w:tblGrid>
      <w:tr w:rsidR="00C26263" w:rsidRPr="00D77582" w:rsidTr="00647E39">
        <w:tc>
          <w:tcPr>
            <w:tcW w:w="9738" w:type="dxa"/>
            <w:shd w:val="clear" w:color="auto" w:fill="4F81BD"/>
            <w:vAlign w:val="center"/>
          </w:tcPr>
          <w:p w:rsidR="00C26263" w:rsidRPr="00D77582" w:rsidRDefault="00C26263" w:rsidP="00647E39">
            <w:pPr>
              <w:spacing w:after="0"/>
              <w:jc w:val="center"/>
              <w:rPr>
                <w:b/>
                <w:bCs/>
                <w:color w:val="FFFFFF"/>
              </w:rPr>
            </w:pPr>
            <w:r>
              <w:rPr>
                <w:b/>
                <w:bCs/>
                <w:color w:val="FFFFFF"/>
              </w:rPr>
              <w:t>Box 2: Context matters for CD – but how and how much?</w:t>
            </w:r>
          </w:p>
        </w:tc>
      </w:tr>
      <w:tr w:rsidR="00C26263" w:rsidRPr="00D77582" w:rsidTr="00647E39">
        <w:tc>
          <w:tcPr>
            <w:tcW w:w="9738" w:type="dxa"/>
            <w:shd w:val="clear" w:color="auto" w:fill="DBE5F1"/>
          </w:tcPr>
          <w:p w:rsidR="00C26263" w:rsidRPr="00BB0626" w:rsidRDefault="00C26263" w:rsidP="00647E39">
            <w:pPr>
              <w:spacing w:after="0" w:line="240" w:lineRule="auto"/>
              <w:rPr>
                <w:b/>
                <w:bCs/>
                <w:i/>
              </w:rPr>
            </w:pPr>
          </w:p>
          <w:p w:rsidR="00C26263" w:rsidRPr="005E0F6B" w:rsidRDefault="00C26263" w:rsidP="00647E39">
            <w:pPr>
              <w:spacing w:after="0" w:line="240" w:lineRule="auto"/>
              <w:rPr>
                <w:bCs/>
                <w:sz w:val="20"/>
                <w:szCs w:val="20"/>
                <w:lang w:val="en-GB"/>
              </w:rPr>
            </w:pPr>
            <w:r w:rsidRPr="005E0F6B">
              <w:rPr>
                <w:bCs/>
                <w:sz w:val="20"/>
                <w:szCs w:val="20"/>
              </w:rPr>
              <w:t>Context matters – but it is often perceived to be difficult to understand how and to draw the practical implications for how to address CD.</w:t>
            </w:r>
          </w:p>
          <w:p w:rsidR="00C26263" w:rsidRPr="005E0F6B" w:rsidRDefault="00C26263" w:rsidP="00647E39">
            <w:pPr>
              <w:autoSpaceDE w:val="0"/>
              <w:autoSpaceDN w:val="0"/>
              <w:adjustRightInd w:val="0"/>
              <w:spacing w:after="0" w:line="240" w:lineRule="auto"/>
              <w:rPr>
                <w:b/>
                <w:bCs/>
                <w:i/>
                <w:sz w:val="20"/>
                <w:szCs w:val="20"/>
                <w:lang w:val="en-GB"/>
              </w:rPr>
            </w:pPr>
          </w:p>
          <w:p w:rsidR="00C26263" w:rsidRPr="005E0F6B" w:rsidRDefault="00C26263" w:rsidP="00647E39">
            <w:pPr>
              <w:autoSpaceDE w:val="0"/>
              <w:autoSpaceDN w:val="0"/>
              <w:adjustRightInd w:val="0"/>
              <w:spacing w:after="0" w:line="240" w:lineRule="auto"/>
              <w:rPr>
                <w:bCs/>
                <w:sz w:val="20"/>
                <w:szCs w:val="20"/>
                <w:lang w:val="en-GB"/>
              </w:rPr>
            </w:pPr>
            <w:r w:rsidRPr="005E0F6B">
              <w:rPr>
                <w:bCs/>
                <w:i/>
                <w:sz w:val="20"/>
                <w:szCs w:val="20"/>
                <w:lang w:val="en-GB"/>
              </w:rPr>
              <w:t xml:space="preserve">Incentives for individual and organisational performance </w:t>
            </w:r>
            <w:r w:rsidRPr="005E0F6B">
              <w:rPr>
                <w:bCs/>
                <w:sz w:val="20"/>
                <w:szCs w:val="20"/>
                <w:lang w:val="en-GB"/>
              </w:rPr>
              <w:t>across the public sector are often crucially important. They are shaped by, among others:</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Societal expectations about the role and nature of the state</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Expectations from families and networks about civil servants</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Importance and power of formal and informal institutions, respectively</w:t>
            </w:r>
            <w:r>
              <w:rPr>
                <w:bCs/>
                <w:sz w:val="20"/>
                <w:szCs w:val="20"/>
                <w:lang w:val="en-GB"/>
              </w:rPr>
              <w:t xml:space="preserve"> (e.g. tribal structures, loyalty to kinship etc.)</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Non-material motivational stimulus (career, status etc.)</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Sanctions in case of non-performance</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Exercise of authority, weight of hierarchy etc. versus weight of merit</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Material rewards</w:t>
            </w:r>
          </w:p>
          <w:p w:rsidR="00C26263" w:rsidRPr="005E0F6B" w:rsidRDefault="00C26263" w:rsidP="00647E39">
            <w:pPr>
              <w:pStyle w:val="Listeafsnit"/>
              <w:numPr>
                <w:ilvl w:val="0"/>
                <w:numId w:val="32"/>
              </w:numPr>
              <w:autoSpaceDE w:val="0"/>
              <w:autoSpaceDN w:val="0"/>
              <w:adjustRightInd w:val="0"/>
              <w:spacing w:after="0" w:line="240" w:lineRule="auto"/>
              <w:rPr>
                <w:bCs/>
                <w:sz w:val="20"/>
                <w:szCs w:val="20"/>
                <w:lang w:val="en-GB"/>
              </w:rPr>
            </w:pPr>
            <w:r w:rsidRPr="005E0F6B">
              <w:rPr>
                <w:bCs/>
                <w:sz w:val="20"/>
                <w:szCs w:val="20"/>
                <w:lang w:val="en-GB"/>
              </w:rPr>
              <w:t>Possible opportunities for rent-seeking</w:t>
            </w:r>
          </w:p>
          <w:p w:rsidR="00C26263" w:rsidRPr="005E0F6B" w:rsidRDefault="00C26263" w:rsidP="00647E39">
            <w:pPr>
              <w:autoSpaceDE w:val="0"/>
              <w:autoSpaceDN w:val="0"/>
              <w:adjustRightInd w:val="0"/>
              <w:spacing w:after="0" w:line="240" w:lineRule="auto"/>
              <w:rPr>
                <w:bCs/>
                <w:sz w:val="20"/>
                <w:szCs w:val="20"/>
                <w:lang w:val="en-GB"/>
              </w:rPr>
            </w:pPr>
          </w:p>
          <w:p w:rsidR="00C26263" w:rsidRPr="005E0F6B" w:rsidRDefault="00C26263" w:rsidP="00647E39">
            <w:pPr>
              <w:autoSpaceDE w:val="0"/>
              <w:autoSpaceDN w:val="0"/>
              <w:adjustRightInd w:val="0"/>
              <w:spacing w:after="0" w:line="240" w:lineRule="auto"/>
              <w:rPr>
                <w:bCs/>
                <w:sz w:val="20"/>
                <w:szCs w:val="20"/>
                <w:lang w:val="en-GB"/>
              </w:rPr>
            </w:pPr>
            <w:r w:rsidRPr="005E0F6B">
              <w:rPr>
                <w:bCs/>
                <w:sz w:val="20"/>
                <w:szCs w:val="20"/>
                <w:lang w:val="en-GB"/>
              </w:rPr>
              <w:t>The configuration of these factors may imply that e.g. training and organisational restructuring may not lead to significant performance enhancement.</w:t>
            </w:r>
          </w:p>
          <w:p w:rsidR="00C26263" w:rsidRPr="00E97CF7" w:rsidRDefault="00C26263" w:rsidP="00647E39">
            <w:pPr>
              <w:autoSpaceDE w:val="0"/>
              <w:autoSpaceDN w:val="0"/>
              <w:adjustRightInd w:val="0"/>
              <w:spacing w:after="0" w:line="240" w:lineRule="auto"/>
              <w:rPr>
                <w:bCs/>
                <w:lang w:val="en-GB"/>
              </w:rPr>
            </w:pPr>
          </w:p>
        </w:tc>
      </w:tr>
    </w:tbl>
    <w:p w:rsidR="00C26263" w:rsidRDefault="00C26263" w:rsidP="003B61C2">
      <w:pPr>
        <w:spacing w:after="0" w:line="240" w:lineRule="auto"/>
      </w:pPr>
      <w:r>
        <w:t xml:space="preserve">The dialogue and assessment will relate to a broad, strategic perception about the sector vision – including a vision about the role of the state and the role of non-state actors both in service delivery and governance. </w:t>
      </w:r>
    </w:p>
    <w:p w:rsidR="00C26263" w:rsidRDefault="00C26263" w:rsidP="009721D8">
      <w:pPr>
        <w:spacing w:after="0" w:line="240" w:lineRule="auto"/>
      </w:pPr>
    </w:p>
    <w:p w:rsidR="00C26263" w:rsidRDefault="00C26263" w:rsidP="009721D8">
      <w:pPr>
        <w:spacing w:after="0" w:line="240" w:lineRule="auto"/>
      </w:pPr>
      <w:r>
        <w:t xml:space="preserve">Notably, the focus in the identification phase is </w:t>
      </w:r>
      <w:r>
        <w:rPr>
          <w:i/>
        </w:rPr>
        <w:t>not</w:t>
      </w:r>
      <w:r>
        <w:t xml:space="preserve"> on conducting </w:t>
      </w:r>
      <w:r w:rsidRPr="00647E39">
        <w:rPr>
          <w:i/>
        </w:rPr>
        <w:t>detailed</w:t>
      </w:r>
      <w:r>
        <w:t xml:space="preserve"> capacity assessments that take stock of existing capacity and identify areas in need of strengthening, nor on detailing results, CD processes or possible Danish support to the CD processes. Initial </w:t>
      </w:r>
      <w:r w:rsidRPr="00647E39">
        <w:rPr>
          <w:i/>
        </w:rPr>
        <w:t>broad</w:t>
      </w:r>
      <w:r>
        <w:t xml:space="preserve"> dialogue about these items should be initiated, but more comprehensive assessments and specifications are either part of the partners’ formulation of their CD process, (including the formulation of external support from Denmark and other partners), or – in so far as capacity assessments are concerned - an integral part of the CD processes themselves.   </w:t>
      </w:r>
    </w:p>
    <w:p w:rsidR="00C26263" w:rsidRDefault="00C26263" w:rsidP="0035637E">
      <w:pPr>
        <w:spacing w:after="0" w:line="240" w:lineRule="auto"/>
      </w:pPr>
    </w:p>
    <w:p w:rsidR="00D92D2C" w:rsidRDefault="00D92D2C" w:rsidP="0035637E">
      <w:pPr>
        <w:spacing w:after="0" w:line="240" w:lineRule="auto"/>
      </w:pPr>
      <w:r>
        <w:t>There may, however, be a need to assess specific capacity areas to decide whether Denmark can use certain aid modalities (e.g. budget support). The purpose of such assessments is not primarily CD, and it can be conducted on behalf of a donor or a group of donors, preferably building on existing assessments like e.g. PEFA, Public Expenditure Reviews and EC Governance profiles. Experience indicates that a participatory approach to such assessments enhance their use for future CD processes and CD support.</w:t>
      </w:r>
    </w:p>
    <w:p w:rsidR="00D92D2C" w:rsidRDefault="00D92D2C" w:rsidP="0035637E">
      <w:pPr>
        <w:spacing w:after="0" w:line="240" w:lineRule="auto"/>
      </w:pPr>
    </w:p>
    <w:p w:rsidR="00C26263" w:rsidRDefault="00C26263" w:rsidP="0035637E">
      <w:pPr>
        <w:spacing w:after="0" w:line="240" w:lineRule="auto"/>
      </w:pPr>
      <w:r>
        <w:t>The outcome of the identification phase in relation to CD is:</w:t>
      </w:r>
    </w:p>
    <w:p w:rsidR="001155D5" w:rsidRDefault="001155D5" w:rsidP="0035637E">
      <w:pPr>
        <w:spacing w:after="0" w:line="240" w:lineRule="auto"/>
      </w:pPr>
    </w:p>
    <w:p w:rsidR="00C26263" w:rsidRDefault="00C26263" w:rsidP="006D75A9">
      <w:pPr>
        <w:pStyle w:val="Listeafsnit"/>
        <w:numPr>
          <w:ilvl w:val="0"/>
          <w:numId w:val="19"/>
        </w:numPr>
        <w:spacing w:after="0" w:line="240" w:lineRule="auto"/>
      </w:pPr>
      <w:r>
        <w:t>A largely shared perception of the change readiness in the sector/thematic area between Danish stakeholders, country partners in the sector, and other development partners.</w:t>
      </w:r>
    </w:p>
    <w:p w:rsidR="00C26263" w:rsidRDefault="00C26263" w:rsidP="006D75A9">
      <w:pPr>
        <w:pStyle w:val="Listeafsnit"/>
        <w:numPr>
          <w:ilvl w:val="0"/>
          <w:numId w:val="19"/>
        </w:numPr>
        <w:spacing w:after="0" w:line="240" w:lineRule="auto"/>
      </w:pPr>
      <w:r>
        <w:t xml:space="preserve">Indications of the strategic scope of CD ambitions (linked to the sector vision) and CD processes over the next period of Danish support. </w:t>
      </w:r>
    </w:p>
    <w:p w:rsidR="00C26263" w:rsidRDefault="00C26263" w:rsidP="006D75A9">
      <w:pPr>
        <w:pStyle w:val="Listeafsnit"/>
        <w:numPr>
          <w:ilvl w:val="0"/>
          <w:numId w:val="19"/>
        </w:numPr>
        <w:spacing w:after="0" w:line="240" w:lineRule="auto"/>
      </w:pPr>
      <w:r>
        <w:t>Inclusion of how CD will be addressed in the general process action plan for the formulation phase.</w:t>
      </w:r>
    </w:p>
    <w:p w:rsidR="001155D5" w:rsidRDefault="001155D5" w:rsidP="001155D5">
      <w:pPr>
        <w:spacing w:after="0" w:line="240" w:lineRule="auto"/>
      </w:pPr>
    </w:p>
    <w:p w:rsidR="001155D5" w:rsidRDefault="001155D5" w:rsidP="001155D5">
      <w:pPr>
        <w:spacing w:after="0" w:line="240" w:lineRule="auto"/>
      </w:pPr>
    </w:p>
    <w:p w:rsidR="00C26263" w:rsidRDefault="00C26263" w:rsidP="0035637E">
      <w:pPr>
        <w:spacing w:after="0" w:line="240" w:lineRule="auto"/>
      </w:pPr>
    </w:p>
    <w:tbl>
      <w:tblPr>
        <w:tblW w:w="0" w:type="auto"/>
        <w:tblInd w:w="2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528"/>
      </w:tblGrid>
      <w:tr w:rsidR="00C26263" w:rsidRPr="00D77582" w:rsidTr="008851A5">
        <w:tc>
          <w:tcPr>
            <w:tcW w:w="9528" w:type="dxa"/>
            <w:shd w:val="clear" w:color="auto" w:fill="4F81BD"/>
          </w:tcPr>
          <w:p w:rsidR="00C26263" w:rsidRPr="00D77582" w:rsidRDefault="00C26263" w:rsidP="00647E39">
            <w:pPr>
              <w:spacing w:after="0"/>
              <w:rPr>
                <w:b/>
                <w:bCs/>
                <w:color w:val="FFFFFF"/>
              </w:rPr>
            </w:pPr>
            <w:r>
              <w:rPr>
                <w:b/>
                <w:bCs/>
                <w:color w:val="FFFFFF"/>
              </w:rPr>
              <w:t xml:space="preserve">Box 3: Is change readiness assessments particularly sensitive, or difficult to make “practical”? </w:t>
            </w:r>
          </w:p>
        </w:tc>
      </w:tr>
      <w:tr w:rsidR="00C26263" w:rsidRPr="00D77582" w:rsidTr="008851A5">
        <w:tc>
          <w:tcPr>
            <w:tcW w:w="9528" w:type="dxa"/>
            <w:shd w:val="clear" w:color="auto" w:fill="DBE5F1"/>
          </w:tcPr>
          <w:p w:rsidR="00C26263" w:rsidRDefault="00C26263" w:rsidP="008851A5">
            <w:pPr>
              <w:spacing w:after="0"/>
              <w:rPr>
                <w:b/>
                <w:bCs/>
              </w:rPr>
            </w:pPr>
          </w:p>
          <w:p w:rsidR="00C26263" w:rsidRPr="002C3EA6" w:rsidRDefault="00C26263" w:rsidP="00653D0D">
            <w:pPr>
              <w:spacing w:after="0" w:line="240" w:lineRule="auto"/>
              <w:rPr>
                <w:bCs/>
                <w:sz w:val="20"/>
                <w:szCs w:val="20"/>
              </w:rPr>
            </w:pPr>
            <w:r w:rsidRPr="002C3EA6">
              <w:rPr>
                <w:bCs/>
                <w:sz w:val="20"/>
                <w:szCs w:val="20"/>
              </w:rPr>
              <w:t xml:space="preserve">All assessments are sensitive when they imply judgments that may have implications for reputation or resource allocations. And not everything is fit for printing or formalizing – both individuals and organizations need “protected spaces” to discuss and share information off the record. </w:t>
            </w:r>
            <w:r>
              <w:rPr>
                <w:bCs/>
                <w:sz w:val="20"/>
                <w:szCs w:val="20"/>
              </w:rPr>
              <w:t>C</w:t>
            </w:r>
            <w:r w:rsidRPr="002C3EA6">
              <w:rPr>
                <w:bCs/>
                <w:sz w:val="20"/>
                <w:szCs w:val="20"/>
              </w:rPr>
              <w:t xml:space="preserve">hange readiness – and political economy issues </w:t>
            </w:r>
            <w:r>
              <w:rPr>
                <w:bCs/>
                <w:sz w:val="20"/>
                <w:szCs w:val="20"/>
              </w:rPr>
              <w:t>–</w:t>
            </w:r>
            <w:r w:rsidRPr="002C3EA6">
              <w:rPr>
                <w:bCs/>
                <w:sz w:val="20"/>
                <w:szCs w:val="20"/>
              </w:rPr>
              <w:t xml:space="preserve"> </w:t>
            </w:r>
            <w:r>
              <w:rPr>
                <w:bCs/>
                <w:sz w:val="20"/>
                <w:szCs w:val="20"/>
              </w:rPr>
              <w:t>is also sensitive, but</w:t>
            </w:r>
            <w:r w:rsidRPr="002C3EA6">
              <w:rPr>
                <w:bCs/>
                <w:sz w:val="20"/>
                <w:szCs w:val="20"/>
              </w:rPr>
              <w:t xml:space="preserve"> not more sensitive than many other issues. It encompass</w:t>
            </w:r>
            <w:r>
              <w:rPr>
                <w:bCs/>
                <w:sz w:val="20"/>
                <w:szCs w:val="20"/>
              </w:rPr>
              <w:t>es</w:t>
            </w:r>
            <w:r w:rsidRPr="002C3EA6">
              <w:rPr>
                <w:bCs/>
                <w:sz w:val="20"/>
                <w:szCs w:val="20"/>
              </w:rPr>
              <w:t xml:space="preserve"> issues like:</w:t>
            </w:r>
          </w:p>
          <w:p w:rsidR="00C26263" w:rsidRPr="002C3EA6" w:rsidRDefault="00C26263" w:rsidP="00653D0D">
            <w:pPr>
              <w:spacing w:after="0" w:line="240" w:lineRule="auto"/>
              <w:rPr>
                <w:bCs/>
                <w:sz w:val="20"/>
                <w:szCs w:val="20"/>
              </w:rPr>
            </w:pPr>
          </w:p>
          <w:p w:rsidR="00C26263" w:rsidRPr="002C3EA6" w:rsidRDefault="00C26263" w:rsidP="00653D0D">
            <w:pPr>
              <w:pStyle w:val="Listeafsnit"/>
              <w:numPr>
                <w:ilvl w:val="0"/>
                <w:numId w:val="20"/>
              </w:numPr>
              <w:spacing w:after="0" w:line="240" w:lineRule="auto"/>
              <w:rPr>
                <w:bCs/>
                <w:sz w:val="20"/>
                <w:szCs w:val="20"/>
              </w:rPr>
            </w:pPr>
            <w:r w:rsidRPr="002C3EA6">
              <w:rPr>
                <w:bCs/>
                <w:sz w:val="20"/>
                <w:szCs w:val="20"/>
              </w:rPr>
              <w:t>Which groups (in business, in politics, in civil society) will have a strong interest in developing a sector (or subsector), and what will they be willing to invest in terms of influence and energy?</w:t>
            </w:r>
          </w:p>
          <w:p w:rsidR="00C26263" w:rsidRPr="002C3EA6" w:rsidRDefault="00C26263" w:rsidP="00653D0D">
            <w:pPr>
              <w:pStyle w:val="Listeafsnit"/>
              <w:numPr>
                <w:ilvl w:val="0"/>
                <w:numId w:val="20"/>
              </w:numPr>
              <w:spacing w:after="0" w:line="240" w:lineRule="auto"/>
              <w:rPr>
                <w:bCs/>
                <w:sz w:val="20"/>
                <w:szCs w:val="20"/>
              </w:rPr>
            </w:pPr>
            <w:r w:rsidRPr="002C3EA6">
              <w:rPr>
                <w:bCs/>
                <w:sz w:val="20"/>
                <w:szCs w:val="20"/>
              </w:rPr>
              <w:t>Which groups might oppose, and why? E.g. teachers would stand to lose if an educational reform would somehow force them to appear in class five days a week and many of them only appears three days at present – what kind of resistance would they be likely to organize?</w:t>
            </w:r>
          </w:p>
          <w:p w:rsidR="00C26263" w:rsidRPr="002C3EA6" w:rsidRDefault="00C26263" w:rsidP="00653D0D">
            <w:pPr>
              <w:pStyle w:val="Listeafsnit"/>
              <w:numPr>
                <w:ilvl w:val="0"/>
                <w:numId w:val="20"/>
              </w:numPr>
              <w:spacing w:after="0" w:line="240" w:lineRule="auto"/>
              <w:rPr>
                <w:bCs/>
                <w:sz w:val="20"/>
                <w:szCs w:val="20"/>
              </w:rPr>
            </w:pPr>
            <w:r w:rsidRPr="002C3EA6">
              <w:rPr>
                <w:bCs/>
                <w:sz w:val="20"/>
                <w:szCs w:val="20"/>
              </w:rPr>
              <w:t>How much attention and time can senior managers be expected to allocate to CD issues if their daily reality is constant fire-fighting on matters from below, and if they at the same time have to react to ad hoc- and last minutes orders from above that effectively makes planning of 90% of their time impossible?</w:t>
            </w:r>
          </w:p>
          <w:p w:rsidR="00C26263" w:rsidRPr="002C3EA6" w:rsidRDefault="00C26263" w:rsidP="00653D0D">
            <w:pPr>
              <w:pStyle w:val="Listeafsnit"/>
              <w:numPr>
                <w:ilvl w:val="0"/>
                <w:numId w:val="20"/>
              </w:numPr>
              <w:spacing w:after="0" w:line="240" w:lineRule="auto"/>
              <w:rPr>
                <w:bCs/>
                <w:sz w:val="20"/>
                <w:szCs w:val="20"/>
              </w:rPr>
            </w:pPr>
            <w:r w:rsidRPr="002C3EA6">
              <w:rPr>
                <w:bCs/>
                <w:sz w:val="20"/>
                <w:szCs w:val="20"/>
              </w:rPr>
              <w:t>If coordination across organizations is difficult because it affects the carefully protected “turfs” that enables chief executives to exercise their share of power, how much should CD then be focusing on individual organizations, accepting that this at the moment is as good as it gets?</w:t>
            </w:r>
          </w:p>
          <w:p w:rsidR="00C26263" w:rsidRPr="002C3EA6" w:rsidRDefault="00C26263" w:rsidP="00653D0D">
            <w:pPr>
              <w:pStyle w:val="Listeafsnit"/>
              <w:numPr>
                <w:ilvl w:val="0"/>
                <w:numId w:val="20"/>
              </w:numPr>
              <w:spacing w:after="0" w:line="240" w:lineRule="auto"/>
              <w:rPr>
                <w:bCs/>
                <w:sz w:val="20"/>
                <w:szCs w:val="20"/>
              </w:rPr>
            </w:pPr>
            <w:r w:rsidRPr="002C3EA6">
              <w:rPr>
                <w:bCs/>
                <w:sz w:val="20"/>
                <w:szCs w:val="20"/>
              </w:rPr>
              <w:t xml:space="preserve">If staff incentives to performance is effectively </w:t>
            </w:r>
            <w:r>
              <w:rPr>
                <w:bCs/>
                <w:sz w:val="20"/>
                <w:szCs w:val="20"/>
              </w:rPr>
              <w:t xml:space="preserve">also </w:t>
            </w:r>
            <w:r w:rsidRPr="002C3EA6">
              <w:rPr>
                <w:bCs/>
                <w:sz w:val="20"/>
                <w:szCs w:val="20"/>
              </w:rPr>
              <w:t>driven by opportunities to obtain extra rewards   rather than by the formal obligations associated with their jobs – how can CD efforts seek to stimulate service-related performance within the constraints of these systemic factors – or are there any likelihood that</w:t>
            </w:r>
            <w:r>
              <w:rPr>
                <w:bCs/>
                <w:sz w:val="20"/>
                <w:szCs w:val="20"/>
              </w:rPr>
              <w:t xml:space="preserve"> petty corruption and its underlying causes</w:t>
            </w:r>
            <w:r w:rsidRPr="002C3EA6">
              <w:rPr>
                <w:bCs/>
                <w:sz w:val="20"/>
                <w:szCs w:val="20"/>
              </w:rPr>
              <w:t xml:space="preserve"> can be addressed directly?  </w:t>
            </w:r>
          </w:p>
          <w:p w:rsidR="00C26263" w:rsidRPr="002C3EA6" w:rsidRDefault="00C26263" w:rsidP="00320760">
            <w:pPr>
              <w:spacing w:after="0" w:line="240" w:lineRule="auto"/>
              <w:rPr>
                <w:bCs/>
                <w:sz w:val="20"/>
                <w:szCs w:val="20"/>
              </w:rPr>
            </w:pPr>
          </w:p>
          <w:p w:rsidR="00C26263" w:rsidRDefault="00C26263" w:rsidP="00320760">
            <w:pPr>
              <w:spacing w:after="0" w:line="240" w:lineRule="auto"/>
              <w:rPr>
                <w:bCs/>
              </w:rPr>
            </w:pPr>
            <w:r w:rsidRPr="002C3EA6">
              <w:rPr>
                <w:bCs/>
                <w:sz w:val="20"/>
                <w:szCs w:val="20"/>
              </w:rPr>
              <w:t>The answers to the above type of questions are not easy to get at – but they all have direct, practical and operational consequences for whether and how CD may happen, and whether and how donors can provide support. Bringing them on the agenda requires most likely more informal networking than it requires formal meetings with agendas and minutes. And it requires a willingness to recognize the dilemmas and trade-offs that follows from taking change readiness issues serious.</w:t>
            </w:r>
            <w:r>
              <w:rPr>
                <w:bCs/>
              </w:rPr>
              <w:t xml:space="preserve"> </w:t>
            </w:r>
          </w:p>
          <w:p w:rsidR="00C26263" w:rsidRPr="008851A5" w:rsidRDefault="00C26263" w:rsidP="00320760">
            <w:pPr>
              <w:spacing w:after="0" w:line="240" w:lineRule="auto"/>
              <w:rPr>
                <w:bCs/>
              </w:rPr>
            </w:pPr>
          </w:p>
        </w:tc>
      </w:tr>
    </w:tbl>
    <w:p w:rsidR="00C26263" w:rsidRDefault="00C26263" w:rsidP="00886C19">
      <w:pPr>
        <w:spacing w:after="0" w:line="240" w:lineRule="auto"/>
      </w:pPr>
    </w:p>
    <w:p w:rsidR="00C26263" w:rsidRDefault="00C26263" w:rsidP="00C966F1">
      <w:pPr>
        <w:pStyle w:val="Overskrift2"/>
      </w:pPr>
      <w:r>
        <w:t>Formulation phase: Requisite results, flexible processes and all resources (12-6 months</w:t>
      </w:r>
      <w:r w:rsidR="001155D5">
        <w:t xml:space="preserve"> before support approval</w:t>
      </w:r>
      <w:r>
        <w:t>)</w:t>
      </w:r>
    </w:p>
    <w:p w:rsidR="001155D5" w:rsidRDefault="001155D5" w:rsidP="00886C19">
      <w:pPr>
        <w:spacing w:after="0" w:line="240" w:lineRule="auto"/>
      </w:pPr>
    </w:p>
    <w:p w:rsidR="00C26263" w:rsidRDefault="00C26263" w:rsidP="00886C19">
      <w:pPr>
        <w:spacing w:after="0" w:line="240" w:lineRule="auto"/>
      </w:pPr>
      <w:r>
        <w:t>During formulation, the particular emphasis of dialogue and analysis is on:</w:t>
      </w:r>
    </w:p>
    <w:p w:rsidR="00C26263" w:rsidRPr="00100E8E" w:rsidRDefault="00C26263" w:rsidP="00100E8E">
      <w:pPr>
        <w:pStyle w:val="Listeafsnit"/>
        <w:numPr>
          <w:ilvl w:val="0"/>
          <w:numId w:val="23"/>
        </w:numPr>
        <w:spacing w:after="0" w:line="240" w:lineRule="auto"/>
      </w:pPr>
      <w:r>
        <w:rPr>
          <w:i/>
        </w:rPr>
        <w:t xml:space="preserve">A good enough baseline of current capacity and outputs. </w:t>
      </w:r>
      <w:r>
        <w:t xml:space="preserve">This is ideally a stocktaking based on existing information, and not a separate exercise for the sake of the formulation process. </w:t>
      </w:r>
    </w:p>
    <w:p w:rsidR="00C26263" w:rsidRDefault="00C26263" w:rsidP="00100E8E">
      <w:pPr>
        <w:pStyle w:val="Listeafsnit"/>
        <w:numPr>
          <w:ilvl w:val="0"/>
          <w:numId w:val="23"/>
        </w:numPr>
        <w:spacing w:after="0" w:line="240" w:lineRule="auto"/>
      </w:pPr>
      <w:r>
        <w:rPr>
          <w:i/>
        </w:rPr>
        <w:t xml:space="preserve">Identifying key result areas along the results chain </w:t>
      </w:r>
      <w:r>
        <w:t>(illustrated in figure 4)</w:t>
      </w:r>
      <w:r>
        <w:rPr>
          <w:i/>
        </w:rPr>
        <w:t xml:space="preserve">, </w:t>
      </w:r>
      <w:r>
        <w:t>with a focus on “capacity results” and CD processes.</w:t>
      </w:r>
    </w:p>
    <w:p w:rsidR="00C26263" w:rsidRDefault="00C26263" w:rsidP="00100E8E">
      <w:pPr>
        <w:pStyle w:val="Listeafsnit"/>
        <w:numPr>
          <w:ilvl w:val="0"/>
          <w:numId w:val="23"/>
        </w:numPr>
        <w:spacing w:after="0" w:line="240" w:lineRule="auto"/>
      </w:pPr>
      <w:r>
        <w:rPr>
          <w:i/>
        </w:rPr>
        <w:t xml:space="preserve">Clarifying the endogenous resources that will be invested in CD. </w:t>
      </w:r>
      <w:r>
        <w:t>This includes clarifying the detailed change management set-up.</w:t>
      </w:r>
    </w:p>
    <w:p w:rsidR="00C26263" w:rsidRPr="00A63AAF" w:rsidRDefault="00C26263" w:rsidP="00100E8E">
      <w:pPr>
        <w:pStyle w:val="Listeafsnit"/>
        <w:numPr>
          <w:ilvl w:val="0"/>
          <w:numId w:val="23"/>
        </w:numPr>
        <w:spacing w:after="0" w:line="240" w:lineRule="auto"/>
      </w:pPr>
      <w:r>
        <w:rPr>
          <w:i/>
        </w:rPr>
        <w:t>Identifying possible CD support from donors, including as relevant Denmark.</w:t>
      </w:r>
    </w:p>
    <w:p w:rsidR="00C26263" w:rsidRDefault="00C26263" w:rsidP="00100E8E">
      <w:pPr>
        <w:pStyle w:val="Listeafsnit"/>
        <w:numPr>
          <w:ilvl w:val="0"/>
          <w:numId w:val="23"/>
        </w:numPr>
        <w:spacing w:after="0" w:line="240" w:lineRule="auto"/>
      </w:pPr>
      <w:r>
        <w:rPr>
          <w:i/>
        </w:rPr>
        <w:t xml:space="preserve">Identify and recognize the trade-offs and compromises that are likely to be part of the CD agenda due to time constraints, multiple demands and agendas.    </w:t>
      </w:r>
    </w:p>
    <w:p w:rsidR="00C26263" w:rsidRDefault="00C26263" w:rsidP="00886C19">
      <w:pPr>
        <w:spacing w:after="0" w:line="240" w:lineRule="auto"/>
      </w:pPr>
    </w:p>
    <w:p w:rsidR="00C26263" w:rsidRDefault="00C26263" w:rsidP="00C966F1">
      <w:pPr>
        <w:pStyle w:val="Overskrift3"/>
      </w:pPr>
      <w:r>
        <w:t>A baseline of current outputs and capacity</w:t>
      </w:r>
    </w:p>
    <w:p w:rsidR="00C26263" w:rsidRDefault="00C26263" w:rsidP="00B70F22">
      <w:pPr>
        <w:spacing w:after="0" w:line="240" w:lineRule="auto"/>
      </w:pPr>
      <w:r>
        <w:t xml:space="preserve">This baseline serves as a critical input to assist partners in defining a realistic scope of improvements in performance and capacity that can reasonably be achieved. The baseline also serves for future monitoring. The baseline should include a </w:t>
      </w:r>
      <w:r w:rsidRPr="000911AE">
        <w:rPr>
          <w:i/>
        </w:rPr>
        <w:t>simple</w:t>
      </w:r>
      <w:r>
        <w:t xml:space="preserve"> mapping of current performance, describing the quantity and quality of the services and regulatory functions </w:t>
      </w:r>
      <w:r w:rsidRPr="002D015F">
        <w:rPr>
          <w:i/>
        </w:rPr>
        <w:t>actually</w:t>
      </w:r>
      <w:r>
        <w:t xml:space="preserve"> produced by a sector, sub-sector, a set of organizations or an individual organisation. It should also describe current capacity in broad terms. The focus on outputs – services, products or regulations delivered to citizens or other organizations – is absolutely crucial, to avoid that attention moves “backwards” in the results chain and focus on immediately observable factors related to e.g. “lack of resources” as cars, computers etc. Such deficiencies may be important, but usually point to complex underlying causes (mismatch between objectives/mandate and resources; distorted budget and resource allocation processes tying too many resources</w:t>
      </w:r>
      <w:r w:rsidR="001155D5">
        <w:t xml:space="preserve"> </w:t>
      </w:r>
      <w:r>
        <w:t xml:space="preserve">to salaries compared to operation costs; inefficient use and maintenance of capital assets, etc.). </w:t>
      </w:r>
    </w:p>
    <w:p w:rsidR="00C26263" w:rsidRDefault="00C26263" w:rsidP="00B70F22">
      <w:pPr>
        <w:spacing w:after="0" w:line="240" w:lineRule="auto"/>
      </w:pPr>
      <w:r>
        <w:t xml:space="preserve"> </w:t>
      </w:r>
    </w:p>
    <w:p w:rsidR="00C26263" w:rsidRDefault="00C26263" w:rsidP="00B70F22">
      <w:pPr>
        <w:spacing w:after="0" w:line="240" w:lineRule="auto"/>
      </w:pPr>
      <w:r>
        <w:t xml:space="preserve">The mapping should as much as possible build on existing information – if this does not exist a simple mapping exercise may be required, including a small user/customer survey. Regular future registry of “production”, and regular user surveys, should be considered as part of the CD agenda under preparation. If recent capacity assessments do not exist the partner should conduct a brief self-assessment, preferably on own terms and involving a representative sample of staff. </w:t>
      </w:r>
    </w:p>
    <w:p w:rsidR="00C26263" w:rsidRDefault="00C26263" w:rsidP="00B70F22">
      <w:pPr>
        <w:spacing w:after="0" w:line="240" w:lineRule="auto"/>
      </w:pPr>
    </w:p>
    <w:p w:rsidR="00C26263" w:rsidRPr="001155D5" w:rsidRDefault="00C26263" w:rsidP="00886C19">
      <w:pPr>
        <w:pStyle w:val="Listeafsnit"/>
        <w:numPr>
          <w:ilvl w:val="0"/>
          <w:numId w:val="22"/>
        </w:numPr>
        <w:spacing w:after="0" w:line="240" w:lineRule="auto"/>
      </w:pPr>
      <w:r w:rsidRPr="001155D5">
        <w:rPr>
          <w:i/>
        </w:rPr>
        <w:t xml:space="preserve">Simple mapping of existing outputs and capacity is required. External, donor-driven in-depth capacity assessments should be avoided, and never be made as part of compressed formulation processes.(See box 4) </w:t>
      </w:r>
    </w:p>
    <w:p w:rsidR="001155D5" w:rsidRDefault="001155D5" w:rsidP="001155D5">
      <w:pPr>
        <w:spacing w:after="0" w:line="240" w:lineRule="auto"/>
      </w:pPr>
    </w:p>
    <w:p w:rsidR="001155D5" w:rsidRDefault="001155D5" w:rsidP="001155D5">
      <w:pPr>
        <w:pStyle w:val="Overskrift3"/>
      </w:pPr>
      <w:r>
        <w:t>Identifying capacity result areas – filling the “missing middle”</w:t>
      </w:r>
    </w:p>
    <w:p w:rsidR="001155D5" w:rsidRDefault="001155D5" w:rsidP="001155D5">
      <w:pPr>
        <w:spacing w:after="0" w:line="240" w:lineRule="auto"/>
      </w:pPr>
      <w:r>
        <w:t>As illustrated in figure 3, CD processes lead to capacity – which again leads to outputs. In the formulation phase, addressing CD implies a focus on the service or regulatory output areas where better performance is sought, the capacity required to deliver this performance on a sustainable basis – and finally, the CD processes that would foster this capacity in or among organisations. Note that CD processes may well target factors and actors in the context: involvement of citizens, the private sector and media may provide powerful incentives to enhance performance; effective external audits and anti-corruption efforts backed by the judiciary may limit vulnerabilities and enhance the cost and risks of rent-seeking.</w:t>
      </w:r>
    </w:p>
    <w:p w:rsidR="001155D5" w:rsidRDefault="001155D5" w:rsidP="001155D5">
      <w:pPr>
        <w:spacing w:after="0" w:line="240" w:lineRule="auto"/>
      </w:pPr>
    </w:p>
    <w:p w:rsidR="001155D5" w:rsidRDefault="001155D5" w:rsidP="001155D5">
      <w:pPr>
        <w:spacing w:after="0" w:line="240" w:lineRule="auto"/>
      </w:pPr>
      <w:r>
        <w:t xml:space="preserve">Calling </w:t>
      </w:r>
      <w:r w:rsidR="002B4A5A">
        <w:t xml:space="preserve">for </w:t>
      </w:r>
      <w:r>
        <w:t xml:space="preserve">immediate service delivery and regulatory efficiency, capacity and CD process </w:t>
      </w:r>
      <w:r w:rsidR="002B4A5A">
        <w:t xml:space="preserve">in </w:t>
      </w:r>
      <w:r>
        <w:t>the “missing middle” is useful</w:t>
      </w:r>
      <w:r>
        <w:rPr>
          <w:rStyle w:val="Fodnotehenvisning"/>
        </w:rPr>
        <w:footnoteReference w:id="8"/>
      </w:r>
      <w:r>
        <w:t xml:space="preserve"> because this is the </w:t>
      </w:r>
      <w:r w:rsidR="002B4A5A">
        <w:t>part</w:t>
      </w:r>
      <w:r>
        <w:t xml:space="preserve"> that is all too often neglected in sector policies and programmes that often assume, rather than specify, the link between outcome targets and inputs. Conversely, stand alone CD plans that are not linked to a broader sector policy or programme tend to focus on training, peer exchanges, systems developments and inputs to these processes – without specifying the capacity and performance this will lead to. Training, for example, does not by itself lead to capacity – at best it leads to individual skills enhancement, but whether these skills are actually put in use and whether that leads to better services is another question. </w:t>
      </w:r>
    </w:p>
    <w:p w:rsidR="001155D5" w:rsidRDefault="001155D5" w:rsidP="001155D5">
      <w:pPr>
        <w:spacing w:after="0" w:line="240" w:lineRule="auto"/>
      </w:pPr>
    </w:p>
    <w:tbl>
      <w:tblPr>
        <w:tblpPr w:leftFromText="141" w:rightFromText="141" w:vertAnchor="text" w:horzAnchor="margin" w:tblpY="-14"/>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704"/>
      </w:tblGrid>
      <w:tr w:rsidR="00C26263" w:rsidRPr="00D77582" w:rsidTr="002C3EA6">
        <w:tc>
          <w:tcPr>
            <w:tcW w:w="9704" w:type="dxa"/>
            <w:shd w:val="clear" w:color="auto" w:fill="4F81BD"/>
          </w:tcPr>
          <w:p w:rsidR="00C26263" w:rsidRPr="00D77582" w:rsidRDefault="00C26263" w:rsidP="008A4A7E">
            <w:pPr>
              <w:spacing w:after="0"/>
              <w:rPr>
                <w:b/>
                <w:bCs/>
                <w:color w:val="FFFFFF"/>
              </w:rPr>
            </w:pPr>
            <w:r>
              <w:rPr>
                <w:b/>
                <w:bCs/>
                <w:color w:val="FFFFFF"/>
              </w:rPr>
              <w:t>Box 4: The Role and Limitations of Capacity Assessments</w:t>
            </w:r>
          </w:p>
        </w:tc>
      </w:tr>
      <w:tr w:rsidR="00C26263" w:rsidRPr="00D77582" w:rsidTr="002C3EA6">
        <w:tc>
          <w:tcPr>
            <w:tcW w:w="9704" w:type="dxa"/>
            <w:shd w:val="clear" w:color="auto" w:fill="DBE5F1"/>
          </w:tcPr>
          <w:p w:rsidR="00C26263" w:rsidRDefault="00C26263" w:rsidP="002C3EA6">
            <w:pPr>
              <w:spacing w:after="0" w:line="240" w:lineRule="auto"/>
              <w:rPr>
                <w:bCs/>
                <w:sz w:val="20"/>
                <w:szCs w:val="20"/>
              </w:rPr>
            </w:pPr>
          </w:p>
          <w:p w:rsidR="00C26263" w:rsidRDefault="00C26263" w:rsidP="002C3EA6">
            <w:pPr>
              <w:spacing w:after="0" w:line="240" w:lineRule="auto"/>
              <w:rPr>
                <w:bCs/>
                <w:sz w:val="20"/>
                <w:szCs w:val="20"/>
              </w:rPr>
            </w:pPr>
            <w:r w:rsidRPr="002C3EA6">
              <w:rPr>
                <w:bCs/>
                <w:sz w:val="20"/>
                <w:szCs w:val="20"/>
              </w:rPr>
              <w:t xml:space="preserve">Capacity assessments are important for CD. But their effect depends crucially on </w:t>
            </w:r>
            <w:r w:rsidRPr="00FD3543">
              <w:rPr>
                <w:bCs/>
                <w:i/>
                <w:sz w:val="20"/>
                <w:szCs w:val="20"/>
              </w:rPr>
              <w:t>what,</w:t>
            </w:r>
            <w:r>
              <w:rPr>
                <w:bCs/>
                <w:sz w:val="20"/>
                <w:szCs w:val="20"/>
              </w:rPr>
              <w:t xml:space="preserve"> </w:t>
            </w:r>
            <w:r w:rsidRPr="002C3EA6">
              <w:rPr>
                <w:bCs/>
                <w:i/>
                <w:sz w:val="20"/>
                <w:szCs w:val="20"/>
              </w:rPr>
              <w:t>when, by whom and how</w:t>
            </w:r>
            <w:r w:rsidRPr="002C3EA6">
              <w:rPr>
                <w:bCs/>
                <w:sz w:val="20"/>
                <w:szCs w:val="20"/>
              </w:rPr>
              <w:t xml:space="preserve"> they are done.</w:t>
            </w:r>
          </w:p>
          <w:p w:rsidR="00C26263" w:rsidRDefault="00C26263" w:rsidP="002C3EA6">
            <w:pPr>
              <w:spacing w:after="0" w:line="240" w:lineRule="auto"/>
              <w:rPr>
                <w:bCs/>
                <w:sz w:val="20"/>
                <w:szCs w:val="20"/>
              </w:rPr>
            </w:pPr>
          </w:p>
          <w:p w:rsidR="00C26263" w:rsidRPr="00FD3543" w:rsidRDefault="00C26263" w:rsidP="002C3EA6">
            <w:pPr>
              <w:spacing w:after="0" w:line="240" w:lineRule="auto"/>
              <w:rPr>
                <w:bCs/>
                <w:sz w:val="20"/>
                <w:szCs w:val="20"/>
              </w:rPr>
            </w:pPr>
            <w:r>
              <w:rPr>
                <w:bCs/>
                <w:i/>
                <w:sz w:val="20"/>
                <w:szCs w:val="20"/>
              </w:rPr>
              <w:t xml:space="preserve">What: </w:t>
            </w:r>
            <w:r>
              <w:rPr>
                <w:bCs/>
                <w:sz w:val="20"/>
                <w:szCs w:val="20"/>
              </w:rPr>
              <w:t>Assessing the capacity in a sector is a very different exercise from assessing the capacity of e.g. a ministry. The former would look at networking and coordination capacity in the sector, policy making capacity, involvement of non-state actors etc. Recommendations would both touch mandates and roles, outreach and coordination in ther sector and thus be intimately linked to the overall sector policy. The latter would be likely to focus on opportunities for internal CD processes.</w:t>
            </w:r>
          </w:p>
          <w:p w:rsidR="00C26263" w:rsidRPr="002C3EA6" w:rsidRDefault="00C26263" w:rsidP="002C3EA6">
            <w:pPr>
              <w:spacing w:after="0" w:line="240" w:lineRule="auto"/>
              <w:rPr>
                <w:bCs/>
                <w:sz w:val="20"/>
                <w:szCs w:val="20"/>
              </w:rPr>
            </w:pPr>
          </w:p>
          <w:p w:rsidR="00C26263" w:rsidRPr="002C3EA6" w:rsidRDefault="00C26263" w:rsidP="002C3EA6">
            <w:pPr>
              <w:spacing w:after="0" w:line="240" w:lineRule="auto"/>
              <w:rPr>
                <w:bCs/>
                <w:sz w:val="20"/>
                <w:szCs w:val="20"/>
              </w:rPr>
            </w:pPr>
            <w:r w:rsidRPr="002C3EA6">
              <w:rPr>
                <w:bCs/>
                <w:i/>
                <w:sz w:val="20"/>
                <w:szCs w:val="20"/>
              </w:rPr>
              <w:t>Timing:</w:t>
            </w:r>
            <w:r w:rsidRPr="002C3EA6">
              <w:rPr>
                <w:bCs/>
                <w:sz w:val="20"/>
                <w:szCs w:val="20"/>
              </w:rPr>
              <w:t xml:space="preserve"> Assessments will inevitably be defensive if done when crisis lurks.  Done at a moment where donor support is being defined </w:t>
            </w:r>
            <w:r>
              <w:rPr>
                <w:bCs/>
                <w:sz w:val="20"/>
                <w:szCs w:val="20"/>
              </w:rPr>
              <w:t xml:space="preserve">may </w:t>
            </w:r>
            <w:r w:rsidRPr="002C3EA6">
              <w:rPr>
                <w:bCs/>
                <w:sz w:val="20"/>
                <w:szCs w:val="20"/>
              </w:rPr>
              <w:t xml:space="preserve">induce opportunistic behaviour – giving the donor the replies that the donor likes to hear (and shelving the report afterwards). </w:t>
            </w:r>
            <w:r>
              <w:rPr>
                <w:bCs/>
                <w:sz w:val="20"/>
                <w:szCs w:val="20"/>
              </w:rPr>
              <w:t xml:space="preserve"> The best timing will be when a reform- or CD-minded executive team dominates the sector or the organization – because they will be likely to use the assessment. </w:t>
            </w:r>
          </w:p>
          <w:p w:rsidR="00C26263" w:rsidRDefault="00C26263" w:rsidP="002C3EA6">
            <w:pPr>
              <w:spacing w:after="0" w:line="240" w:lineRule="auto"/>
              <w:rPr>
                <w:bCs/>
                <w:i/>
                <w:sz w:val="20"/>
                <w:szCs w:val="20"/>
              </w:rPr>
            </w:pPr>
          </w:p>
          <w:p w:rsidR="00C26263" w:rsidRPr="002C3EA6" w:rsidRDefault="00C26263" w:rsidP="002C3EA6">
            <w:pPr>
              <w:spacing w:after="0" w:line="240" w:lineRule="auto"/>
              <w:rPr>
                <w:bCs/>
                <w:sz w:val="20"/>
                <w:szCs w:val="20"/>
              </w:rPr>
            </w:pPr>
            <w:r w:rsidRPr="002C3EA6">
              <w:rPr>
                <w:bCs/>
                <w:i/>
                <w:sz w:val="20"/>
                <w:szCs w:val="20"/>
              </w:rPr>
              <w:t xml:space="preserve">By whom: </w:t>
            </w:r>
            <w:r w:rsidRPr="002C3EA6">
              <w:rPr>
                <w:bCs/>
                <w:sz w:val="20"/>
                <w:szCs w:val="20"/>
              </w:rPr>
              <w:t>All capacity assessments influence future change prospects positively or negatively. External assessments are often perceived as threatening, and/or used in internal political games. Self-assessments are best suited to generate energy and enthusiasm for change – but not if “right-sizing” or other cuts are on the agenda – turkeys don’t vote for Christmas!</w:t>
            </w:r>
            <w:r>
              <w:rPr>
                <w:bCs/>
                <w:sz w:val="20"/>
                <w:szCs w:val="20"/>
              </w:rPr>
              <w:t xml:space="preserve"> </w:t>
            </w:r>
            <w:r w:rsidR="00D92D2C">
              <w:rPr>
                <w:bCs/>
                <w:sz w:val="20"/>
                <w:szCs w:val="20"/>
              </w:rPr>
              <w:t>T</w:t>
            </w:r>
            <w:r>
              <w:rPr>
                <w:bCs/>
                <w:sz w:val="20"/>
                <w:szCs w:val="20"/>
              </w:rPr>
              <w:t>he ownership to CD analysis determines it’s potential usage as input in change processes, and therefore important questions to consider are:  who defines the need and scope of the CD analysis? Who writes the Terms of Reference and decides whom to contract for the process? Who are the main receivers of the CD assessment? Who decides what</w:t>
            </w:r>
            <w:r w:rsidR="00D92D2C">
              <w:rPr>
                <w:bCs/>
                <w:sz w:val="20"/>
                <w:szCs w:val="20"/>
              </w:rPr>
              <w:t xml:space="preserve"> is</w:t>
            </w:r>
            <w:r>
              <w:rPr>
                <w:bCs/>
                <w:sz w:val="20"/>
                <w:szCs w:val="20"/>
              </w:rPr>
              <w:t xml:space="preserve"> next, etc…? </w:t>
            </w:r>
          </w:p>
          <w:p w:rsidR="00C26263" w:rsidRDefault="00C26263" w:rsidP="002C3EA6">
            <w:pPr>
              <w:spacing w:after="0" w:line="240" w:lineRule="auto"/>
              <w:rPr>
                <w:bCs/>
                <w:i/>
                <w:sz w:val="20"/>
                <w:szCs w:val="20"/>
              </w:rPr>
            </w:pPr>
          </w:p>
          <w:p w:rsidR="00C26263" w:rsidRPr="002C3EA6" w:rsidRDefault="00C26263" w:rsidP="002C3EA6">
            <w:pPr>
              <w:spacing w:after="0" w:line="240" w:lineRule="auto"/>
              <w:rPr>
                <w:bCs/>
                <w:sz w:val="20"/>
                <w:szCs w:val="20"/>
              </w:rPr>
            </w:pPr>
            <w:r w:rsidRPr="002C3EA6">
              <w:rPr>
                <w:bCs/>
                <w:i/>
                <w:sz w:val="20"/>
                <w:szCs w:val="20"/>
              </w:rPr>
              <w:t xml:space="preserve">How: </w:t>
            </w:r>
            <w:r>
              <w:rPr>
                <w:bCs/>
                <w:sz w:val="20"/>
                <w:szCs w:val="20"/>
              </w:rPr>
              <w:t xml:space="preserve">Good capacity assessments explain how things work and why this is so, identifying the underlying causes. </w:t>
            </w:r>
            <w:r w:rsidRPr="002C3EA6">
              <w:rPr>
                <w:bCs/>
                <w:sz w:val="20"/>
                <w:szCs w:val="20"/>
              </w:rPr>
              <w:t>“Functional analyses”</w:t>
            </w:r>
            <w:r>
              <w:rPr>
                <w:bCs/>
                <w:sz w:val="20"/>
                <w:szCs w:val="20"/>
              </w:rPr>
              <w:t xml:space="preserve"> can be useful, but</w:t>
            </w:r>
            <w:r w:rsidRPr="002C3EA6">
              <w:rPr>
                <w:bCs/>
                <w:sz w:val="20"/>
                <w:szCs w:val="20"/>
              </w:rPr>
              <w:t xml:space="preserve"> often </w:t>
            </w:r>
            <w:r w:rsidR="00D92D2C">
              <w:rPr>
                <w:bCs/>
                <w:sz w:val="20"/>
                <w:szCs w:val="20"/>
              </w:rPr>
              <w:t>build on</w:t>
            </w:r>
            <w:r w:rsidRPr="002C3EA6">
              <w:rPr>
                <w:bCs/>
                <w:sz w:val="20"/>
                <w:szCs w:val="20"/>
              </w:rPr>
              <w:t xml:space="preserve"> universalistic prescriptions about the role of planning, results-management, monitoring, merit-based recruitment and promotion etc.</w:t>
            </w:r>
            <w:r>
              <w:rPr>
                <w:bCs/>
                <w:sz w:val="20"/>
                <w:szCs w:val="20"/>
              </w:rPr>
              <w:t xml:space="preserve"> They may</w:t>
            </w:r>
            <w:r w:rsidRPr="002C3EA6">
              <w:rPr>
                <w:bCs/>
                <w:sz w:val="20"/>
                <w:szCs w:val="20"/>
              </w:rPr>
              <w:t xml:space="preserve"> tend to focus on gaps and overlook the “political” aspects (including management and leadership issues) that shape actual performance (and change prospects). Gap-analysis risks de-motivate staff,</w:t>
            </w:r>
            <w:r>
              <w:rPr>
                <w:bCs/>
                <w:sz w:val="20"/>
                <w:szCs w:val="20"/>
              </w:rPr>
              <w:t xml:space="preserve"> while an</w:t>
            </w:r>
            <w:r w:rsidRPr="002C3EA6">
              <w:rPr>
                <w:bCs/>
                <w:sz w:val="20"/>
                <w:szCs w:val="20"/>
              </w:rPr>
              <w:t xml:space="preserve"> exclusive focus on strengths may not address root issues that explain performance. Overly detailed analysis and recommendations presented by external consultants may weaken buy-in</w:t>
            </w:r>
            <w:r>
              <w:rPr>
                <w:bCs/>
                <w:sz w:val="20"/>
                <w:szCs w:val="20"/>
              </w:rPr>
              <w:t xml:space="preserve"> – short, internal and by several standards superficial assessments may be starters that create momentum and, in due course, allows more detailed and analytically consistent assessments</w:t>
            </w:r>
            <w:r w:rsidRPr="002C3EA6">
              <w:rPr>
                <w:bCs/>
                <w:sz w:val="20"/>
                <w:szCs w:val="20"/>
              </w:rPr>
              <w:t>.</w:t>
            </w:r>
          </w:p>
          <w:p w:rsidR="00C26263" w:rsidRDefault="00C26263" w:rsidP="002C3EA6">
            <w:pPr>
              <w:spacing w:after="0" w:line="240" w:lineRule="auto"/>
              <w:rPr>
                <w:bCs/>
                <w:sz w:val="20"/>
                <w:szCs w:val="20"/>
              </w:rPr>
            </w:pPr>
          </w:p>
          <w:p w:rsidR="00C26263" w:rsidRDefault="00C26263" w:rsidP="002C3EA6">
            <w:pPr>
              <w:spacing w:after="0" w:line="240" w:lineRule="auto"/>
              <w:rPr>
                <w:bCs/>
                <w:sz w:val="20"/>
                <w:szCs w:val="20"/>
              </w:rPr>
            </w:pPr>
            <w:r w:rsidRPr="002C3EA6">
              <w:rPr>
                <w:bCs/>
                <w:sz w:val="20"/>
                <w:szCs w:val="20"/>
              </w:rPr>
              <w:t>Capacity assessments should always be considered as part and parcel of CD itself – not as a prec</w:t>
            </w:r>
            <w:r w:rsidR="001155D5">
              <w:rPr>
                <w:bCs/>
                <w:sz w:val="20"/>
                <w:szCs w:val="20"/>
              </w:rPr>
              <w:t>ursor. They will be a part – no</w:t>
            </w:r>
            <w:r w:rsidRPr="002C3EA6">
              <w:rPr>
                <w:bCs/>
                <w:sz w:val="20"/>
                <w:szCs w:val="20"/>
              </w:rPr>
              <w:t xml:space="preserve"> matter if they pretend </w:t>
            </w:r>
            <w:r>
              <w:rPr>
                <w:bCs/>
                <w:sz w:val="20"/>
                <w:szCs w:val="20"/>
              </w:rPr>
              <w:t>not to be</w:t>
            </w:r>
            <w:r w:rsidRPr="002C3EA6">
              <w:rPr>
                <w:bCs/>
                <w:sz w:val="20"/>
                <w:szCs w:val="20"/>
              </w:rPr>
              <w:t>!</w:t>
            </w:r>
          </w:p>
          <w:p w:rsidR="00C26263" w:rsidRPr="008931F9" w:rsidRDefault="00C26263" w:rsidP="002C3EA6">
            <w:pPr>
              <w:spacing w:after="0" w:line="240" w:lineRule="auto"/>
              <w:rPr>
                <w:bCs/>
              </w:rPr>
            </w:pPr>
          </w:p>
        </w:tc>
      </w:tr>
    </w:tbl>
    <w:p w:rsidR="00C26263" w:rsidRDefault="00C26263" w:rsidP="00653D0D">
      <w:pPr>
        <w:spacing w:after="0" w:line="240" w:lineRule="auto"/>
      </w:pPr>
    </w:p>
    <w:p w:rsidR="00C26263" w:rsidRDefault="00C26263" w:rsidP="00653D0D">
      <w:pPr>
        <w:spacing w:after="0" w:line="240" w:lineRule="auto"/>
      </w:pPr>
    </w:p>
    <w:p w:rsidR="00C26263" w:rsidRDefault="00C26263" w:rsidP="00653D0D">
      <w:pPr>
        <w:spacing w:after="0" w:line="240" w:lineRule="auto"/>
      </w:pPr>
      <w:r>
        <w:t>How well specified should service/regulation level outputs and capacity results be? There is not a general answer, because this depends on a number of factors, including the specificity of the services to be delivered, how easily the service can be standardized and measured (e.g. issuing identity-cards can easily be standardized and measured, treating patients in a health center cannot). However, the general advice is to focus on result areas, and not to use the occasion of the Danish formulation process to specify outputs, capacity and processes in great detail. There are various reasons for this caution:</w:t>
      </w:r>
    </w:p>
    <w:p w:rsidR="00C26263" w:rsidRDefault="00C26263" w:rsidP="00653D0D">
      <w:pPr>
        <w:spacing w:after="0" w:line="240" w:lineRule="auto"/>
      </w:pPr>
    </w:p>
    <w:p w:rsidR="00C26263" w:rsidRDefault="00C26263" w:rsidP="00C123C8">
      <w:pPr>
        <w:pStyle w:val="Listeafsnit"/>
        <w:numPr>
          <w:ilvl w:val="0"/>
          <w:numId w:val="31"/>
        </w:numPr>
        <w:spacing w:after="0" w:line="240" w:lineRule="auto"/>
      </w:pPr>
      <w:r>
        <w:t xml:space="preserve">CD processes are normally not best served by elaborate blueprints that tend to become strait-jackets rather than energizers of change. </w:t>
      </w:r>
    </w:p>
    <w:p w:rsidR="00C26263" w:rsidRDefault="00C26263" w:rsidP="00C123C8">
      <w:pPr>
        <w:pStyle w:val="Listeafsnit"/>
        <w:numPr>
          <w:ilvl w:val="0"/>
          <w:numId w:val="31"/>
        </w:numPr>
        <w:spacing w:after="0" w:line="240" w:lineRule="auto"/>
      </w:pPr>
      <w:r>
        <w:t>The formulation process may not coincide time-wise with the domestic windows of opportunity where it is meaningful to discuss these issues.</w:t>
      </w:r>
    </w:p>
    <w:p w:rsidR="00C26263" w:rsidRDefault="00C26263" w:rsidP="00C123C8">
      <w:pPr>
        <w:pStyle w:val="Listeafsnit"/>
        <w:numPr>
          <w:ilvl w:val="0"/>
          <w:numId w:val="31"/>
        </w:numPr>
        <w:spacing w:after="0" w:line="240" w:lineRule="auto"/>
      </w:pPr>
      <w:r>
        <w:t xml:space="preserve">The incentives and dynamics around the formulation phase may lead to apparent agreement and commitment to apparent “hard” results and indicators that will not stand the test of time.   </w:t>
      </w:r>
    </w:p>
    <w:p w:rsidR="00C26263" w:rsidRDefault="00C26263" w:rsidP="00D232EC">
      <w:pPr>
        <w:spacing w:after="0" w:line="240" w:lineRule="auto"/>
      </w:pPr>
    </w:p>
    <w:p w:rsidR="00C26263" w:rsidRDefault="00C26263" w:rsidP="00D232EC">
      <w:pPr>
        <w:spacing w:after="0" w:line="240" w:lineRule="auto"/>
      </w:pPr>
      <w:r>
        <w:t xml:space="preserve">The Danish formulation process can be a useful occasion to identify results areas and identify when and how specific results will be defined as part of the ongoing CD processes. Within the agreed broader strategic parameters and result areas, the focus is thus on clarifying how the continuous CD processes will be structured, organized and managed – rather than preparing detailed results and indicator frameworks.   </w:t>
      </w:r>
    </w:p>
    <w:p w:rsidR="00C26263" w:rsidRDefault="00C26263" w:rsidP="000D40A4">
      <w:pPr>
        <w:spacing w:after="0" w:line="240" w:lineRule="auto"/>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26263" w:rsidRPr="00D77582" w:rsidTr="00FE7F4D">
        <w:tc>
          <w:tcPr>
            <w:tcW w:w="9670" w:type="dxa"/>
            <w:shd w:val="clear" w:color="auto" w:fill="4F81BD"/>
          </w:tcPr>
          <w:p w:rsidR="00C26263" w:rsidRPr="00D77582" w:rsidRDefault="00C26263" w:rsidP="003F047C">
            <w:pPr>
              <w:spacing w:after="0" w:line="240" w:lineRule="auto"/>
              <w:rPr>
                <w:b/>
                <w:bCs/>
                <w:color w:val="FFFFFF"/>
              </w:rPr>
            </w:pPr>
            <w:r>
              <w:rPr>
                <w:b/>
                <w:bCs/>
                <w:color w:val="FFFFFF"/>
              </w:rPr>
              <w:t>Box 5: Results-based management, CD and external assistance</w:t>
            </w:r>
          </w:p>
        </w:tc>
      </w:tr>
      <w:tr w:rsidR="00C26263" w:rsidRPr="00D77582" w:rsidTr="00FE7F4D">
        <w:tc>
          <w:tcPr>
            <w:tcW w:w="9670" w:type="dxa"/>
            <w:shd w:val="clear" w:color="auto" w:fill="DBE5F1"/>
          </w:tcPr>
          <w:p w:rsidR="00C26263" w:rsidRPr="00770247" w:rsidRDefault="00C26263" w:rsidP="00770247">
            <w:pPr>
              <w:spacing w:after="0" w:line="240" w:lineRule="auto"/>
              <w:rPr>
                <w:sz w:val="20"/>
                <w:szCs w:val="20"/>
              </w:rPr>
            </w:pPr>
          </w:p>
          <w:p w:rsidR="00C26263" w:rsidRPr="00770247" w:rsidRDefault="00C26263" w:rsidP="00397DE5">
            <w:pPr>
              <w:spacing w:after="0" w:line="240" w:lineRule="auto"/>
              <w:rPr>
                <w:sz w:val="20"/>
                <w:szCs w:val="20"/>
              </w:rPr>
            </w:pPr>
            <w:r w:rsidRPr="00770247">
              <w:rPr>
                <w:sz w:val="20"/>
                <w:szCs w:val="20"/>
              </w:rPr>
              <w:t xml:space="preserve">This guidance note advocates a clear focus on results – particularly, in relation to CD, on services and regulatory performance, and the specific capacities that this requires. </w:t>
            </w:r>
            <w:r>
              <w:rPr>
                <w:sz w:val="20"/>
                <w:szCs w:val="20"/>
              </w:rPr>
              <w:t>To be effective, it is crucial that this results-orientation is</w:t>
            </w:r>
            <w:r w:rsidRPr="00770247">
              <w:rPr>
                <w:sz w:val="20"/>
                <w:szCs w:val="20"/>
              </w:rPr>
              <w:t xml:space="preserve"> sensitive to the nature of products and services, the specific context of incentives, and the particular dynamics around the donor-partner relationship.</w:t>
            </w:r>
          </w:p>
          <w:p w:rsidR="00C26263" w:rsidRPr="00770247" w:rsidRDefault="00C26263" w:rsidP="00397DE5">
            <w:pPr>
              <w:spacing w:after="0" w:line="240" w:lineRule="auto"/>
              <w:rPr>
                <w:sz w:val="20"/>
                <w:szCs w:val="20"/>
              </w:rPr>
            </w:pPr>
          </w:p>
          <w:p w:rsidR="00C26263" w:rsidRDefault="00C26263" w:rsidP="00D232EC">
            <w:pPr>
              <w:spacing w:after="0" w:line="240" w:lineRule="auto"/>
              <w:rPr>
                <w:sz w:val="20"/>
                <w:szCs w:val="20"/>
              </w:rPr>
            </w:pPr>
            <w:r w:rsidRPr="00770247">
              <w:rPr>
                <w:sz w:val="20"/>
                <w:szCs w:val="20"/>
              </w:rPr>
              <w:t xml:space="preserve">In particular, it is important to recognize the limitation of </w:t>
            </w:r>
            <w:r w:rsidRPr="00770247">
              <w:rPr>
                <w:i/>
                <w:sz w:val="20"/>
                <w:szCs w:val="20"/>
              </w:rPr>
              <w:t>formal approaches</w:t>
            </w:r>
            <w:r w:rsidRPr="00770247">
              <w:rPr>
                <w:sz w:val="20"/>
                <w:szCs w:val="20"/>
              </w:rPr>
              <w:t xml:space="preserve"> to results and CD which assume that establishing certain minimum requirements (policy documents, annual plans, budgets, results-frameworks and indicators) will have a significant impact on actual performance. In particular CD, but also the “real” policy processes in many developing countries (and developed, for that matter) are strongly informed by informal mechanisms, and develops according to shorter term events and opportunities. Formal documents are simply not good at delivering the desired behavior unless supplemented by a number of other instruments of influence.</w:t>
            </w:r>
            <w:r>
              <w:rPr>
                <w:sz w:val="20"/>
                <w:szCs w:val="20"/>
              </w:rPr>
              <w:t xml:space="preserve"> </w:t>
            </w:r>
            <w:r w:rsidR="00D92D2C">
              <w:rPr>
                <w:sz w:val="20"/>
                <w:szCs w:val="20"/>
              </w:rPr>
              <w:t xml:space="preserve"> They also tend to create strait-jackets for</w:t>
            </w:r>
            <w:r w:rsidR="002B4A5A">
              <w:rPr>
                <w:sz w:val="20"/>
                <w:szCs w:val="20"/>
              </w:rPr>
              <w:t xml:space="preserve"> later adaptation to changing c</w:t>
            </w:r>
            <w:r w:rsidR="00D92D2C">
              <w:rPr>
                <w:sz w:val="20"/>
                <w:szCs w:val="20"/>
              </w:rPr>
              <w:t>ircumstances.</w:t>
            </w:r>
          </w:p>
          <w:p w:rsidR="00C26263" w:rsidRPr="00D77582" w:rsidRDefault="00C26263" w:rsidP="00D232EC">
            <w:pPr>
              <w:spacing w:after="0" w:line="240" w:lineRule="auto"/>
              <w:rPr>
                <w:b/>
                <w:bCs/>
              </w:rPr>
            </w:pPr>
          </w:p>
        </w:tc>
      </w:tr>
    </w:tbl>
    <w:p w:rsidR="00C26263" w:rsidRDefault="00C26263" w:rsidP="000D40A4">
      <w:pPr>
        <w:spacing w:after="0" w:line="240" w:lineRule="auto"/>
      </w:pPr>
    </w:p>
    <w:p w:rsidR="00C26263" w:rsidRDefault="00C26263" w:rsidP="00770247">
      <w:pPr>
        <w:pStyle w:val="Overskrift3"/>
      </w:pPr>
      <w:r>
        <w:t>Clarifying endogenous resources for CD</w:t>
      </w:r>
    </w:p>
    <w:p w:rsidR="00C26263" w:rsidRDefault="00C26263" w:rsidP="00770247">
      <w:r>
        <w:t xml:space="preserve">Ownership is not a free good. CD will only happen if partners’ lead their own process and invest in it. This investment has to be clarified and specified in the formulation phase. </w:t>
      </w:r>
    </w:p>
    <w:p w:rsidR="00C26263" w:rsidRPr="00770247" w:rsidRDefault="00C26263" w:rsidP="00770247">
      <w:pPr>
        <w:pStyle w:val="Listeafsnit"/>
        <w:numPr>
          <w:ilvl w:val="0"/>
          <w:numId w:val="24"/>
        </w:numPr>
      </w:pPr>
      <w:r>
        <w:rPr>
          <w:i/>
        </w:rPr>
        <w:t xml:space="preserve">Clarify endogenous inputs required for successful CD </w:t>
      </w:r>
      <w:r w:rsidRPr="006159A2">
        <w:rPr>
          <w:i/>
          <w:u w:val="single"/>
        </w:rPr>
        <w:t>before</w:t>
      </w:r>
      <w:r>
        <w:rPr>
          <w:i/>
        </w:rPr>
        <w:t xml:space="preserve"> detailing external support. It is easy for all parties to focus on the latter – but the former matter</w:t>
      </w:r>
      <w:r w:rsidR="002B4A5A">
        <w:rPr>
          <w:i/>
        </w:rPr>
        <w:t>s</w:t>
      </w:r>
      <w:r>
        <w:rPr>
          <w:i/>
        </w:rPr>
        <w:t xml:space="preserve"> most!</w:t>
      </w:r>
    </w:p>
    <w:p w:rsidR="00C26263" w:rsidRPr="00770247" w:rsidRDefault="00C26263" w:rsidP="00770247">
      <w:pPr>
        <w:spacing w:after="0" w:line="240" w:lineRule="auto"/>
      </w:pPr>
      <w:r>
        <w:t>The investment is only rarely monetary, but the costs – and not least the opportunity costs – for the partners are significant. They include the investment of staff time across organizations (for specific CD planning and implementation at unit level, as well as for training), in some cases combined with diminished performance due to the disturbance that change also introduces. And they include change management, usually requiring that managers take charge of CD at all levels. CD is not done by a small “task force” or “change team” – they may lead and manage the overall process, but the burden of CD processes fall inevitably on line and unit managers, and their staff.  This said, it is crucial in the formulation phase to clarify how and by whom the CD process will be managed.</w:t>
      </w:r>
    </w:p>
    <w:p w:rsidR="00C26263" w:rsidRDefault="00C26263" w:rsidP="00B62FCA">
      <w:pPr>
        <w:spacing w:after="0" w:line="240" w:lineRule="auto"/>
        <w:rPr>
          <w:lang w:val="en-GB"/>
        </w:rPr>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26263" w:rsidRPr="00D77582" w:rsidTr="00B62FCA">
        <w:tc>
          <w:tcPr>
            <w:tcW w:w="9670" w:type="dxa"/>
            <w:shd w:val="clear" w:color="auto" w:fill="4F81BD"/>
          </w:tcPr>
          <w:p w:rsidR="00C26263" w:rsidRPr="00D77582" w:rsidRDefault="00C26263" w:rsidP="003F047C">
            <w:pPr>
              <w:spacing w:after="0" w:line="240" w:lineRule="auto"/>
              <w:rPr>
                <w:b/>
                <w:bCs/>
                <w:color w:val="FFFFFF"/>
              </w:rPr>
            </w:pPr>
            <w:r>
              <w:rPr>
                <w:b/>
                <w:bCs/>
                <w:color w:val="FFFFFF"/>
              </w:rPr>
              <w:t>Box 6: Change management – reaching up, down and out</w:t>
            </w:r>
          </w:p>
        </w:tc>
      </w:tr>
      <w:tr w:rsidR="00C26263" w:rsidRPr="00D77582" w:rsidTr="00B62FCA">
        <w:tc>
          <w:tcPr>
            <w:tcW w:w="9670" w:type="dxa"/>
            <w:shd w:val="clear" w:color="auto" w:fill="DBE5F1"/>
          </w:tcPr>
          <w:p w:rsidR="00C26263" w:rsidRDefault="00C26263" w:rsidP="00B62FCA">
            <w:pPr>
              <w:spacing w:after="0" w:line="240" w:lineRule="auto"/>
              <w:rPr>
                <w:sz w:val="20"/>
                <w:szCs w:val="20"/>
              </w:rPr>
            </w:pPr>
          </w:p>
          <w:p w:rsidR="00C26263" w:rsidRDefault="00C26263" w:rsidP="00AD30C8">
            <w:pPr>
              <w:spacing w:after="0" w:line="240" w:lineRule="auto"/>
              <w:rPr>
                <w:sz w:val="20"/>
                <w:szCs w:val="20"/>
              </w:rPr>
            </w:pPr>
            <w:r>
              <w:rPr>
                <w:sz w:val="20"/>
                <w:szCs w:val="20"/>
              </w:rPr>
              <w:t xml:space="preserve">Successful change management include selling change (and silencing opposition to change), getting the technical content right, and organizing and managing the change process on a daily basis. Some of these functions can be performed by outsiders, others not. </w:t>
            </w:r>
          </w:p>
          <w:p w:rsidR="00C26263" w:rsidRDefault="00C26263" w:rsidP="00AD30C8">
            <w:pPr>
              <w:spacing w:after="0" w:line="240" w:lineRule="auto"/>
              <w:rPr>
                <w:sz w:val="20"/>
                <w:szCs w:val="20"/>
              </w:rPr>
            </w:pPr>
          </w:p>
          <w:p w:rsidR="00C26263" w:rsidRDefault="00C26263" w:rsidP="00AD30C8">
            <w:pPr>
              <w:spacing w:after="0" w:line="240" w:lineRule="auto"/>
              <w:rPr>
                <w:sz w:val="20"/>
                <w:szCs w:val="20"/>
              </w:rPr>
            </w:pPr>
            <w:r>
              <w:rPr>
                <w:sz w:val="20"/>
                <w:szCs w:val="20"/>
              </w:rPr>
              <w:t xml:space="preserve">A change team needs the ability to reach up and get support from a top who is powerful enough and willing to support the CD agenda. They must also have legitimacy and capability to reach downwards inside the organization(s) involved. But change management also involves influencing external players: on the demand side, the change team needs to be able to reach out to customers/citizens; and on the supply-side they must be able to reach other organizations that co-produce (or allocate resources, or supervises) the services/regulatory functions that the CD process seek to enhance. </w:t>
            </w:r>
          </w:p>
          <w:p w:rsidR="00C26263" w:rsidRDefault="00C26263" w:rsidP="00AD30C8">
            <w:pPr>
              <w:spacing w:after="0" w:line="240" w:lineRule="auto"/>
              <w:rPr>
                <w:sz w:val="20"/>
                <w:szCs w:val="20"/>
              </w:rPr>
            </w:pPr>
          </w:p>
          <w:p w:rsidR="00C26263" w:rsidRDefault="00C26263" w:rsidP="007263DD">
            <w:pPr>
              <w:spacing w:after="0" w:line="240" w:lineRule="auto"/>
              <w:rPr>
                <w:sz w:val="20"/>
                <w:szCs w:val="20"/>
              </w:rPr>
            </w:pPr>
            <w:r>
              <w:rPr>
                <w:sz w:val="20"/>
                <w:szCs w:val="20"/>
              </w:rPr>
              <w:t xml:space="preserve">There is no standard best way of organizing CD processes. CD that focus on smaller organizational units that do not need to interact with a broad system (e.g. a fiscal policy unit) can often succeed through ring-fenced approaches – CD aiming at enhancing quality of education or health care cannot. Parallel or quasi-parallel units will often lack some of the in- and outreach capabilities. Part time task forces may end up being no time task forces because line functions take precedence. </w:t>
            </w:r>
          </w:p>
          <w:p w:rsidR="00C26263" w:rsidRDefault="00C26263" w:rsidP="007263DD">
            <w:pPr>
              <w:spacing w:after="0" w:line="240" w:lineRule="auto"/>
              <w:rPr>
                <w:sz w:val="20"/>
                <w:szCs w:val="20"/>
              </w:rPr>
            </w:pPr>
          </w:p>
          <w:p w:rsidR="00C26263" w:rsidRDefault="00C26263" w:rsidP="007263DD">
            <w:pPr>
              <w:spacing w:after="0" w:line="240" w:lineRule="auto"/>
              <w:rPr>
                <w:sz w:val="20"/>
                <w:szCs w:val="20"/>
              </w:rPr>
            </w:pPr>
            <w:r>
              <w:rPr>
                <w:sz w:val="20"/>
                <w:szCs w:val="20"/>
              </w:rPr>
              <w:t>Good practice is to ensure a reasonable fit between the nature of the desired capacity and performance, the scope of change, and the balance between autonomy and embeddedness of the change team.</w:t>
            </w:r>
          </w:p>
          <w:p w:rsidR="00C26263" w:rsidRDefault="00C26263" w:rsidP="007263DD">
            <w:pPr>
              <w:spacing w:after="0" w:line="240" w:lineRule="auto"/>
              <w:rPr>
                <w:sz w:val="20"/>
                <w:szCs w:val="20"/>
              </w:rPr>
            </w:pPr>
          </w:p>
          <w:p w:rsidR="00C26263" w:rsidRDefault="00C26263">
            <w:pPr>
              <w:spacing w:after="0" w:line="240" w:lineRule="auto"/>
              <w:rPr>
                <w:b/>
                <w:bCs/>
                <w:sz w:val="20"/>
                <w:szCs w:val="20"/>
              </w:rPr>
            </w:pPr>
          </w:p>
        </w:tc>
      </w:tr>
    </w:tbl>
    <w:p w:rsidR="00C26263" w:rsidRDefault="00C26263" w:rsidP="00B62FCA">
      <w:pPr>
        <w:spacing w:after="0" w:line="240" w:lineRule="auto"/>
        <w:rPr>
          <w:lang w:val="en-GB"/>
        </w:rPr>
      </w:pPr>
    </w:p>
    <w:p w:rsidR="00C26263" w:rsidRDefault="00C26263" w:rsidP="00B62FCA">
      <w:pPr>
        <w:spacing w:after="0" w:line="240" w:lineRule="auto"/>
        <w:rPr>
          <w:lang w:val="en-GB"/>
        </w:rPr>
      </w:pPr>
    </w:p>
    <w:p w:rsidR="00C26263" w:rsidRDefault="00C26263" w:rsidP="006159A2">
      <w:pPr>
        <w:pStyle w:val="Overskrift3"/>
        <w:rPr>
          <w:lang w:val="en-GB"/>
        </w:rPr>
      </w:pPr>
      <w:r>
        <w:rPr>
          <w:lang w:val="en-GB"/>
        </w:rPr>
        <w:t>Identifying possible CD support from donors, including Denmark</w:t>
      </w:r>
    </w:p>
    <w:p w:rsidR="00C26263" w:rsidRDefault="00C26263" w:rsidP="00EA2674">
      <w:pPr>
        <w:spacing w:after="0" w:line="240" w:lineRule="auto"/>
        <w:rPr>
          <w:lang w:val="en-GB"/>
        </w:rPr>
      </w:pPr>
      <w:r>
        <w:rPr>
          <w:lang w:val="en-GB"/>
        </w:rPr>
        <w:t>The formulation process as outlined is systematically working backwards from results, to processes, to endogenous inputs – and will finally consider if the partners’ CD processes will benefit from external assistance – and, if affirmative, which kind of external assistance.</w:t>
      </w:r>
    </w:p>
    <w:p w:rsidR="00C26263" w:rsidRDefault="00C26263" w:rsidP="00EA2674">
      <w:pPr>
        <w:spacing w:after="0" w:line="240" w:lineRule="auto"/>
        <w:rPr>
          <w:lang w:val="en-GB"/>
        </w:rPr>
      </w:pPr>
    </w:p>
    <w:p w:rsidR="00C26263" w:rsidRPr="006159A2" w:rsidRDefault="00C26263" w:rsidP="00EA2674">
      <w:pPr>
        <w:pStyle w:val="Listeafsnit"/>
        <w:numPr>
          <w:ilvl w:val="0"/>
          <w:numId w:val="24"/>
        </w:numPr>
        <w:spacing w:after="0" w:line="240" w:lineRule="auto"/>
        <w:rPr>
          <w:lang w:val="en-GB"/>
        </w:rPr>
      </w:pPr>
      <w:r>
        <w:rPr>
          <w:i/>
          <w:lang w:val="en-GB"/>
        </w:rPr>
        <w:t xml:space="preserve">Focusing on where the partners are, what they want to achieve, what they can and will do to enhance their capacity, and the resources they may be likely to invest in this given other priorities and incentives, is the core content of the identification and formulation processes. In many cases, accompanying dialogue from concerned partners may be all that can be done to support CD. Discussing additional support comes at the very end of the analytical and dialogue process.  </w:t>
      </w:r>
    </w:p>
    <w:p w:rsidR="00C26263" w:rsidRDefault="00C26263" w:rsidP="00EA2674">
      <w:pPr>
        <w:spacing w:after="0" w:line="240" w:lineRule="auto"/>
        <w:rPr>
          <w:lang w:val="en-GB"/>
        </w:rPr>
      </w:pPr>
    </w:p>
    <w:p w:rsidR="00C26263" w:rsidRDefault="00C26263" w:rsidP="00EA2674">
      <w:pPr>
        <w:spacing w:after="0" w:line="240" w:lineRule="auto"/>
        <w:rPr>
          <w:lang w:val="en-GB"/>
        </w:rPr>
      </w:pPr>
      <w:r>
        <w:rPr>
          <w:lang w:val="en-GB"/>
        </w:rPr>
        <w:t>The imperative of fostering joint donor support to CD has already been underlined, recognising that this is easier said than done. Donors – including Denmark – are committed to the harmonization and alignment agenda, but they have for multiple reasons an interest in adding support that enables them to maintain a degree of control, influence and insight that they do not perceive to get unless directly involved. They also have an interest in involving institutions, NGOs and consultants from their own country as part of making development assistance visible and politically acceptable.</w:t>
      </w:r>
    </w:p>
    <w:p w:rsidR="002B4A5A" w:rsidRDefault="002B4A5A" w:rsidP="00EA2674">
      <w:pPr>
        <w:spacing w:after="0" w:line="240" w:lineRule="auto"/>
        <w:rPr>
          <w:lang w:val="en-GB"/>
        </w:rPr>
      </w:pPr>
    </w:p>
    <w:p w:rsidR="00C26263" w:rsidRDefault="00C26263" w:rsidP="00EA2674">
      <w:pPr>
        <w:spacing w:after="0" w:line="240" w:lineRule="auto"/>
        <w:rPr>
          <w:lang w:val="en-GB"/>
        </w:rPr>
      </w:pPr>
      <w:r>
        <w:rPr>
          <w:lang w:val="en-GB"/>
        </w:rPr>
        <w:t>In terms of concrete support to CD processes, it is important to think “out of the box”, in particular thinking beyond the traditional figure of long-term international technical advisors.</w:t>
      </w:r>
      <w:r>
        <w:rPr>
          <w:rStyle w:val="Fodnotehenvisning"/>
          <w:lang w:val="en-GB"/>
        </w:rPr>
        <w:footnoteReference w:id="9"/>
      </w:r>
      <w:r>
        <w:rPr>
          <w:lang w:val="en-GB"/>
        </w:rPr>
        <w:t xml:space="preserve"> The effectiveness of CD support depends crucially on the partners’ demand and the “absorptive capacity” of the particular support. This may often imply that regional, peer-based mechanisms (secondments, reciprocal learning events, more formal peer reviews) may be relevant at some stage; involvement of domestic institutions and companies (universities, think-tanks and consultancies) may add relevance and add to capacity of these institutions; and other South-South mechanisms may also be appropriate.   </w:t>
      </w:r>
    </w:p>
    <w:p w:rsidR="00C26263" w:rsidRDefault="00C26263" w:rsidP="00EA2674">
      <w:pPr>
        <w:spacing w:after="0" w:line="240" w:lineRule="auto"/>
        <w:rPr>
          <w:lang w:val="en-GB"/>
        </w:rPr>
      </w:pPr>
    </w:p>
    <w:p w:rsidR="00C26263" w:rsidRDefault="00C26263" w:rsidP="00EA2674">
      <w:pPr>
        <w:spacing w:after="0" w:line="240" w:lineRule="auto"/>
        <w:rPr>
          <w:lang w:val="en-GB"/>
        </w:rPr>
      </w:pPr>
      <w:r>
        <w:rPr>
          <w:lang w:val="en-GB"/>
        </w:rPr>
        <w:t>Danish or like-minded expertise may add particular value, whether through advisers, consultants or twinning arrangements. However, this should never be considered as a default option.</w:t>
      </w:r>
    </w:p>
    <w:p w:rsidR="00C26263" w:rsidRDefault="00C26263" w:rsidP="00EA2674">
      <w:pPr>
        <w:spacing w:after="0" w:line="240" w:lineRule="auto"/>
        <w:rPr>
          <w:lang w:val="en-GB"/>
        </w:rPr>
      </w:pPr>
    </w:p>
    <w:p w:rsidR="00C26263" w:rsidRDefault="00C26263" w:rsidP="00B62FCA">
      <w:pPr>
        <w:spacing w:after="0" w:line="240" w:lineRule="auto"/>
        <w:rPr>
          <w:lang w:val="en-GB"/>
        </w:rPr>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26263" w:rsidRPr="00D77582" w:rsidTr="00AF1A41">
        <w:tc>
          <w:tcPr>
            <w:tcW w:w="9670" w:type="dxa"/>
            <w:shd w:val="clear" w:color="auto" w:fill="4F81BD"/>
          </w:tcPr>
          <w:p w:rsidR="00C26263" w:rsidRPr="00D77582" w:rsidRDefault="00C26263" w:rsidP="00FE7F4D">
            <w:pPr>
              <w:spacing w:after="0" w:line="240" w:lineRule="auto"/>
              <w:rPr>
                <w:b/>
                <w:bCs/>
                <w:color w:val="FFFFFF"/>
              </w:rPr>
            </w:pPr>
            <w:r>
              <w:rPr>
                <w:b/>
                <w:bCs/>
                <w:color w:val="FFFFFF"/>
              </w:rPr>
              <w:t>Box 6: Aid modalities and CD: Getting the horse before the chart</w:t>
            </w:r>
          </w:p>
        </w:tc>
      </w:tr>
      <w:tr w:rsidR="00C26263" w:rsidRPr="00D77582" w:rsidTr="00AF1A41">
        <w:tc>
          <w:tcPr>
            <w:tcW w:w="9670" w:type="dxa"/>
            <w:shd w:val="clear" w:color="auto" w:fill="DBE5F1"/>
          </w:tcPr>
          <w:p w:rsidR="00C26263" w:rsidRDefault="00C26263" w:rsidP="00FE7F4D">
            <w:pPr>
              <w:spacing w:after="0" w:line="240" w:lineRule="auto"/>
            </w:pPr>
          </w:p>
          <w:p w:rsidR="00C26263" w:rsidRPr="005E0F6B" w:rsidRDefault="00C26263" w:rsidP="00AF1A41">
            <w:pPr>
              <w:spacing w:after="0" w:line="240" w:lineRule="auto"/>
              <w:rPr>
                <w:sz w:val="20"/>
                <w:szCs w:val="20"/>
              </w:rPr>
            </w:pPr>
            <w:r w:rsidRPr="005E0F6B">
              <w:rPr>
                <w:sz w:val="20"/>
                <w:szCs w:val="20"/>
              </w:rPr>
              <w:t xml:space="preserve">There is presently a strong focus on </w:t>
            </w:r>
            <w:r w:rsidRPr="005E0F6B">
              <w:rPr>
                <w:i/>
                <w:sz w:val="20"/>
                <w:szCs w:val="20"/>
              </w:rPr>
              <w:t>aid modalities</w:t>
            </w:r>
            <w:r w:rsidRPr="005E0F6B">
              <w:rPr>
                <w:sz w:val="20"/>
                <w:szCs w:val="20"/>
              </w:rPr>
              <w:t xml:space="preserve"> among donors, particularly on </w:t>
            </w:r>
            <w:r w:rsidRPr="005E0F6B">
              <w:rPr>
                <w:i/>
                <w:sz w:val="20"/>
                <w:szCs w:val="20"/>
              </w:rPr>
              <w:t>(sector) budget support</w:t>
            </w:r>
            <w:r w:rsidRPr="005E0F6B">
              <w:rPr>
                <w:sz w:val="20"/>
                <w:szCs w:val="20"/>
              </w:rPr>
              <w:t xml:space="preserve">. </w:t>
            </w:r>
            <w:r>
              <w:rPr>
                <w:sz w:val="20"/>
                <w:szCs w:val="20"/>
              </w:rPr>
              <w:t xml:space="preserve">Despite all the development benefits derived from the harmonization and alignment agenda in general, the focus on getting the aid modalities right </w:t>
            </w:r>
            <w:r w:rsidRPr="005E0F6B">
              <w:rPr>
                <w:sz w:val="20"/>
                <w:szCs w:val="20"/>
              </w:rPr>
              <w:t xml:space="preserve">sometimes leads donors to see CD through the lenses of the choice of aid modality: CD support is defined with the purpose of making the aid modality effective and acceptable in terms of risks. This tends to </w:t>
            </w:r>
            <w:r w:rsidRPr="005E0F6B">
              <w:rPr>
                <w:i/>
                <w:sz w:val="20"/>
                <w:szCs w:val="20"/>
              </w:rPr>
              <w:t xml:space="preserve">put the chart in front of the horse, </w:t>
            </w:r>
            <w:r w:rsidRPr="005E0F6B">
              <w:rPr>
                <w:sz w:val="20"/>
                <w:szCs w:val="20"/>
              </w:rPr>
              <w:t>making the use of (sector) budget support an aim by itself. It risks diverting CD priorities from sector development challenges to aid effectiveness challenges.</w:t>
            </w:r>
          </w:p>
          <w:p w:rsidR="00C26263" w:rsidRPr="005E0F6B" w:rsidRDefault="00C26263" w:rsidP="00AF1A41">
            <w:pPr>
              <w:spacing w:after="0" w:line="240" w:lineRule="auto"/>
              <w:rPr>
                <w:sz w:val="20"/>
                <w:szCs w:val="20"/>
              </w:rPr>
            </w:pPr>
          </w:p>
          <w:p w:rsidR="00C26263" w:rsidRDefault="00C26263" w:rsidP="005625B7">
            <w:pPr>
              <w:spacing w:after="0" w:line="240" w:lineRule="auto"/>
            </w:pPr>
            <w:r w:rsidRPr="005E0F6B">
              <w:rPr>
                <w:sz w:val="20"/>
                <w:szCs w:val="20"/>
              </w:rPr>
              <w:t>A particular effect of this trend may be the focus on “upstream” capacity issues linked to planning, public financial management and procurement – not paying sufficient attention to front line implementation capacity and the realities on the ground that shape this capacity.</w:t>
            </w:r>
            <w:r>
              <w:t xml:space="preserve"> </w:t>
            </w:r>
          </w:p>
          <w:p w:rsidR="00C26263" w:rsidRPr="00D77582" w:rsidRDefault="00C26263" w:rsidP="005625B7">
            <w:pPr>
              <w:spacing w:after="0" w:line="240" w:lineRule="auto"/>
              <w:rPr>
                <w:b/>
                <w:bCs/>
              </w:rPr>
            </w:pPr>
          </w:p>
        </w:tc>
      </w:tr>
    </w:tbl>
    <w:p w:rsidR="00C26263" w:rsidRDefault="00C26263" w:rsidP="00E752D1">
      <w:pPr>
        <w:spacing w:after="0" w:line="240" w:lineRule="auto"/>
        <w:ind w:left="360"/>
        <w:rPr>
          <w:lang w:val="en-GB"/>
        </w:rPr>
      </w:pPr>
    </w:p>
    <w:p w:rsidR="00C26263" w:rsidRDefault="00C26263" w:rsidP="003B3022">
      <w:pPr>
        <w:pStyle w:val="Overskrift2"/>
        <w:rPr>
          <w:lang w:val="en-GB"/>
        </w:rPr>
      </w:pPr>
      <w:r>
        <w:rPr>
          <w:lang w:val="en-GB"/>
        </w:rPr>
        <w:t>Appraisal: Special emphasis on ownership</w:t>
      </w:r>
      <w:r w:rsidR="002B4A5A">
        <w:rPr>
          <w:lang w:val="en-GB"/>
        </w:rPr>
        <w:t xml:space="preserve"> (5 months before support approval)</w:t>
      </w:r>
    </w:p>
    <w:p w:rsidR="00C26263" w:rsidRDefault="00C26263" w:rsidP="00402302">
      <w:pPr>
        <w:spacing w:after="0" w:line="240" w:lineRule="auto"/>
        <w:rPr>
          <w:i/>
          <w:lang w:val="en-GB"/>
        </w:rPr>
      </w:pPr>
      <w:r>
        <w:rPr>
          <w:lang w:val="en-GB"/>
        </w:rPr>
        <w:t xml:space="preserve">Appraisal will in principle look at all the various issues discussed above relating to how CD is addressed in Danish support. However, the appraisal should put special emphasis on the </w:t>
      </w:r>
      <w:r w:rsidRPr="0094222E">
        <w:rPr>
          <w:i/>
          <w:lang w:val="en-GB"/>
        </w:rPr>
        <w:t>ownership aspects</w:t>
      </w:r>
      <w:r>
        <w:rPr>
          <w:lang w:val="en-GB"/>
        </w:rPr>
        <w:t>, both in relation to the wider partner programme and in relation to the Danish/donor support to this programme</w:t>
      </w:r>
      <w:r>
        <w:rPr>
          <w:i/>
          <w:lang w:val="en-GB"/>
        </w:rPr>
        <w:t>.</w:t>
      </w:r>
    </w:p>
    <w:p w:rsidR="00C26263" w:rsidRDefault="00C26263" w:rsidP="00402302">
      <w:pPr>
        <w:spacing w:after="0" w:line="240" w:lineRule="auto"/>
      </w:pPr>
    </w:p>
    <w:p w:rsidR="00C26263" w:rsidRDefault="00C26263" w:rsidP="00402302">
      <w:pPr>
        <w:spacing w:after="0" w:line="240" w:lineRule="auto"/>
      </w:pPr>
      <w:r>
        <w:t xml:space="preserve">The term ownership is vague. It can refer to individuals, groups or systems both inside and outside the state; it can be seen as a sum of conflicting positions for and against a certain endeavour or proposition; it can be assessed on informal expressions, formal contractual or semi-contractual commitments, or on actual past behavior. It can be viewed as a political issue shaped by revolving calculations of players in the political game, or as a more personal commitment to causes, principles and norms. </w:t>
      </w:r>
    </w:p>
    <w:p w:rsidR="00C26263" w:rsidRDefault="00C26263" w:rsidP="00402302">
      <w:pPr>
        <w:spacing w:after="0" w:line="240" w:lineRule="auto"/>
      </w:pPr>
    </w:p>
    <w:p w:rsidR="00C26263" w:rsidRPr="002B6E20" w:rsidRDefault="00C26263" w:rsidP="00402302">
      <w:pPr>
        <w:numPr>
          <w:ilvl w:val="0"/>
          <w:numId w:val="27"/>
        </w:numPr>
        <w:spacing w:after="0" w:line="240" w:lineRule="auto"/>
        <w:rPr>
          <w:i/>
        </w:rPr>
      </w:pPr>
      <w:r w:rsidRPr="00402302">
        <w:rPr>
          <w:i/>
        </w:rPr>
        <w:t>The broader</w:t>
      </w:r>
      <w:r>
        <w:rPr>
          <w:i/>
        </w:rPr>
        <w:t xml:space="preserve"> the scope of CD ambitions</w:t>
      </w:r>
      <w:r w:rsidRPr="00402302">
        <w:rPr>
          <w:i/>
        </w:rPr>
        <w:t>, the broader a concept of ownership should be employed</w:t>
      </w:r>
      <w:r>
        <w:rPr>
          <w:i/>
        </w:rPr>
        <w:t xml:space="preserve"> when appraising how CD is addressed</w:t>
      </w:r>
      <w:r w:rsidRPr="00402302">
        <w:rPr>
          <w:i/>
        </w:rPr>
        <w:t>, including political</w:t>
      </w:r>
      <w:r>
        <w:rPr>
          <w:i/>
        </w:rPr>
        <w:t xml:space="preserve"> and</w:t>
      </w:r>
      <w:r w:rsidRPr="00402302">
        <w:rPr>
          <w:i/>
        </w:rPr>
        <w:t xml:space="preserve"> institutional dynamics in and </w:t>
      </w:r>
      <w:r>
        <w:rPr>
          <w:i/>
        </w:rPr>
        <w:t>beyond the formal state apparatus</w:t>
      </w:r>
      <w:r w:rsidRPr="002B6E20">
        <w:rPr>
          <w:i/>
        </w:rPr>
        <w:t xml:space="preserve">. </w:t>
      </w:r>
    </w:p>
    <w:p w:rsidR="00C26263" w:rsidRDefault="00C26263" w:rsidP="00402302">
      <w:pPr>
        <w:spacing w:after="0" w:line="240" w:lineRule="auto"/>
      </w:pPr>
    </w:p>
    <w:p w:rsidR="00C26263" w:rsidRDefault="00C26263" w:rsidP="00402302">
      <w:pPr>
        <w:spacing w:after="0" w:line="240" w:lineRule="auto"/>
      </w:pPr>
      <w:r>
        <w:t>It can be useful to break down the ownership concept in more details, allowing a more detailed assessment of the actual strength and resilience of ownership</w:t>
      </w:r>
      <w:r>
        <w:rPr>
          <w:rStyle w:val="Fodnotehenvisning"/>
        </w:rPr>
        <w:footnoteReference w:id="10"/>
      </w:r>
      <w:r>
        <w:t>.</w:t>
      </w:r>
    </w:p>
    <w:p w:rsidR="00C26263" w:rsidRDefault="00C26263" w:rsidP="00402302">
      <w:pPr>
        <w:spacing w:after="0" w:line="240" w:lineRule="auto"/>
      </w:pPr>
    </w:p>
    <w:p w:rsidR="00C26263" w:rsidRDefault="00C26263" w:rsidP="00402302">
      <w:pPr>
        <w:numPr>
          <w:ilvl w:val="0"/>
          <w:numId w:val="25"/>
        </w:numPr>
        <w:autoSpaceDE w:val="0"/>
        <w:autoSpaceDN w:val="0"/>
        <w:adjustRightInd w:val="0"/>
        <w:spacing w:after="0" w:line="240" w:lineRule="auto"/>
      </w:pPr>
      <w:r>
        <w:t>There must be some degree of initiative from country stakeholders to signal ownership. If donors are entirely driving the attention to CD in policy- or programme development, then ownership is unlikely.</w:t>
      </w:r>
    </w:p>
    <w:p w:rsidR="00C26263" w:rsidRDefault="00C26263" w:rsidP="00402302">
      <w:pPr>
        <w:numPr>
          <w:ilvl w:val="0"/>
          <w:numId w:val="25"/>
        </w:numPr>
        <w:autoSpaceDE w:val="0"/>
        <w:autoSpaceDN w:val="0"/>
        <w:adjustRightInd w:val="0"/>
        <w:spacing w:after="0" w:line="240" w:lineRule="auto"/>
      </w:pPr>
      <w:r>
        <w:t>If c</w:t>
      </w:r>
      <w:r w:rsidRPr="00D42FBF">
        <w:t>ountry actors choose policies</w:t>
      </w:r>
      <w:r>
        <w:t>,</w:t>
      </w:r>
      <w:r w:rsidRPr="00D42FBF">
        <w:t xml:space="preserve"> actions</w:t>
      </w:r>
      <w:r>
        <w:t xml:space="preserve"> and priorities for CD</w:t>
      </w:r>
      <w:r w:rsidRPr="00D42FBF">
        <w:t xml:space="preserve"> based on their own </w:t>
      </w:r>
      <w:r>
        <w:t xml:space="preserve">balanced and relatively inclusive </w:t>
      </w:r>
      <w:r w:rsidRPr="00D42FBF">
        <w:t>assessment of the</w:t>
      </w:r>
      <w:r>
        <w:t xml:space="preserve"> </w:t>
      </w:r>
      <w:r w:rsidRPr="00D42FBF">
        <w:t>likely benefits and costs</w:t>
      </w:r>
      <w:r>
        <w:t>, then</w:t>
      </w:r>
      <w:r w:rsidRPr="00D42FBF">
        <w:t xml:space="preserve"> one can</w:t>
      </w:r>
      <w:r>
        <w:t xml:space="preserve"> </w:t>
      </w:r>
      <w:r w:rsidRPr="00D42FBF">
        <w:t>credibly speak of independently derived preferences</w:t>
      </w:r>
      <w:r>
        <w:t xml:space="preserve"> </w:t>
      </w:r>
      <w:r w:rsidRPr="00D42FBF">
        <w:t>and willingness to act</w:t>
      </w:r>
      <w:r>
        <w:t xml:space="preserve">. </w:t>
      </w:r>
    </w:p>
    <w:p w:rsidR="00C26263" w:rsidRDefault="00C26263" w:rsidP="00402302">
      <w:pPr>
        <w:numPr>
          <w:ilvl w:val="0"/>
          <w:numId w:val="25"/>
        </w:numPr>
        <w:autoSpaceDE w:val="0"/>
        <w:autoSpaceDN w:val="0"/>
        <w:adjustRightInd w:val="0"/>
        <w:spacing w:after="0" w:line="240" w:lineRule="auto"/>
      </w:pPr>
      <w:r>
        <w:t xml:space="preserve">If country decision makers reach out to build a domestic constituency (e.g. among the urban or business elite, labour unions or parliamentarians)  for reform and CD, thereby investing political capital, then ownership is likely. </w:t>
      </w:r>
    </w:p>
    <w:p w:rsidR="00C26263" w:rsidRDefault="00C26263" w:rsidP="00402302">
      <w:pPr>
        <w:numPr>
          <w:ilvl w:val="0"/>
          <w:numId w:val="25"/>
        </w:numPr>
        <w:autoSpaceDE w:val="0"/>
        <w:autoSpaceDN w:val="0"/>
        <w:adjustRightInd w:val="0"/>
        <w:spacing w:after="0" w:line="240" w:lineRule="auto"/>
      </w:pPr>
      <w:r>
        <w:t>Concrete investment of domestic resources – in the budget, in the form of manpower, leadership resources and follow-up on implementation – is a sign of ownership. Commitment to programmes fully funded by donors is, essentially, cost-free.</w:t>
      </w:r>
      <w:r w:rsidRPr="00202029">
        <w:t xml:space="preserve"> Looking at</w:t>
      </w:r>
      <w:r w:rsidRPr="00202029">
        <w:rPr>
          <w:b/>
        </w:rPr>
        <w:t xml:space="preserve"> </w:t>
      </w:r>
      <w:r w:rsidRPr="00202029">
        <w:t>formal declarations of intent – including policy documents and laws – is never enough</w:t>
      </w:r>
      <w:r>
        <w:t xml:space="preserve"> to confirm ownership</w:t>
      </w:r>
      <w:r w:rsidRPr="00202029">
        <w:t>.</w:t>
      </w:r>
    </w:p>
    <w:p w:rsidR="00C26263" w:rsidRDefault="00C26263" w:rsidP="00402302">
      <w:pPr>
        <w:numPr>
          <w:ilvl w:val="0"/>
          <w:numId w:val="25"/>
        </w:numPr>
        <w:autoSpaceDE w:val="0"/>
        <w:autoSpaceDN w:val="0"/>
        <w:adjustRightInd w:val="0"/>
        <w:spacing w:after="0" w:line="240" w:lineRule="auto"/>
      </w:pPr>
      <w:r>
        <w:t xml:space="preserve">The more detailed senior partner representatives can personally explain the kind of service/regulatory outputs they aim at, and how they will organize and manage the CD processes and the external support to these processes, the more likely is ownership.   </w:t>
      </w:r>
    </w:p>
    <w:p w:rsidR="00C26263" w:rsidRDefault="00C26263" w:rsidP="00402302">
      <w:pPr>
        <w:numPr>
          <w:ilvl w:val="0"/>
          <w:numId w:val="25"/>
        </w:numPr>
        <w:autoSpaceDE w:val="0"/>
        <w:autoSpaceDN w:val="0"/>
        <w:adjustRightInd w:val="0"/>
        <w:spacing w:after="0" w:line="240" w:lineRule="auto"/>
      </w:pPr>
      <w:r>
        <w:t>Ownership is evident if partners have already started CD processes with their own means. Conversely, if CD efforts will only start when donor support elements become available, then that may indicate low commitment and ownership.</w:t>
      </w:r>
    </w:p>
    <w:p w:rsidR="00C26263" w:rsidRDefault="00C26263" w:rsidP="00402302">
      <w:pPr>
        <w:numPr>
          <w:ilvl w:val="0"/>
          <w:numId w:val="25"/>
        </w:numPr>
        <w:autoSpaceDE w:val="0"/>
        <w:autoSpaceDN w:val="0"/>
        <w:adjustRightInd w:val="0"/>
        <w:spacing w:after="0" w:line="240" w:lineRule="auto"/>
      </w:pPr>
      <w:r>
        <w:t xml:space="preserve">CD support elements may be accepted as part of a wider package, rather than desired in their own right. CD support may also include amounts of discretionary funds (for training, workshops, study tours etc) and equipment (computers, software and in some cases transport) that fill voids in the budget and are demanded mostly for that reason – rather than for the wider CD perspectives as such.  </w:t>
      </w:r>
    </w:p>
    <w:p w:rsidR="00C26263" w:rsidRDefault="00C26263" w:rsidP="00402302">
      <w:pPr>
        <w:numPr>
          <w:ilvl w:val="0"/>
          <w:numId w:val="25"/>
        </w:numPr>
        <w:autoSpaceDE w:val="0"/>
        <w:autoSpaceDN w:val="0"/>
        <w:adjustRightInd w:val="0"/>
        <w:spacing w:after="0" w:line="240" w:lineRule="auto"/>
      </w:pPr>
      <w:r>
        <w:t xml:space="preserve">Setting a course and staying it, also when some resistance becomes visible, demonstrates commitment and ownership. </w:t>
      </w:r>
    </w:p>
    <w:p w:rsidR="00C26263" w:rsidRDefault="00C26263" w:rsidP="00F309B1">
      <w:pPr>
        <w:autoSpaceDE w:val="0"/>
        <w:autoSpaceDN w:val="0"/>
        <w:adjustRightInd w:val="0"/>
        <w:spacing w:after="0" w:line="240" w:lineRule="auto"/>
        <w:ind w:left="720"/>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26263" w:rsidRPr="00D77582" w:rsidTr="00302C59">
        <w:tc>
          <w:tcPr>
            <w:tcW w:w="9670" w:type="dxa"/>
            <w:shd w:val="clear" w:color="auto" w:fill="4F81BD"/>
          </w:tcPr>
          <w:p w:rsidR="00C26263" w:rsidRPr="00D77582" w:rsidRDefault="00C26263" w:rsidP="00F309B1">
            <w:pPr>
              <w:spacing w:after="0" w:line="240" w:lineRule="auto"/>
              <w:rPr>
                <w:b/>
                <w:bCs/>
                <w:color w:val="FFFFFF"/>
              </w:rPr>
            </w:pPr>
            <w:r>
              <w:rPr>
                <w:b/>
                <w:bCs/>
                <w:color w:val="FFFFFF"/>
              </w:rPr>
              <w:t>Box 7: What ownership is not…</w:t>
            </w:r>
          </w:p>
        </w:tc>
      </w:tr>
      <w:tr w:rsidR="00C26263" w:rsidRPr="00D77582" w:rsidTr="00302C59">
        <w:tc>
          <w:tcPr>
            <w:tcW w:w="9670" w:type="dxa"/>
            <w:shd w:val="clear" w:color="auto" w:fill="DBE5F1"/>
          </w:tcPr>
          <w:p w:rsidR="00C26263" w:rsidRPr="005E0F6B" w:rsidRDefault="00C26263" w:rsidP="00302C59">
            <w:pPr>
              <w:spacing w:after="0" w:line="240" w:lineRule="auto"/>
              <w:rPr>
                <w:sz w:val="20"/>
                <w:szCs w:val="20"/>
              </w:rPr>
            </w:pPr>
          </w:p>
          <w:p w:rsidR="00C26263" w:rsidRPr="005E0F6B" w:rsidRDefault="00C26263" w:rsidP="00F309B1">
            <w:pPr>
              <w:spacing w:after="0" w:line="240" w:lineRule="auto"/>
              <w:rPr>
                <w:sz w:val="20"/>
                <w:szCs w:val="20"/>
              </w:rPr>
            </w:pPr>
            <w:r w:rsidRPr="005E0F6B">
              <w:rPr>
                <w:sz w:val="20"/>
                <w:szCs w:val="20"/>
              </w:rPr>
              <w:t xml:space="preserve">Sometimes partners may unequivocally demand CD support from donors in the form of additional flexible resources – based on an analysis that largely boils down to affirming that the partners’ capacity is sufficient, and that the partner just need additional resource to deliver additional services. The ownership discourse may be invoked as an argument that donors should accommodate such wishes, also if they do not agree with the underlying analysis. And when donors do not accommodate such request, their credibility regarding how serious they are about “ownership” is often questioned. </w:t>
            </w:r>
          </w:p>
          <w:p w:rsidR="00C26263" w:rsidRPr="005E0F6B" w:rsidRDefault="00C26263" w:rsidP="00F309B1">
            <w:pPr>
              <w:spacing w:after="0" w:line="240" w:lineRule="auto"/>
              <w:rPr>
                <w:sz w:val="20"/>
                <w:szCs w:val="20"/>
              </w:rPr>
            </w:pPr>
          </w:p>
          <w:p w:rsidR="00C26263" w:rsidRPr="005E0F6B" w:rsidRDefault="00C26263" w:rsidP="004D3017">
            <w:pPr>
              <w:spacing w:after="0" w:line="240" w:lineRule="auto"/>
              <w:rPr>
                <w:sz w:val="20"/>
                <w:szCs w:val="20"/>
              </w:rPr>
            </w:pPr>
            <w:r w:rsidRPr="005E0F6B">
              <w:rPr>
                <w:sz w:val="20"/>
                <w:szCs w:val="20"/>
              </w:rPr>
              <w:t>Effectively, in such situations, the partnership dialogue is no longer effective, and the ownership-discourse has become a bargaining chip.</w:t>
            </w:r>
          </w:p>
          <w:p w:rsidR="00C26263" w:rsidRPr="005E0F6B" w:rsidRDefault="00C26263" w:rsidP="004D3017">
            <w:pPr>
              <w:spacing w:after="0" w:line="240" w:lineRule="auto"/>
              <w:rPr>
                <w:sz w:val="20"/>
                <w:szCs w:val="20"/>
              </w:rPr>
            </w:pPr>
          </w:p>
          <w:p w:rsidR="00C26263" w:rsidRPr="005E0F6B" w:rsidRDefault="00C26263" w:rsidP="004D3017">
            <w:pPr>
              <w:spacing w:after="0" w:line="240" w:lineRule="auto"/>
              <w:rPr>
                <w:sz w:val="20"/>
                <w:szCs w:val="20"/>
              </w:rPr>
            </w:pPr>
            <w:r w:rsidRPr="005E0F6B">
              <w:rPr>
                <w:sz w:val="20"/>
                <w:szCs w:val="20"/>
              </w:rPr>
              <w:t>Ownership is, however, not about one partner deciding and the other following – whether or not the other agree. The partners have to lead – but leadership builds on convincing others to follow, through evidence, arguments and actions, not by decree. Donors should not support endeavours they do not believe will be effective towards the goals donors pursue.</w:t>
            </w:r>
          </w:p>
          <w:p w:rsidR="00C26263" w:rsidRPr="005E0F6B" w:rsidRDefault="00C26263" w:rsidP="004D3017">
            <w:pPr>
              <w:spacing w:after="0" w:line="240" w:lineRule="auto"/>
              <w:rPr>
                <w:sz w:val="20"/>
                <w:szCs w:val="20"/>
              </w:rPr>
            </w:pPr>
          </w:p>
          <w:p w:rsidR="00C26263" w:rsidRPr="005E0F6B" w:rsidRDefault="00C26263" w:rsidP="004D3017">
            <w:pPr>
              <w:spacing w:after="0" w:line="240" w:lineRule="auto"/>
              <w:rPr>
                <w:sz w:val="20"/>
                <w:szCs w:val="20"/>
              </w:rPr>
            </w:pPr>
            <w:r w:rsidRPr="005E0F6B">
              <w:rPr>
                <w:sz w:val="20"/>
                <w:szCs w:val="20"/>
              </w:rPr>
              <w:t xml:space="preserve">But – conversely – donors should not push their agenda ahead if there is no country ownership. It is simply not likely to work.    </w:t>
            </w:r>
          </w:p>
          <w:p w:rsidR="00C26263" w:rsidRPr="005E0F6B" w:rsidRDefault="00C26263" w:rsidP="004D3017">
            <w:pPr>
              <w:spacing w:after="0" w:line="240" w:lineRule="auto"/>
              <w:rPr>
                <w:sz w:val="20"/>
                <w:szCs w:val="20"/>
              </w:rPr>
            </w:pPr>
          </w:p>
          <w:p w:rsidR="00C26263" w:rsidRDefault="00C26263" w:rsidP="005E0F6B">
            <w:pPr>
              <w:spacing w:after="0" w:line="240" w:lineRule="auto"/>
            </w:pPr>
            <w:r w:rsidRPr="005E0F6B">
              <w:rPr>
                <w:sz w:val="20"/>
                <w:szCs w:val="20"/>
              </w:rPr>
              <w:t>A practical way out of the “ownership squeeze” is to ensure that dialogue about CD starts with outputs, capacity, CD processes and endogenous inputs to these – and ends with possible need for external support. Which may, in some cases, mainly be additional, flexible resources!</w:t>
            </w:r>
            <w:r>
              <w:t xml:space="preserve"> </w:t>
            </w:r>
          </w:p>
          <w:p w:rsidR="00C26263" w:rsidRPr="00D77582" w:rsidRDefault="00C26263" w:rsidP="005E0F6B">
            <w:pPr>
              <w:spacing w:after="0" w:line="240" w:lineRule="auto"/>
              <w:rPr>
                <w:b/>
                <w:bCs/>
              </w:rPr>
            </w:pPr>
          </w:p>
        </w:tc>
      </w:tr>
    </w:tbl>
    <w:p w:rsidR="00C26263" w:rsidRDefault="00C26263" w:rsidP="00EA2674">
      <w:pPr>
        <w:autoSpaceDE w:val="0"/>
        <w:autoSpaceDN w:val="0"/>
        <w:adjustRightInd w:val="0"/>
        <w:spacing w:after="0" w:line="240" w:lineRule="auto"/>
      </w:pPr>
    </w:p>
    <w:p w:rsidR="00C26263" w:rsidRDefault="00C26263" w:rsidP="00202029">
      <w:pPr>
        <w:autoSpaceDE w:val="0"/>
        <w:autoSpaceDN w:val="0"/>
        <w:adjustRightInd w:val="0"/>
        <w:spacing w:after="0" w:line="240" w:lineRule="auto"/>
      </w:pPr>
      <w:r>
        <w:t>Appraising ownership is not an objective science, and in practice the concern for ownership of CD processes will be balanced against other concerns about timely processing of Danish aid. It is important to b</w:t>
      </w:r>
      <w:r w:rsidRPr="00202029">
        <w:t>e realistic about the “capacity for ownership” – it may for good reasons be limited</w:t>
      </w:r>
      <w:r>
        <w:t>, and more limited than would seem required to achieve the CD objectives of the partners programme and therefore using Danish support effectively.</w:t>
      </w:r>
    </w:p>
    <w:p w:rsidR="00C26263" w:rsidRDefault="00C26263" w:rsidP="00202029">
      <w:pPr>
        <w:autoSpaceDE w:val="0"/>
        <w:autoSpaceDN w:val="0"/>
        <w:adjustRightInd w:val="0"/>
        <w:spacing w:after="0" w:line="240" w:lineRule="auto"/>
      </w:pPr>
    </w:p>
    <w:p w:rsidR="00C26263" w:rsidRDefault="00C26263" w:rsidP="00202029">
      <w:pPr>
        <w:autoSpaceDE w:val="0"/>
        <w:autoSpaceDN w:val="0"/>
        <w:adjustRightInd w:val="0"/>
        <w:spacing w:after="0" w:line="240" w:lineRule="auto"/>
      </w:pPr>
      <w:r>
        <w:t>There are several, non-exclusive ways out of this dilemma:</w:t>
      </w:r>
    </w:p>
    <w:p w:rsidR="00C26263" w:rsidRDefault="00C26263" w:rsidP="00202029">
      <w:pPr>
        <w:pStyle w:val="Listeafsnit"/>
        <w:numPr>
          <w:ilvl w:val="0"/>
          <w:numId w:val="28"/>
        </w:numPr>
        <w:autoSpaceDE w:val="0"/>
        <w:autoSpaceDN w:val="0"/>
        <w:adjustRightInd w:val="0"/>
        <w:spacing w:after="0" w:line="240" w:lineRule="auto"/>
      </w:pPr>
      <w:r>
        <w:t>The CD ambitions of the programme - and the Danish support to CD – may be reduced.</w:t>
      </w:r>
    </w:p>
    <w:p w:rsidR="00C26263" w:rsidRDefault="00C26263" w:rsidP="00202029">
      <w:pPr>
        <w:pStyle w:val="Listeafsnit"/>
        <w:numPr>
          <w:ilvl w:val="0"/>
          <w:numId w:val="28"/>
        </w:numPr>
        <w:autoSpaceDE w:val="0"/>
        <w:autoSpaceDN w:val="0"/>
        <w:adjustRightInd w:val="0"/>
        <w:spacing w:after="0" w:line="240" w:lineRule="auto"/>
      </w:pPr>
      <w:r>
        <w:t>Additional efforts may be added to foster ownership as the programme develops</w:t>
      </w:r>
    </w:p>
    <w:p w:rsidR="00C26263" w:rsidRDefault="00C26263" w:rsidP="00202029">
      <w:pPr>
        <w:pStyle w:val="Listeafsnit"/>
        <w:numPr>
          <w:ilvl w:val="0"/>
          <w:numId w:val="28"/>
        </w:numPr>
        <w:autoSpaceDE w:val="0"/>
        <w:autoSpaceDN w:val="0"/>
        <w:adjustRightInd w:val="0"/>
        <w:spacing w:after="0" w:line="240" w:lineRule="auto"/>
      </w:pPr>
      <w:r>
        <w:t>The support may be kept flexible so that it can be adjusted to the ebbs and tides of ownership as it develops</w:t>
      </w:r>
    </w:p>
    <w:p w:rsidR="00C26263" w:rsidRDefault="00C26263" w:rsidP="00202029">
      <w:pPr>
        <w:pStyle w:val="Listeafsnit"/>
        <w:numPr>
          <w:ilvl w:val="0"/>
          <w:numId w:val="28"/>
        </w:numPr>
        <w:autoSpaceDE w:val="0"/>
        <w:autoSpaceDN w:val="0"/>
        <w:adjustRightInd w:val="0"/>
        <w:spacing w:after="0" w:line="240" w:lineRule="auto"/>
      </w:pPr>
      <w:r>
        <w:t>It may be accepted up front that the CD ambitions are unlikely to be fully achieved – but still considered useful to maintain the high mark to force as much attention to CD as possible.</w:t>
      </w:r>
    </w:p>
    <w:p w:rsidR="00C26263" w:rsidRDefault="00C26263" w:rsidP="003B3022">
      <w:pPr>
        <w:rPr>
          <w:lang w:val="en-GB"/>
        </w:rPr>
      </w:pPr>
      <w:r>
        <w:rPr>
          <w:lang w:val="en-GB"/>
        </w:rPr>
        <w:t xml:space="preserve">  </w:t>
      </w:r>
    </w:p>
    <w:p w:rsidR="00C26263" w:rsidRPr="003B3022" w:rsidRDefault="00C26263" w:rsidP="003B3022">
      <w:pPr>
        <w:pStyle w:val="Overskrift2"/>
        <w:rPr>
          <w:lang w:val="en-GB"/>
        </w:rPr>
      </w:pPr>
      <w:r>
        <w:rPr>
          <w:lang w:val="en-GB"/>
        </w:rPr>
        <w:t>Implementation, monitoring and reviews</w:t>
      </w:r>
    </w:p>
    <w:p w:rsidR="00C26263" w:rsidRDefault="00C26263" w:rsidP="00202029">
      <w:pPr>
        <w:spacing w:after="0" w:line="240" w:lineRule="auto"/>
      </w:pPr>
      <w:r>
        <w:t xml:space="preserve">Addressing CD during implementation of (sector) policies and programmes is primordially the responsibility of the partners. Monitoring is also primarily a partner responsibility, with the role of donors being in principle to “monitor the monitoring”. </w:t>
      </w:r>
    </w:p>
    <w:p w:rsidR="00C26263" w:rsidRDefault="00C26263" w:rsidP="00202029">
      <w:pPr>
        <w:spacing w:after="0" w:line="240" w:lineRule="auto"/>
      </w:pPr>
    </w:p>
    <w:p w:rsidR="00C26263" w:rsidRDefault="00C26263" w:rsidP="00202029">
      <w:pPr>
        <w:spacing w:after="0" w:line="240" w:lineRule="auto"/>
      </w:pPr>
      <w:r>
        <w:t xml:space="preserve">This, however, is not enough. To be able to adapt support to CD – or agreed results-frameworks - Danish embassies (or lead donors in multi-donor arrangements) need to accompany the process to ascertain how energy and commitment develops, and if and how capacity evolves that translates into improved front line performance. </w:t>
      </w:r>
    </w:p>
    <w:p w:rsidR="00C26263" w:rsidRDefault="00C26263" w:rsidP="00202029">
      <w:pPr>
        <w:spacing w:after="0" w:line="240" w:lineRule="auto"/>
      </w:pPr>
    </w:p>
    <w:p w:rsidR="00C26263" w:rsidRDefault="00C26263" w:rsidP="00202029">
      <w:pPr>
        <w:spacing w:after="0" w:line="240" w:lineRule="auto"/>
      </w:pPr>
      <w:r>
        <w:t>This requires effective dialogue (in sector working groups and similar arrangements), active networking (also beyond government) and “scouting capabilities” beyond what formal meetings and regular formal reviews and reports are likely to deliver. It is particularly important that the accompaniment include participation in visits at the front-line – reports and statistics will not suffice.</w:t>
      </w:r>
    </w:p>
    <w:p w:rsidR="00C26263" w:rsidRDefault="00C26263" w:rsidP="00202029">
      <w:pPr>
        <w:spacing w:after="0" w:line="240" w:lineRule="auto"/>
      </w:pPr>
    </w:p>
    <w:p w:rsidR="00C26263" w:rsidRDefault="00C26263" w:rsidP="00202029">
      <w:pPr>
        <w:spacing w:after="0" w:line="240" w:lineRule="auto"/>
      </w:pPr>
      <w:r>
        <w:t xml:space="preserve">Addressing CD during implementation is not an additional activity on top on other dialogue and monitoring efforts, but a fully integrated part of these. But it does imply a relatively hands-on role of embassy staff because they can add value in two ways: They can be brokers between domestic stakeholders with a view of enhancing the change readiness and ownership, and they can modify the Danish support elements to the opportunities and constraints that arise. </w:t>
      </w:r>
    </w:p>
    <w:p w:rsidR="00C26263" w:rsidRDefault="00C26263" w:rsidP="00202029">
      <w:pPr>
        <w:spacing w:after="0" w:line="240" w:lineRule="auto"/>
      </w:pPr>
    </w:p>
    <w:p w:rsidR="00C26263" w:rsidRDefault="00C26263" w:rsidP="00202029">
      <w:pPr>
        <w:spacing w:after="0" w:line="240" w:lineRule="auto"/>
      </w:pPr>
      <w:r>
        <w:t>The intensity of the accompaniment has to be measured to avoid that transactions costs escalates, but donors can add significant value through these processes, particular when sector and CD expertise is applied. The focus will be on the elements indicated in figure 5:</w:t>
      </w:r>
    </w:p>
    <w:p w:rsidR="00C26263" w:rsidRDefault="00C26263" w:rsidP="00C123C8">
      <w:pPr>
        <w:spacing w:after="0" w:line="240" w:lineRule="auto"/>
        <w:jc w:val="center"/>
        <w:rPr>
          <w:lang w:val="da-DK"/>
        </w:rPr>
      </w:pPr>
      <w:r w:rsidRPr="0035637E">
        <w:rPr>
          <w:lang w:val="da-DK"/>
        </w:rPr>
        <w:object w:dxaOrig="7146" w:dyaOrig="5355">
          <v:shape id="_x0000_i1026" type="#_x0000_t75" style="width:354pt;height:264.75pt" o:ole="">
            <v:imagedata r:id="rId29" o:title=""/>
          </v:shape>
          <o:OLEObject Type="Embed" ProgID="PowerPoint.Slide.12" ShapeID="_x0000_i1026" DrawAspect="Content" ObjectID="_1339238440" r:id="rId30"/>
        </w:object>
      </w:r>
    </w:p>
    <w:p w:rsidR="00C26263" w:rsidRDefault="00C26263" w:rsidP="00C123C8">
      <w:pPr>
        <w:spacing w:after="0" w:line="240" w:lineRule="auto"/>
        <w:rPr>
          <w:lang w:val="da-DK"/>
        </w:rPr>
      </w:pPr>
    </w:p>
    <w:p w:rsidR="00C26263" w:rsidRDefault="00C26263" w:rsidP="00C123C8">
      <w:pPr>
        <w:spacing w:after="0" w:line="240" w:lineRule="auto"/>
      </w:pPr>
      <w:r>
        <w:t xml:space="preserve">Notably, the focus of the monitoring is </w:t>
      </w:r>
      <w:r w:rsidRPr="00C123C8">
        <w:rPr>
          <w:i/>
        </w:rPr>
        <w:t>not</w:t>
      </w:r>
      <w:r>
        <w:t xml:space="preserve"> on the effectiveness of Danish CD support, but on the effectiveness of the </w:t>
      </w:r>
      <w:r>
        <w:rPr>
          <w:i/>
        </w:rPr>
        <w:t>combined efforts</w:t>
      </w:r>
      <w:r>
        <w:t xml:space="preserve"> of domestic stakeholders and external cooperation. While it is reasonable to look at the quality, relevance and timeliness of e.g. a study tour, or a consultancy deliverable or a training course, then attention to CD implies first and foremost a focus on how these activities and deliverables have been used, and if and how this use translates into enhanced performance and better results.</w:t>
      </w:r>
    </w:p>
    <w:p w:rsidR="00C26263" w:rsidRDefault="00C26263" w:rsidP="00C123C8">
      <w:pPr>
        <w:spacing w:after="0" w:line="240" w:lineRule="auto"/>
      </w:pPr>
    </w:p>
    <w:p w:rsidR="00C26263" w:rsidRPr="00DD7ADF" w:rsidRDefault="00C26263" w:rsidP="00C123C8">
      <w:pPr>
        <w:spacing w:after="0" w:line="240" w:lineRule="auto"/>
      </w:pPr>
      <w:r>
        <w:t xml:space="preserve">This, again, also depends on the external factors in and across sectors, and on the continued commitment to and ownership of the capacity development agenda of the partner.  </w:t>
      </w:r>
    </w:p>
    <w:p w:rsidR="00C26263" w:rsidRDefault="00C26263" w:rsidP="00B07706">
      <w:pPr>
        <w:pStyle w:val="Overskrift1"/>
        <w:numPr>
          <w:ilvl w:val="0"/>
          <w:numId w:val="11"/>
        </w:numPr>
      </w:pPr>
      <w:r>
        <w:t>Risk Management</w:t>
      </w:r>
    </w:p>
    <w:p w:rsidR="00C26263" w:rsidRDefault="00C26263" w:rsidP="005E0F6B">
      <w:pPr>
        <w:spacing w:after="0" w:line="240" w:lineRule="auto"/>
      </w:pPr>
      <w:r>
        <w:t>Successful CD depends on a reasonably enabling context, good enough ownership and change management, an appropriate vision – and, should external assistance be required, flexible and adaptable quality support of a variety of inputs that extends far beyond traditional international technical assistance.</w:t>
      </w:r>
    </w:p>
    <w:p w:rsidR="00C26263" w:rsidRDefault="00C26263" w:rsidP="005E0F6B">
      <w:pPr>
        <w:spacing w:after="0" w:line="240" w:lineRule="auto"/>
      </w:pPr>
    </w:p>
    <w:p w:rsidR="00C26263" w:rsidRDefault="00C26263" w:rsidP="005E0F6B">
      <w:pPr>
        <w:spacing w:after="0" w:line="240" w:lineRule="auto"/>
      </w:pPr>
      <w:r>
        <w:t>Blueprints and technocratic approaches are likely to be less helpful when complexity is high, interests competing and dynamics shaped by informal as much as formal processes.</w:t>
      </w:r>
    </w:p>
    <w:p w:rsidR="00C26263" w:rsidRDefault="00C26263" w:rsidP="005E0F6B">
      <w:pPr>
        <w:spacing w:after="0" w:line="240" w:lineRule="auto"/>
      </w:pPr>
    </w:p>
    <w:p w:rsidR="00C26263" w:rsidRDefault="00C26263" w:rsidP="005E0F6B">
      <w:pPr>
        <w:spacing w:after="0" w:line="240" w:lineRule="auto"/>
      </w:pPr>
      <w:r>
        <w:t xml:space="preserve">The incentives in the aid system will tend to push CD agendas towards ambition levels that are not well aligned to the endogenous change readiness and capacity. </w:t>
      </w:r>
    </w:p>
    <w:p w:rsidR="00C26263" w:rsidRDefault="00C26263" w:rsidP="005E0F6B">
      <w:pPr>
        <w:spacing w:after="0" w:line="240" w:lineRule="auto"/>
      </w:pPr>
    </w:p>
    <w:p w:rsidR="00C26263" w:rsidRDefault="00C26263" w:rsidP="005E0F6B">
      <w:pPr>
        <w:spacing w:after="0" w:line="240" w:lineRule="auto"/>
      </w:pPr>
      <w:r>
        <w:t>Under these circumstances, risk management is not a highly formalized process, but rather a constant managerial concern for both donors and partners. It implies constant scouting, brokering of tensions and conflicts, and adaptation to the opportunities and constraints of the situation. The parameters to consider are those mentioned in the first paragraph of this section.</w:t>
      </w:r>
    </w:p>
    <w:p w:rsidR="00C26263" w:rsidRDefault="00C26263" w:rsidP="005E0F6B">
      <w:pPr>
        <w:spacing w:after="0" w:line="240" w:lineRule="auto"/>
      </w:pPr>
    </w:p>
    <w:p w:rsidR="00C26263" w:rsidRPr="00B07706" w:rsidRDefault="00C26263" w:rsidP="005E0F6B">
      <w:pPr>
        <w:spacing w:after="0" w:line="240" w:lineRule="auto"/>
      </w:pPr>
      <w:r>
        <w:t>Finally, risk management is first and foremost about dialogue, including about the dilemmas and trade-offs implicit in CD and support to CD. An open dialogue is the foundation stone in any partnership that aims at address</w:t>
      </w:r>
      <w:r w:rsidR="00AB1DD3">
        <w:t>ing</w:t>
      </w:r>
      <w:r>
        <w:t xml:space="preserve"> capacity development as an integrated and crucial part of development.    </w:t>
      </w:r>
    </w:p>
    <w:tbl>
      <w:tblPr>
        <w:tblpPr w:leftFromText="141" w:rightFromText="141" w:vertAnchor="text" w:horzAnchor="margin" w:tblpXSpec="right" w:tblpY="676"/>
        <w:tblOverlap w:val="never"/>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704"/>
      </w:tblGrid>
      <w:tr w:rsidR="00C26263" w:rsidRPr="00D92D2C" w:rsidTr="00D65787">
        <w:tc>
          <w:tcPr>
            <w:tcW w:w="9704" w:type="dxa"/>
            <w:shd w:val="clear" w:color="auto" w:fill="4F81BD"/>
            <w:vAlign w:val="center"/>
          </w:tcPr>
          <w:p w:rsidR="00C26263" w:rsidRPr="00302C59" w:rsidRDefault="00C26263" w:rsidP="00D65787">
            <w:pPr>
              <w:spacing w:after="0"/>
              <w:jc w:val="center"/>
              <w:rPr>
                <w:b/>
                <w:bCs/>
                <w:color w:val="FFFFFF"/>
                <w:lang w:val="fr-FR"/>
              </w:rPr>
            </w:pPr>
            <w:r w:rsidRPr="00302C59">
              <w:rPr>
                <w:b/>
                <w:bCs/>
                <w:color w:val="FFFFFF"/>
                <w:lang w:val="fr-FR"/>
              </w:rPr>
              <w:t>Box 8: Dialogue, roles and relations</w:t>
            </w:r>
          </w:p>
        </w:tc>
      </w:tr>
      <w:tr w:rsidR="00C26263" w:rsidRPr="00302C59" w:rsidTr="00D65787">
        <w:tc>
          <w:tcPr>
            <w:tcW w:w="9704" w:type="dxa"/>
            <w:shd w:val="clear" w:color="auto" w:fill="DBE5F1"/>
          </w:tcPr>
          <w:p w:rsidR="00C26263" w:rsidRPr="00D92D2C" w:rsidRDefault="00C26263" w:rsidP="00D65787">
            <w:pPr>
              <w:autoSpaceDE w:val="0"/>
              <w:autoSpaceDN w:val="0"/>
              <w:adjustRightInd w:val="0"/>
              <w:spacing w:after="0" w:line="240" w:lineRule="auto"/>
              <w:rPr>
                <w:bCs/>
                <w:sz w:val="20"/>
                <w:szCs w:val="20"/>
                <w:lang w:val="fr-FR"/>
              </w:rPr>
            </w:pPr>
          </w:p>
          <w:p w:rsidR="00C26263" w:rsidRDefault="00C26263" w:rsidP="00D65787">
            <w:pPr>
              <w:autoSpaceDE w:val="0"/>
              <w:autoSpaceDN w:val="0"/>
              <w:adjustRightInd w:val="0"/>
              <w:spacing w:after="0" w:line="240" w:lineRule="auto"/>
              <w:rPr>
                <w:bCs/>
                <w:sz w:val="20"/>
                <w:szCs w:val="20"/>
              </w:rPr>
            </w:pPr>
            <w:r w:rsidRPr="00302C59">
              <w:rPr>
                <w:bCs/>
                <w:sz w:val="20"/>
                <w:szCs w:val="20"/>
              </w:rPr>
              <w:t>This note has underlined the importance of dialogue as a key element</w:t>
            </w:r>
            <w:r>
              <w:rPr>
                <w:bCs/>
                <w:sz w:val="20"/>
                <w:szCs w:val="20"/>
              </w:rPr>
              <w:t xml:space="preserve"> in addressing CD in Danish development cooperation. </w:t>
            </w:r>
          </w:p>
          <w:p w:rsidR="00C26263" w:rsidRDefault="00C26263" w:rsidP="00D65787">
            <w:pPr>
              <w:autoSpaceDE w:val="0"/>
              <w:autoSpaceDN w:val="0"/>
              <w:adjustRightInd w:val="0"/>
              <w:spacing w:after="0" w:line="240" w:lineRule="auto"/>
              <w:rPr>
                <w:bCs/>
                <w:sz w:val="20"/>
                <w:szCs w:val="20"/>
              </w:rPr>
            </w:pPr>
          </w:p>
          <w:p w:rsidR="00C26263" w:rsidRDefault="00C26263" w:rsidP="00D65787">
            <w:pPr>
              <w:autoSpaceDE w:val="0"/>
              <w:autoSpaceDN w:val="0"/>
              <w:adjustRightInd w:val="0"/>
              <w:spacing w:after="0" w:line="240" w:lineRule="auto"/>
              <w:rPr>
                <w:bCs/>
                <w:sz w:val="20"/>
                <w:szCs w:val="20"/>
              </w:rPr>
            </w:pPr>
            <w:r>
              <w:rPr>
                <w:bCs/>
                <w:sz w:val="20"/>
                <w:szCs w:val="20"/>
              </w:rPr>
              <w:t>The dialogue is as much about CD processes as it is about the specific content of CD. It is also about the respective roles that donors and partners play in every aspect of their cooperation. Development aid is a relations-business, and dialogue is a crucial means to shape and manage relations.</w:t>
            </w:r>
          </w:p>
          <w:p w:rsidR="00C26263" w:rsidRDefault="00C26263" w:rsidP="00D65787">
            <w:pPr>
              <w:autoSpaceDE w:val="0"/>
              <w:autoSpaceDN w:val="0"/>
              <w:adjustRightInd w:val="0"/>
              <w:spacing w:after="0" w:line="240" w:lineRule="auto"/>
              <w:rPr>
                <w:bCs/>
                <w:sz w:val="20"/>
                <w:szCs w:val="20"/>
              </w:rPr>
            </w:pPr>
          </w:p>
          <w:p w:rsidR="00C26263" w:rsidRDefault="00C26263" w:rsidP="00D65787">
            <w:pPr>
              <w:autoSpaceDE w:val="0"/>
              <w:autoSpaceDN w:val="0"/>
              <w:adjustRightInd w:val="0"/>
              <w:spacing w:after="0" w:line="240" w:lineRule="auto"/>
              <w:rPr>
                <w:bCs/>
                <w:sz w:val="20"/>
                <w:szCs w:val="20"/>
              </w:rPr>
            </w:pPr>
            <w:r>
              <w:rPr>
                <w:bCs/>
                <w:sz w:val="20"/>
                <w:szCs w:val="20"/>
              </w:rPr>
              <w:t>This requires a team-effort in embassies, and with other donors. It requires networking, brokering and communication skills as well as technical and socio-cultural insights – normally beyond what individuals can deliver.</w:t>
            </w:r>
          </w:p>
          <w:p w:rsidR="00C26263" w:rsidRDefault="00C26263" w:rsidP="00D65787">
            <w:pPr>
              <w:autoSpaceDE w:val="0"/>
              <w:autoSpaceDN w:val="0"/>
              <w:adjustRightInd w:val="0"/>
              <w:spacing w:after="0" w:line="240" w:lineRule="auto"/>
              <w:rPr>
                <w:bCs/>
                <w:sz w:val="20"/>
                <w:szCs w:val="20"/>
              </w:rPr>
            </w:pPr>
          </w:p>
          <w:p w:rsidR="00C26263" w:rsidRDefault="00C26263" w:rsidP="00D65787">
            <w:pPr>
              <w:autoSpaceDE w:val="0"/>
              <w:autoSpaceDN w:val="0"/>
              <w:adjustRightInd w:val="0"/>
              <w:spacing w:after="0" w:line="240" w:lineRule="auto"/>
              <w:rPr>
                <w:bCs/>
                <w:sz w:val="20"/>
                <w:szCs w:val="20"/>
              </w:rPr>
            </w:pPr>
          </w:p>
          <w:p w:rsidR="00C26263" w:rsidRDefault="00C26263" w:rsidP="00D65787">
            <w:pPr>
              <w:autoSpaceDE w:val="0"/>
              <w:autoSpaceDN w:val="0"/>
              <w:adjustRightInd w:val="0"/>
              <w:spacing w:after="0" w:line="240" w:lineRule="auto"/>
              <w:rPr>
                <w:bCs/>
                <w:sz w:val="20"/>
                <w:szCs w:val="20"/>
              </w:rPr>
            </w:pPr>
            <w:r>
              <w:rPr>
                <w:bCs/>
                <w:sz w:val="20"/>
                <w:szCs w:val="20"/>
              </w:rPr>
              <w:t xml:space="preserve">In resource-constrained embassies this will raise new dilemmas as demands on staff time grow. However, the time spent on addressing CD should not be seen as “administration” – but as adding concrete value to Danish development assistance. </w:t>
            </w:r>
          </w:p>
          <w:p w:rsidR="00C26263" w:rsidRPr="00302C59" w:rsidRDefault="00C26263" w:rsidP="00D65787">
            <w:pPr>
              <w:autoSpaceDE w:val="0"/>
              <w:autoSpaceDN w:val="0"/>
              <w:adjustRightInd w:val="0"/>
              <w:spacing w:after="0" w:line="240" w:lineRule="auto"/>
              <w:rPr>
                <w:bCs/>
                <w:sz w:val="20"/>
                <w:szCs w:val="20"/>
              </w:rPr>
            </w:pPr>
          </w:p>
        </w:tc>
      </w:tr>
    </w:tbl>
    <w:p w:rsidR="002B4A5A" w:rsidRDefault="002B4A5A" w:rsidP="002B4A5A">
      <w:pPr>
        <w:pStyle w:val="Overskrift1"/>
        <w:ind w:left="720"/>
      </w:pPr>
    </w:p>
    <w:p w:rsidR="00C26263" w:rsidRDefault="00C26263" w:rsidP="000F2E0F">
      <w:pPr>
        <w:pStyle w:val="Overskrift1"/>
        <w:numPr>
          <w:ilvl w:val="0"/>
          <w:numId w:val="11"/>
        </w:numPr>
      </w:pPr>
      <w:r>
        <w:t xml:space="preserve">References </w:t>
      </w:r>
    </w:p>
    <w:p w:rsidR="00772987" w:rsidRDefault="00772987" w:rsidP="000732D1">
      <w:pPr>
        <w:spacing w:after="0" w:line="240" w:lineRule="auto"/>
      </w:pPr>
    </w:p>
    <w:p w:rsidR="00C26263" w:rsidRDefault="00C26263" w:rsidP="000732D1">
      <w:pPr>
        <w:spacing w:after="0" w:line="240" w:lineRule="auto"/>
      </w:pPr>
      <w:r>
        <w:t>To be completed with websites and selected toolkits.</w:t>
      </w:r>
    </w:p>
    <w:p w:rsidR="00C26263" w:rsidRDefault="00C26263" w:rsidP="000732D1">
      <w:pPr>
        <w:spacing w:after="0" w:line="240" w:lineRule="auto"/>
      </w:pPr>
    </w:p>
    <w:p w:rsidR="00C26263" w:rsidRDefault="00C26263" w:rsidP="00772987">
      <w:pPr>
        <w:pStyle w:val="Listeafsnit"/>
        <w:numPr>
          <w:ilvl w:val="0"/>
          <w:numId w:val="34"/>
        </w:numPr>
        <w:spacing w:after="0" w:line="240" w:lineRule="auto"/>
      </w:pPr>
      <w:r>
        <w:t>Brinkerhoff, Derek, 2007: Capacity Development in Fragile States. Discussion Paper 58D, ECDPM.</w:t>
      </w:r>
    </w:p>
    <w:p w:rsidR="00C26263" w:rsidRDefault="00C26263" w:rsidP="00772987">
      <w:pPr>
        <w:pStyle w:val="Listeafsnit"/>
        <w:numPr>
          <w:ilvl w:val="0"/>
          <w:numId w:val="34"/>
        </w:numPr>
        <w:spacing w:after="0" w:line="240" w:lineRule="auto"/>
      </w:pPr>
      <w:r>
        <w:t>European Commission, 2008; Analyzing and Addressing Governance in Sector Operations.</w:t>
      </w:r>
    </w:p>
    <w:p w:rsidR="00C26263" w:rsidRDefault="00C26263" w:rsidP="00772987">
      <w:pPr>
        <w:pStyle w:val="Listeafsnit"/>
        <w:numPr>
          <w:ilvl w:val="0"/>
          <w:numId w:val="34"/>
        </w:numPr>
        <w:spacing w:after="0" w:line="240" w:lineRule="auto"/>
      </w:pPr>
      <w:r>
        <w:t xml:space="preserve">European Commission, 2009a: Toolkit for Capacity Development </w:t>
      </w:r>
    </w:p>
    <w:p w:rsidR="00C26263" w:rsidRDefault="00C26263" w:rsidP="00772987">
      <w:pPr>
        <w:pStyle w:val="Listeafsnit"/>
        <w:numPr>
          <w:ilvl w:val="0"/>
          <w:numId w:val="34"/>
        </w:numPr>
        <w:spacing w:after="0" w:line="240" w:lineRule="auto"/>
      </w:pPr>
      <w:r>
        <w:t>European Commission, 2009b: Making Technical Cooperation More Effective.</w:t>
      </w:r>
    </w:p>
    <w:p w:rsidR="00C26263" w:rsidRDefault="00C26263" w:rsidP="00772987">
      <w:pPr>
        <w:pStyle w:val="Listeafsnit"/>
        <w:numPr>
          <w:ilvl w:val="0"/>
          <w:numId w:val="34"/>
        </w:numPr>
        <w:spacing w:after="0" w:line="240" w:lineRule="auto"/>
      </w:pPr>
      <w:r>
        <w:t>Ministry of Foreign Affairs of Denmark, 2005: A results-oriented Approach to Capacity Change</w:t>
      </w:r>
    </w:p>
    <w:p w:rsidR="00C26263" w:rsidRDefault="00C26263" w:rsidP="00772987">
      <w:pPr>
        <w:pStyle w:val="Listeafsnit"/>
        <w:numPr>
          <w:ilvl w:val="0"/>
          <w:numId w:val="34"/>
        </w:numPr>
        <w:spacing w:after="0" w:line="240" w:lineRule="auto"/>
      </w:pPr>
      <w:r>
        <w:t>Ministry of Foreign Affairs of Denmark, 2006: Guidance Note on Danish Support for Capacity Development</w:t>
      </w:r>
    </w:p>
    <w:p w:rsidR="00C26263" w:rsidRDefault="00C26263" w:rsidP="00772987">
      <w:pPr>
        <w:pStyle w:val="Listeafsnit"/>
        <w:numPr>
          <w:ilvl w:val="0"/>
          <w:numId w:val="34"/>
        </w:numPr>
        <w:spacing w:after="0" w:line="240" w:lineRule="auto"/>
      </w:pPr>
      <w:r>
        <w:t>Ministry of Foreign Affairs of Denmark, 2009a: Guide to Political Economy and Stakeholder Analysis at Sector Level</w:t>
      </w:r>
    </w:p>
    <w:p w:rsidR="00C26263" w:rsidRDefault="00C26263" w:rsidP="00772987">
      <w:pPr>
        <w:pStyle w:val="Listeafsnit"/>
        <w:numPr>
          <w:ilvl w:val="0"/>
          <w:numId w:val="34"/>
        </w:numPr>
        <w:spacing w:after="0" w:line="240" w:lineRule="auto"/>
      </w:pPr>
      <w:r>
        <w:t>Ministry of Foreign Affairs of Denmark, 2009b: Guidelines for Technical Assistance</w:t>
      </w:r>
    </w:p>
    <w:p w:rsidR="00C26263" w:rsidRDefault="00C26263" w:rsidP="00772987">
      <w:pPr>
        <w:pStyle w:val="Listeafsnit"/>
        <w:numPr>
          <w:ilvl w:val="0"/>
          <w:numId w:val="34"/>
        </w:numPr>
        <w:spacing w:after="0" w:line="240" w:lineRule="auto"/>
      </w:pPr>
      <w:r>
        <w:t xml:space="preserve">ODI/Mokoro, 2009: </w:t>
      </w:r>
      <w:r w:rsidRPr="008763DE">
        <w:t>Sector Budget Support in Practice</w:t>
      </w:r>
      <w:r>
        <w:t xml:space="preserve"> - </w:t>
      </w:r>
      <w:r w:rsidRPr="008763DE">
        <w:t xml:space="preserve">Synthesis Report </w:t>
      </w:r>
    </w:p>
    <w:p w:rsidR="00C26263" w:rsidRDefault="00C26263" w:rsidP="00772987">
      <w:pPr>
        <w:pStyle w:val="Listeafsnit"/>
        <w:numPr>
          <w:ilvl w:val="0"/>
          <w:numId w:val="34"/>
        </w:numPr>
        <w:spacing w:after="0" w:line="240" w:lineRule="auto"/>
      </w:pPr>
      <w:r>
        <w:t>OECD, 2006: The Challenge of Capacity Development – Working towards Good Practice</w:t>
      </w:r>
    </w:p>
    <w:p w:rsidR="00C26263" w:rsidRPr="00D77582" w:rsidRDefault="00C26263" w:rsidP="00D77582"/>
    <w:sectPr w:rsidR="00C26263" w:rsidRPr="00D77582" w:rsidSect="00163513">
      <w:footerReference w:type="default" r:id="rId31"/>
      <w:pgSz w:w="11906" w:h="16838"/>
      <w:pgMar w:top="1701" w:right="1134" w:bottom="170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261" w:rsidRDefault="00F35261" w:rsidP="00AC4982">
      <w:pPr>
        <w:spacing w:after="0" w:line="240" w:lineRule="auto"/>
      </w:pPr>
      <w:r>
        <w:separator/>
      </w:r>
    </w:p>
  </w:endnote>
  <w:endnote w:type="continuationSeparator" w:id="0">
    <w:p w:rsidR="00F35261" w:rsidRDefault="00F35261" w:rsidP="00AC4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63" w:rsidRDefault="0061167F">
    <w:pPr>
      <w:pStyle w:val="Sidefod"/>
      <w:jc w:val="right"/>
    </w:pPr>
    <w:fldSimple w:instr=" PAGE   \* MERGEFORMAT ">
      <w:r w:rsidR="00B91050">
        <w:rPr>
          <w:noProof/>
        </w:rPr>
        <w:t>8</w:t>
      </w:r>
    </w:fldSimple>
  </w:p>
  <w:p w:rsidR="00C26263" w:rsidRDefault="00C26263">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261" w:rsidRDefault="00F35261" w:rsidP="00AC4982">
      <w:pPr>
        <w:spacing w:after="0" w:line="240" w:lineRule="auto"/>
      </w:pPr>
      <w:r>
        <w:separator/>
      </w:r>
    </w:p>
  </w:footnote>
  <w:footnote w:type="continuationSeparator" w:id="0">
    <w:p w:rsidR="00F35261" w:rsidRDefault="00F35261" w:rsidP="00AC4982">
      <w:pPr>
        <w:spacing w:after="0" w:line="240" w:lineRule="auto"/>
      </w:pPr>
      <w:r>
        <w:continuationSeparator/>
      </w:r>
    </w:p>
  </w:footnote>
  <w:footnote w:id="1">
    <w:p w:rsidR="00C26263" w:rsidRDefault="00C26263" w:rsidP="00DF5250">
      <w:pPr>
        <w:pStyle w:val="Fodnotetekst"/>
        <w:spacing w:after="0"/>
      </w:pPr>
      <w:r>
        <w:rPr>
          <w:rStyle w:val="Fodnotehenvisning"/>
        </w:rPr>
        <w:footnoteRef/>
      </w:r>
      <w:r>
        <w:t xml:space="preserve"> </w:t>
      </w:r>
      <w:r w:rsidRPr="00DF5250">
        <w:rPr>
          <w:sz w:val="16"/>
          <w:szCs w:val="16"/>
        </w:rPr>
        <w:t>Ministry of Foreign Affairs(2005, 2006).</w:t>
      </w:r>
    </w:p>
  </w:footnote>
  <w:footnote w:id="2">
    <w:p w:rsidR="00C26263" w:rsidRDefault="00C26263" w:rsidP="00EB03AB">
      <w:pPr>
        <w:pStyle w:val="Fodnotetekst"/>
        <w:spacing w:after="0"/>
      </w:pPr>
      <w:r>
        <w:rPr>
          <w:rStyle w:val="Fodnotehenvisning"/>
        </w:rPr>
        <w:footnoteRef/>
      </w:r>
      <w:r>
        <w:t xml:space="preserve"> </w:t>
      </w:r>
      <w:r w:rsidRPr="00DF5250">
        <w:rPr>
          <w:sz w:val="16"/>
          <w:szCs w:val="16"/>
        </w:rPr>
        <w:t>OECD (2006)</w:t>
      </w:r>
    </w:p>
  </w:footnote>
  <w:footnote w:id="3">
    <w:p w:rsidR="00C26263" w:rsidRDefault="00C26263" w:rsidP="00EB03AB">
      <w:pPr>
        <w:pStyle w:val="Fodnotetekst"/>
        <w:spacing w:after="0"/>
      </w:pPr>
      <w:r w:rsidRPr="00DF5250">
        <w:rPr>
          <w:rStyle w:val="Fodnotehenvisning"/>
          <w:sz w:val="16"/>
          <w:szCs w:val="16"/>
        </w:rPr>
        <w:footnoteRef/>
      </w:r>
      <w:r w:rsidRPr="00DF5250">
        <w:rPr>
          <w:sz w:val="16"/>
          <w:szCs w:val="16"/>
        </w:rPr>
        <w:t xml:space="preserve"> See Ministry of Foreign Affairs (2005) and EC (2009a) for details about ”functional” and ”political” dimensions of CD.</w:t>
      </w:r>
    </w:p>
  </w:footnote>
  <w:footnote w:id="4">
    <w:p w:rsidR="00C26263" w:rsidRDefault="00C26263">
      <w:pPr>
        <w:pStyle w:val="Fodnotetekst"/>
      </w:pPr>
      <w:r w:rsidRPr="00DF5250">
        <w:rPr>
          <w:rStyle w:val="Fodnotehenvisning"/>
          <w:sz w:val="16"/>
          <w:szCs w:val="16"/>
        </w:rPr>
        <w:footnoteRef/>
      </w:r>
      <w:r w:rsidRPr="00DF5250">
        <w:rPr>
          <w:sz w:val="16"/>
          <w:szCs w:val="16"/>
        </w:rPr>
        <w:t xml:space="preserve"> [note to draft only: </w:t>
      </w:r>
      <w:r>
        <w:rPr>
          <w:sz w:val="16"/>
          <w:szCs w:val="16"/>
        </w:rPr>
        <w:t>F</w:t>
      </w:r>
      <w:r w:rsidRPr="00DF5250">
        <w:rPr>
          <w:sz w:val="16"/>
          <w:szCs w:val="16"/>
        </w:rPr>
        <w:t xml:space="preserve">ew donors accept publicly that they have mixed, and less than clear incentives. But, given how much it is stressed that our partners have mixed incentives, it is not only appropriate to recognize </w:t>
      </w:r>
      <w:r>
        <w:rPr>
          <w:sz w:val="16"/>
          <w:szCs w:val="16"/>
        </w:rPr>
        <w:t>this</w:t>
      </w:r>
      <w:r w:rsidRPr="00DF5250">
        <w:rPr>
          <w:sz w:val="16"/>
          <w:szCs w:val="16"/>
        </w:rPr>
        <w:t xml:space="preserve"> – it is actually necessary for a dialogue about the realities as they are] </w:t>
      </w:r>
    </w:p>
  </w:footnote>
  <w:footnote w:id="5">
    <w:p w:rsidR="00C26263" w:rsidRDefault="00C26263" w:rsidP="009721D8">
      <w:pPr>
        <w:pStyle w:val="Fodnotetekst"/>
        <w:spacing w:after="0"/>
      </w:pPr>
      <w:r>
        <w:rPr>
          <w:rStyle w:val="Fodnotehenvisning"/>
        </w:rPr>
        <w:footnoteRef/>
      </w:r>
      <w:r>
        <w:t xml:space="preserve"> </w:t>
      </w:r>
      <w:r w:rsidRPr="009721D8">
        <w:rPr>
          <w:sz w:val="16"/>
          <w:szCs w:val="16"/>
        </w:rPr>
        <w:t xml:space="preserve">[note for draft only: This implies that embassies (or groups of embassies offering joint support) has substantive expertise relevant to the sector and CD aspects, enabling them to add value to the funds made available. CD and governance issues are in practice closely linked, calling for active involvement of both sector and governance expertise. It is beyond the scope of this note to draw the significant operational implications for embassy staffing, division of labour, silent partnerships  etc.) </w:t>
      </w:r>
    </w:p>
  </w:footnote>
  <w:footnote w:id="6">
    <w:p w:rsidR="00C26263" w:rsidRDefault="00C26263" w:rsidP="009721D8">
      <w:pPr>
        <w:pStyle w:val="Fodnotetekst"/>
        <w:spacing w:after="0"/>
      </w:pPr>
      <w:r w:rsidRPr="009721D8">
        <w:rPr>
          <w:rStyle w:val="Fodnotehenvisning"/>
          <w:sz w:val="16"/>
          <w:szCs w:val="16"/>
        </w:rPr>
        <w:footnoteRef/>
      </w:r>
      <w:r w:rsidRPr="009721D8">
        <w:rPr>
          <w:sz w:val="16"/>
          <w:szCs w:val="16"/>
        </w:rPr>
        <w:t xml:space="preserve"> The model is developed in EC (2009b) and expands on Danida’s ROACH model (Danida, 2005)</w:t>
      </w:r>
      <w:r>
        <w:rPr>
          <w:sz w:val="16"/>
          <w:szCs w:val="16"/>
        </w:rPr>
        <w:t>. See also EC (2008)</w:t>
      </w:r>
    </w:p>
  </w:footnote>
  <w:footnote w:id="7">
    <w:p w:rsidR="00C26263" w:rsidRDefault="00C26263" w:rsidP="00647E39">
      <w:pPr>
        <w:pStyle w:val="Fodnotetekst"/>
      </w:pPr>
      <w:r>
        <w:rPr>
          <w:rStyle w:val="Fodnotehenvisning"/>
        </w:rPr>
        <w:footnoteRef/>
      </w:r>
      <w:r>
        <w:t xml:space="preserve"> </w:t>
      </w:r>
      <w:r w:rsidRPr="00647E39">
        <w:t>References to be added</w:t>
      </w:r>
    </w:p>
  </w:footnote>
  <w:footnote w:id="8">
    <w:p w:rsidR="001155D5" w:rsidRDefault="001155D5" w:rsidP="001155D5">
      <w:pPr>
        <w:pStyle w:val="Fodnotetekst"/>
      </w:pPr>
      <w:r>
        <w:rPr>
          <w:rStyle w:val="Fodnotehenvisning"/>
        </w:rPr>
        <w:footnoteRef/>
      </w:r>
      <w:r>
        <w:t xml:space="preserve"> See also </w:t>
      </w:r>
      <w:r w:rsidRPr="009A04A4">
        <w:rPr>
          <w:lang w:val="en-GB"/>
        </w:rPr>
        <w:t>ODI/Mokoro (2009)</w:t>
      </w:r>
      <w:r>
        <w:rPr>
          <w:lang w:val="en-GB"/>
        </w:rPr>
        <w:t xml:space="preserve"> which applies this term in the same sense and identifies it as a weakness in sector budget support effectiveness.</w:t>
      </w:r>
    </w:p>
  </w:footnote>
  <w:footnote w:id="9">
    <w:p w:rsidR="00C26263" w:rsidRDefault="00C26263">
      <w:pPr>
        <w:pStyle w:val="Fodnotetekst"/>
      </w:pPr>
      <w:r>
        <w:rPr>
          <w:rStyle w:val="Fodnotehenvisning"/>
        </w:rPr>
        <w:footnoteRef/>
      </w:r>
      <w:r>
        <w:t xml:space="preserve"> </w:t>
      </w:r>
      <w:r w:rsidRPr="00172625">
        <w:t>See Ministry of Foreign Affairs (2009</w:t>
      </w:r>
      <w:r>
        <w:t>b</w:t>
      </w:r>
      <w:r w:rsidRPr="00172625">
        <w:t>) and EC (2009b) for details on this subject.</w:t>
      </w:r>
    </w:p>
  </w:footnote>
  <w:footnote w:id="10">
    <w:p w:rsidR="00C26263" w:rsidRDefault="00C26263" w:rsidP="00402302">
      <w:pPr>
        <w:pStyle w:val="Fodnotetekst"/>
        <w:spacing w:after="0" w:line="240" w:lineRule="auto"/>
      </w:pPr>
      <w:r w:rsidRPr="0042213A">
        <w:rPr>
          <w:rStyle w:val="Fodnotehenvisning"/>
          <w:sz w:val="18"/>
          <w:szCs w:val="18"/>
        </w:rPr>
        <w:footnoteRef/>
      </w:r>
      <w:r w:rsidRPr="0042213A">
        <w:rPr>
          <w:sz w:val="18"/>
          <w:szCs w:val="18"/>
        </w:rPr>
        <w:t xml:space="preserve"> Adapted</w:t>
      </w:r>
      <w:r>
        <w:rPr>
          <w:sz w:val="18"/>
          <w:szCs w:val="18"/>
        </w:rPr>
        <w:t xml:space="preserve"> and expanded</w:t>
      </w:r>
      <w:r w:rsidRPr="0042213A">
        <w:rPr>
          <w:sz w:val="18"/>
          <w:szCs w:val="18"/>
        </w:rPr>
        <w:t xml:space="preserve"> from Brinkerhoff</w:t>
      </w:r>
      <w:r>
        <w:rPr>
          <w:sz w:val="18"/>
          <w:szCs w:val="18"/>
        </w:rPr>
        <w:t xml:space="preserve"> (2007)</w:t>
      </w:r>
      <w:r w:rsidRPr="0042213A">
        <w:rPr>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4C0"/>
    <w:multiLevelType w:val="hybridMultilevel"/>
    <w:tmpl w:val="E7625680"/>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1">
    <w:nsid w:val="01E027E2"/>
    <w:multiLevelType w:val="hybridMultilevel"/>
    <w:tmpl w:val="6DFA7A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7852E1"/>
    <w:multiLevelType w:val="hybridMultilevel"/>
    <w:tmpl w:val="46FE123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07FB510D"/>
    <w:multiLevelType w:val="hybridMultilevel"/>
    <w:tmpl w:val="2D2677C2"/>
    <w:lvl w:ilvl="0" w:tplc="BC78C06E">
      <w:start w:val="1"/>
      <w:numFmt w:val="bullet"/>
      <w:lvlText w:val="G"/>
      <w:lvlJc w:val="left"/>
      <w:pPr>
        <w:ind w:left="720" w:hanging="360"/>
      </w:pPr>
      <w:rPr>
        <w:rFonts w:ascii="Wingdings" w:hAnsi="Wingdings" w:hint="default"/>
        <w:sz w:val="32"/>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A58725A"/>
    <w:multiLevelType w:val="hybridMultilevel"/>
    <w:tmpl w:val="A3022B52"/>
    <w:lvl w:ilvl="0" w:tplc="04060001">
      <w:start w:val="1"/>
      <w:numFmt w:val="bullet"/>
      <w:lvlText w:val=""/>
      <w:lvlJc w:val="left"/>
      <w:pPr>
        <w:ind w:left="756" w:hanging="360"/>
      </w:pPr>
      <w:rPr>
        <w:rFonts w:ascii="Symbol" w:hAnsi="Symbol" w:hint="default"/>
      </w:rPr>
    </w:lvl>
    <w:lvl w:ilvl="1" w:tplc="04060003" w:tentative="1">
      <w:start w:val="1"/>
      <w:numFmt w:val="bullet"/>
      <w:lvlText w:val="o"/>
      <w:lvlJc w:val="left"/>
      <w:pPr>
        <w:ind w:left="1476" w:hanging="360"/>
      </w:pPr>
      <w:rPr>
        <w:rFonts w:ascii="Courier New" w:hAnsi="Courier New" w:hint="default"/>
      </w:rPr>
    </w:lvl>
    <w:lvl w:ilvl="2" w:tplc="04060005" w:tentative="1">
      <w:start w:val="1"/>
      <w:numFmt w:val="bullet"/>
      <w:lvlText w:val=""/>
      <w:lvlJc w:val="left"/>
      <w:pPr>
        <w:ind w:left="2196" w:hanging="360"/>
      </w:pPr>
      <w:rPr>
        <w:rFonts w:ascii="Wingdings" w:hAnsi="Wingdings" w:hint="default"/>
      </w:rPr>
    </w:lvl>
    <w:lvl w:ilvl="3" w:tplc="04060001" w:tentative="1">
      <w:start w:val="1"/>
      <w:numFmt w:val="bullet"/>
      <w:lvlText w:val=""/>
      <w:lvlJc w:val="left"/>
      <w:pPr>
        <w:ind w:left="2916" w:hanging="360"/>
      </w:pPr>
      <w:rPr>
        <w:rFonts w:ascii="Symbol" w:hAnsi="Symbol" w:hint="default"/>
      </w:rPr>
    </w:lvl>
    <w:lvl w:ilvl="4" w:tplc="04060003" w:tentative="1">
      <w:start w:val="1"/>
      <w:numFmt w:val="bullet"/>
      <w:lvlText w:val="o"/>
      <w:lvlJc w:val="left"/>
      <w:pPr>
        <w:ind w:left="3636" w:hanging="360"/>
      </w:pPr>
      <w:rPr>
        <w:rFonts w:ascii="Courier New" w:hAnsi="Courier New" w:hint="default"/>
      </w:rPr>
    </w:lvl>
    <w:lvl w:ilvl="5" w:tplc="04060005" w:tentative="1">
      <w:start w:val="1"/>
      <w:numFmt w:val="bullet"/>
      <w:lvlText w:val=""/>
      <w:lvlJc w:val="left"/>
      <w:pPr>
        <w:ind w:left="4356" w:hanging="360"/>
      </w:pPr>
      <w:rPr>
        <w:rFonts w:ascii="Wingdings" w:hAnsi="Wingdings" w:hint="default"/>
      </w:rPr>
    </w:lvl>
    <w:lvl w:ilvl="6" w:tplc="04060001" w:tentative="1">
      <w:start w:val="1"/>
      <w:numFmt w:val="bullet"/>
      <w:lvlText w:val=""/>
      <w:lvlJc w:val="left"/>
      <w:pPr>
        <w:ind w:left="5076" w:hanging="360"/>
      </w:pPr>
      <w:rPr>
        <w:rFonts w:ascii="Symbol" w:hAnsi="Symbol" w:hint="default"/>
      </w:rPr>
    </w:lvl>
    <w:lvl w:ilvl="7" w:tplc="04060003" w:tentative="1">
      <w:start w:val="1"/>
      <w:numFmt w:val="bullet"/>
      <w:lvlText w:val="o"/>
      <w:lvlJc w:val="left"/>
      <w:pPr>
        <w:ind w:left="5796" w:hanging="360"/>
      </w:pPr>
      <w:rPr>
        <w:rFonts w:ascii="Courier New" w:hAnsi="Courier New" w:hint="default"/>
      </w:rPr>
    </w:lvl>
    <w:lvl w:ilvl="8" w:tplc="04060005" w:tentative="1">
      <w:start w:val="1"/>
      <w:numFmt w:val="bullet"/>
      <w:lvlText w:val=""/>
      <w:lvlJc w:val="left"/>
      <w:pPr>
        <w:ind w:left="6516" w:hanging="360"/>
      </w:pPr>
      <w:rPr>
        <w:rFonts w:ascii="Wingdings" w:hAnsi="Wingdings" w:hint="default"/>
      </w:rPr>
    </w:lvl>
  </w:abstractNum>
  <w:abstractNum w:abstractNumId="5">
    <w:nsid w:val="0DDE32B4"/>
    <w:multiLevelType w:val="hybridMultilevel"/>
    <w:tmpl w:val="DC00AA0E"/>
    <w:lvl w:ilvl="0" w:tplc="04060001">
      <w:start w:val="1"/>
      <w:numFmt w:val="bullet"/>
      <w:lvlText w:val=""/>
      <w:lvlJc w:val="left"/>
      <w:pPr>
        <w:ind w:left="1008" w:hanging="360"/>
      </w:pPr>
      <w:rPr>
        <w:rFonts w:ascii="Symbol" w:hAnsi="Symbol" w:hint="default"/>
      </w:rPr>
    </w:lvl>
    <w:lvl w:ilvl="1" w:tplc="04060003" w:tentative="1">
      <w:start w:val="1"/>
      <w:numFmt w:val="bullet"/>
      <w:lvlText w:val="o"/>
      <w:lvlJc w:val="left"/>
      <w:pPr>
        <w:ind w:left="1728" w:hanging="360"/>
      </w:pPr>
      <w:rPr>
        <w:rFonts w:ascii="Courier New" w:hAnsi="Courier New" w:hint="default"/>
      </w:rPr>
    </w:lvl>
    <w:lvl w:ilvl="2" w:tplc="04060005" w:tentative="1">
      <w:start w:val="1"/>
      <w:numFmt w:val="bullet"/>
      <w:lvlText w:val=""/>
      <w:lvlJc w:val="left"/>
      <w:pPr>
        <w:ind w:left="2448" w:hanging="360"/>
      </w:pPr>
      <w:rPr>
        <w:rFonts w:ascii="Wingdings" w:hAnsi="Wingdings" w:hint="default"/>
      </w:rPr>
    </w:lvl>
    <w:lvl w:ilvl="3" w:tplc="04060001" w:tentative="1">
      <w:start w:val="1"/>
      <w:numFmt w:val="bullet"/>
      <w:lvlText w:val=""/>
      <w:lvlJc w:val="left"/>
      <w:pPr>
        <w:ind w:left="3168" w:hanging="360"/>
      </w:pPr>
      <w:rPr>
        <w:rFonts w:ascii="Symbol" w:hAnsi="Symbol" w:hint="default"/>
      </w:rPr>
    </w:lvl>
    <w:lvl w:ilvl="4" w:tplc="04060003" w:tentative="1">
      <w:start w:val="1"/>
      <w:numFmt w:val="bullet"/>
      <w:lvlText w:val="o"/>
      <w:lvlJc w:val="left"/>
      <w:pPr>
        <w:ind w:left="3888" w:hanging="360"/>
      </w:pPr>
      <w:rPr>
        <w:rFonts w:ascii="Courier New" w:hAnsi="Courier New" w:hint="default"/>
      </w:rPr>
    </w:lvl>
    <w:lvl w:ilvl="5" w:tplc="04060005" w:tentative="1">
      <w:start w:val="1"/>
      <w:numFmt w:val="bullet"/>
      <w:lvlText w:val=""/>
      <w:lvlJc w:val="left"/>
      <w:pPr>
        <w:ind w:left="4608" w:hanging="360"/>
      </w:pPr>
      <w:rPr>
        <w:rFonts w:ascii="Wingdings" w:hAnsi="Wingdings" w:hint="default"/>
      </w:rPr>
    </w:lvl>
    <w:lvl w:ilvl="6" w:tplc="04060001" w:tentative="1">
      <w:start w:val="1"/>
      <w:numFmt w:val="bullet"/>
      <w:lvlText w:val=""/>
      <w:lvlJc w:val="left"/>
      <w:pPr>
        <w:ind w:left="5328" w:hanging="360"/>
      </w:pPr>
      <w:rPr>
        <w:rFonts w:ascii="Symbol" w:hAnsi="Symbol" w:hint="default"/>
      </w:rPr>
    </w:lvl>
    <w:lvl w:ilvl="7" w:tplc="04060003" w:tentative="1">
      <w:start w:val="1"/>
      <w:numFmt w:val="bullet"/>
      <w:lvlText w:val="o"/>
      <w:lvlJc w:val="left"/>
      <w:pPr>
        <w:ind w:left="6048" w:hanging="360"/>
      </w:pPr>
      <w:rPr>
        <w:rFonts w:ascii="Courier New" w:hAnsi="Courier New" w:hint="default"/>
      </w:rPr>
    </w:lvl>
    <w:lvl w:ilvl="8" w:tplc="04060005" w:tentative="1">
      <w:start w:val="1"/>
      <w:numFmt w:val="bullet"/>
      <w:lvlText w:val=""/>
      <w:lvlJc w:val="left"/>
      <w:pPr>
        <w:ind w:left="6768" w:hanging="360"/>
      </w:pPr>
      <w:rPr>
        <w:rFonts w:ascii="Wingdings" w:hAnsi="Wingdings" w:hint="default"/>
      </w:rPr>
    </w:lvl>
  </w:abstractNum>
  <w:abstractNum w:abstractNumId="6">
    <w:nsid w:val="0F6F43DA"/>
    <w:multiLevelType w:val="hybridMultilevel"/>
    <w:tmpl w:val="A05C5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1F05453"/>
    <w:multiLevelType w:val="hybridMultilevel"/>
    <w:tmpl w:val="74267708"/>
    <w:lvl w:ilvl="0" w:tplc="634CCF32">
      <w:numFmt w:val="bullet"/>
      <w:lvlText w:val=""/>
      <w:lvlJc w:val="left"/>
      <w:pPr>
        <w:ind w:left="720" w:hanging="360"/>
      </w:pPr>
      <w:rPr>
        <w:rFonts w:ascii="Wingdings" w:eastAsia="Times New Roman" w:hAnsi="Wingdings" w:hint="default"/>
        <w:sz w:val="4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2CA146D"/>
    <w:multiLevelType w:val="hybridMultilevel"/>
    <w:tmpl w:val="5DDC49BA"/>
    <w:lvl w:ilvl="0" w:tplc="CEA66216">
      <w:start w:val="1"/>
      <w:numFmt w:val="bullet"/>
      <w:lvlText w:val="G"/>
      <w:lvlJc w:val="left"/>
      <w:pPr>
        <w:ind w:left="804" w:hanging="360"/>
      </w:pPr>
      <w:rPr>
        <w:rFonts w:ascii="Wingdings" w:hAnsi="Wingdings" w:hint="default"/>
      </w:rPr>
    </w:lvl>
    <w:lvl w:ilvl="1" w:tplc="04060003" w:tentative="1">
      <w:start w:val="1"/>
      <w:numFmt w:val="bullet"/>
      <w:lvlText w:val="o"/>
      <w:lvlJc w:val="left"/>
      <w:pPr>
        <w:ind w:left="1524" w:hanging="360"/>
      </w:pPr>
      <w:rPr>
        <w:rFonts w:ascii="Courier New" w:hAnsi="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9">
    <w:nsid w:val="18523278"/>
    <w:multiLevelType w:val="hybridMultilevel"/>
    <w:tmpl w:val="7BCCD408"/>
    <w:lvl w:ilvl="0" w:tplc="CEA66216">
      <w:start w:val="1"/>
      <w:numFmt w:val="bullet"/>
      <w:lvlText w:val="G"/>
      <w:lvlJc w:val="left"/>
      <w:pPr>
        <w:ind w:left="756" w:hanging="360"/>
      </w:pPr>
      <w:rPr>
        <w:rFonts w:ascii="Wingdings" w:hAnsi="Wingdings" w:hint="default"/>
      </w:rPr>
    </w:lvl>
    <w:lvl w:ilvl="1" w:tplc="04060003" w:tentative="1">
      <w:start w:val="1"/>
      <w:numFmt w:val="bullet"/>
      <w:lvlText w:val="o"/>
      <w:lvlJc w:val="left"/>
      <w:pPr>
        <w:ind w:left="1476" w:hanging="360"/>
      </w:pPr>
      <w:rPr>
        <w:rFonts w:ascii="Courier New" w:hAnsi="Courier New" w:hint="default"/>
      </w:rPr>
    </w:lvl>
    <w:lvl w:ilvl="2" w:tplc="04060005" w:tentative="1">
      <w:start w:val="1"/>
      <w:numFmt w:val="bullet"/>
      <w:lvlText w:val=""/>
      <w:lvlJc w:val="left"/>
      <w:pPr>
        <w:ind w:left="2196" w:hanging="360"/>
      </w:pPr>
      <w:rPr>
        <w:rFonts w:ascii="Wingdings" w:hAnsi="Wingdings" w:hint="default"/>
      </w:rPr>
    </w:lvl>
    <w:lvl w:ilvl="3" w:tplc="04060001" w:tentative="1">
      <w:start w:val="1"/>
      <w:numFmt w:val="bullet"/>
      <w:lvlText w:val=""/>
      <w:lvlJc w:val="left"/>
      <w:pPr>
        <w:ind w:left="2916" w:hanging="360"/>
      </w:pPr>
      <w:rPr>
        <w:rFonts w:ascii="Symbol" w:hAnsi="Symbol" w:hint="default"/>
      </w:rPr>
    </w:lvl>
    <w:lvl w:ilvl="4" w:tplc="04060003" w:tentative="1">
      <w:start w:val="1"/>
      <w:numFmt w:val="bullet"/>
      <w:lvlText w:val="o"/>
      <w:lvlJc w:val="left"/>
      <w:pPr>
        <w:ind w:left="3636" w:hanging="360"/>
      </w:pPr>
      <w:rPr>
        <w:rFonts w:ascii="Courier New" w:hAnsi="Courier New" w:hint="default"/>
      </w:rPr>
    </w:lvl>
    <w:lvl w:ilvl="5" w:tplc="04060005" w:tentative="1">
      <w:start w:val="1"/>
      <w:numFmt w:val="bullet"/>
      <w:lvlText w:val=""/>
      <w:lvlJc w:val="left"/>
      <w:pPr>
        <w:ind w:left="4356" w:hanging="360"/>
      </w:pPr>
      <w:rPr>
        <w:rFonts w:ascii="Wingdings" w:hAnsi="Wingdings" w:hint="default"/>
      </w:rPr>
    </w:lvl>
    <w:lvl w:ilvl="6" w:tplc="04060001" w:tentative="1">
      <w:start w:val="1"/>
      <w:numFmt w:val="bullet"/>
      <w:lvlText w:val=""/>
      <w:lvlJc w:val="left"/>
      <w:pPr>
        <w:ind w:left="5076" w:hanging="360"/>
      </w:pPr>
      <w:rPr>
        <w:rFonts w:ascii="Symbol" w:hAnsi="Symbol" w:hint="default"/>
      </w:rPr>
    </w:lvl>
    <w:lvl w:ilvl="7" w:tplc="04060003" w:tentative="1">
      <w:start w:val="1"/>
      <w:numFmt w:val="bullet"/>
      <w:lvlText w:val="o"/>
      <w:lvlJc w:val="left"/>
      <w:pPr>
        <w:ind w:left="5796" w:hanging="360"/>
      </w:pPr>
      <w:rPr>
        <w:rFonts w:ascii="Courier New" w:hAnsi="Courier New" w:hint="default"/>
      </w:rPr>
    </w:lvl>
    <w:lvl w:ilvl="8" w:tplc="04060005" w:tentative="1">
      <w:start w:val="1"/>
      <w:numFmt w:val="bullet"/>
      <w:lvlText w:val=""/>
      <w:lvlJc w:val="left"/>
      <w:pPr>
        <w:ind w:left="6516" w:hanging="360"/>
      </w:pPr>
      <w:rPr>
        <w:rFonts w:ascii="Wingdings" w:hAnsi="Wingdings" w:hint="default"/>
      </w:rPr>
    </w:lvl>
  </w:abstractNum>
  <w:abstractNum w:abstractNumId="10">
    <w:nsid w:val="19977CB8"/>
    <w:multiLevelType w:val="multilevel"/>
    <w:tmpl w:val="FD321A16"/>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1CD839BB"/>
    <w:multiLevelType w:val="hybridMultilevel"/>
    <w:tmpl w:val="032C2FFC"/>
    <w:lvl w:ilvl="0" w:tplc="C5E6A9B4">
      <w:start w:val="1"/>
      <w:numFmt w:val="decimal"/>
      <w:lvlText w:val="%1."/>
      <w:lvlJc w:val="left"/>
      <w:pPr>
        <w:ind w:left="1368" w:hanging="360"/>
      </w:pPr>
      <w:rPr>
        <w:rFonts w:cs="Times New Roman" w:hint="default"/>
      </w:rPr>
    </w:lvl>
    <w:lvl w:ilvl="1" w:tplc="04060019" w:tentative="1">
      <w:start w:val="1"/>
      <w:numFmt w:val="lowerLetter"/>
      <w:lvlText w:val="%2."/>
      <w:lvlJc w:val="left"/>
      <w:pPr>
        <w:ind w:left="2088" w:hanging="360"/>
      </w:pPr>
      <w:rPr>
        <w:rFonts w:cs="Times New Roman"/>
      </w:rPr>
    </w:lvl>
    <w:lvl w:ilvl="2" w:tplc="0406001B" w:tentative="1">
      <w:start w:val="1"/>
      <w:numFmt w:val="lowerRoman"/>
      <w:lvlText w:val="%3."/>
      <w:lvlJc w:val="right"/>
      <w:pPr>
        <w:ind w:left="2808" w:hanging="180"/>
      </w:pPr>
      <w:rPr>
        <w:rFonts w:cs="Times New Roman"/>
      </w:rPr>
    </w:lvl>
    <w:lvl w:ilvl="3" w:tplc="0406000F" w:tentative="1">
      <w:start w:val="1"/>
      <w:numFmt w:val="decimal"/>
      <w:lvlText w:val="%4."/>
      <w:lvlJc w:val="left"/>
      <w:pPr>
        <w:ind w:left="3528" w:hanging="360"/>
      </w:pPr>
      <w:rPr>
        <w:rFonts w:cs="Times New Roman"/>
      </w:rPr>
    </w:lvl>
    <w:lvl w:ilvl="4" w:tplc="04060019" w:tentative="1">
      <w:start w:val="1"/>
      <w:numFmt w:val="lowerLetter"/>
      <w:lvlText w:val="%5."/>
      <w:lvlJc w:val="left"/>
      <w:pPr>
        <w:ind w:left="4248" w:hanging="360"/>
      </w:pPr>
      <w:rPr>
        <w:rFonts w:cs="Times New Roman"/>
      </w:rPr>
    </w:lvl>
    <w:lvl w:ilvl="5" w:tplc="0406001B" w:tentative="1">
      <w:start w:val="1"/>
      <w:numFmt w:val="lowerRoman"/>
      <w:lvlText w:val="%6."/>
      <w:lvlJc w:val="right"/>
      <w:pPr>
        <w:ind w:left="4968" w:hanging="180"/>
      </w:pPr>
      <w:rPr>
        <w:rFonts w:cs="Times New Roman"/>
      </w:rPr>
    </w:lvl>
    <w:lvl w:ilvl="6" w:tplc="0406000F" w:tentative="1">
      <w:start w:val="1"/>
      <w:numFmt w:val="decimal"/>
      <w:lvlText w:val="%7."/>
      <w:lvlJc w:val="left"/>
      <w:pPr>
        <w:ind w:left="5688" w:hanging="360"/>
      </w:pPr>
      <w:rPr>
        <w:rFonts w:cs="Times New Roman"/>
      </w:rPr>
    </w:lvl>
    <w:lvl w:ilvl="7" w:tplc="04060019" w:tentative="1">
      <w:start w:val="1"/>
      <w:numFmt w:val="lowerLetter"/>
      <w:lvlText w:val="%8."/>
      <w:lvlJc w:val="left"/>
      <w:pPr>
        <w:ind w:left="6408" w:hanging="360"/>
      </w:pPr>
      <w:rPr>
        <w:rFonts w:cs="Times New Roman"/>
      </w:rPr>
    </w:lvl>
    <w:lvl w:ilvl="8" w:tplc="0406001B" w:tentative="1">
      <w:start w:val="1"/>
      <w:numFmt w:val="lowerRoman"/>
      <w:lvlText w:val="%9."/>
      <w:lvlJc w:val="right"/>
      <w:pPr>
        <w:ind w:left="7128" w:hanging="180"/>
      </w:pPr>
      <w:rPr>
        <w:rFonts w:cs="Times New Roman"/>
      </w:rPr>
    </w:lvl>
  </w:abstractNum>
  <w:abstractNum w:abstractNumId="12">
    <w:nsid w:val="22E431B8"/>
    <w:multiLevelType w:val="hybridMultilevel"/>
    <w:tmpl w:val="8DC4132E"/>
    <w:lvl w:ilvl="0" w:tplc="CEA66216">
      <w:start w:val="1"/>
      <w:numFmt w:val="bullet"/>
      <w:lvlText w:val="G"/>
      <w:lvlJc w:val="left"/>
      <w:pPr>
        <w:ind w:left="1008" w:hanging="360"/>
      </w:pPr>
      <w:rPr>
        <w:rFonts w:ascii="Wingdings" w:hAnsi="Wingdings" w:hint="default"/>
      </w:rPr>
    </w:lvl>
    <w:lvl w:ilvl="1" w:tplc="04060003" w:tentative="1">
      <w:start w:val="1"/>
      <w:numFmt w:val="bullet"/>
      <w:lvlText w:val="o"/>
      <w:lvlJc w:val="left"/>
      <w:pPr>
        <w:ind w:left="1728" w:hanging="360"/>
      </w:pPr>
      <w:rPr>
        <w:rFonts w:ascii="Courier New" w:hAnsi="Courier New" w:hint="default"/>
      </w:rPr>
    </w:lvl>
    <w:lvl w:ilvl="2" w:tplc="04060005" w:tentative="1">
      <w:start w:val="1"/>
      <w:numFmt w:val="bullet"/>
      <w:lvlText w:val=""/>
      <w:lvlJc w:val="left"/>
      <w:pPr>
        <w:ind w:left="2448" w:hanging="360"/>
      </w:pPr>
      <w:rPr>
        <w:rFonts w:ascii="Wingdings" w:hAnsi="Wingdings" w:hint="default"/>
      </w:rPr>
    </w:lvl>
    <w:lvl w:ilvl="3" w:tplc="04060001" w:tentative="1">
      <w:start w:val="1"/>
      <w:numFmt w:val="bullet"/>
      <w:lvlText w:val=""/>
      <w:lvlJc w:val="left"/>
      <w:pPr>
        <w:ind w:left="3168" w:hanging="360"/>
      </w:pPr>
      <w:rPr>
        <w:rFonts w:ascii="Symbol" w:hAnsi="Symbol" w:hint="default"/>
      </w:rPr>
    </w:lvl>
    <w:lvl w:ilvl="4" w:tplc="04060003" w:tentative="1">
      <w:start w:val="1"/>
      <w:numFmt w:val="bullet"/>
      <w:lvlText w:val="o"/>
      <w:lvlJc w:val="left"/>
      <w:pPr>
        <w:ind w:left="3888" w:hanging="360"/>
      </w:pPr>
      <w:rPr>
        <w:rFonts w:ascii="Courier New" w:hAnsi="Courier New" w:hint="default"/>
      </w:rPr>
    </w:lvl>
    <w:lvl w:ilvl="5" w:tplc="04060005" w:tentative="1">
      <w:start w:val="1"/>
      <w:numFmt w:val="bullet"/>
      <w:lvlText w:val=""/>
      <w:lvlJc w:val="left"/>
      <w:pPr>
        <w:ind w:left="4608" w:hanging="360"/>
      </w:pPr>
      <w:rPr>
        <w:rFonts w:ascii="Wingdings" w:hAnsi="Wingdings" w:hint="default"/>
      </w:rPr>
    </w:lvl>
    <w:lvl w:ilvl="6" w:tplc="04060001" w:tentative="1">
      <w:start w:val="1"/>
      <w:numFmt w:val="bullet"/>
      <w:lvlText w:val=""/>
      <w:lvlJc w:val="left"/>
      <w:pPr>
        <w:ind w:left="5328" w:hanging="360"/>
      </w:pPr>
      <w:rPr>
        <w:rFonts w:ascii="Symbol" w:hAnsi="Symbol" w:hint="default"/>
      </w:rPr>
    </w:lvl>
    <w:lvl w:ilvl="7" w:tplc="04060003" w:tentative="1">
      <w:start w:val="1"/>
      <w:numFmt w:val="bullet"/>
      <w:lvlText w:val="o"/>
      <w:lvlJc w:val="left"/>
      <w:pPr>
        <w:ind w:left="6048" w:hanging="360"/>
      </w:pPr>
      <w:rPr>
        <w:rFonts w:ascii="Courier New" w:hAnsi="Courier New" w:hint="default"/>
      </w:rPr>
    </w:lvl>
    <w:lvl w:ilvl="8" w:tplc="04060005" w:tentative="1">
      <w:start w:val="1"/>
      <w:numFmt w:val="bullet"/>
      <w:lvlText w:val=""/>
      <w:lvlJc w:val="left"/>
      <w:pPr>
        <w:ind w:left="6768" w:hanging="360"/>
      </w:pPr>
      <w:rPr>
        <w:rFonts w:ascii="Wingdings" w:hAnsi="Wingdings" w:hint="default"/>
      </w:rPr>
    </w:lvl>
  </w:abstractNum>
  <w:abstractNum w:abstractNumId="13">
    <w:nsid w:val="292350B8"/>
    <w:multiLevelType w:val="hybridMultilevel"/>
    <w:tmpl w:val="EC24C36A"/>
    <w:lvl w:ilvl="0" w:tplc="04060001">
      <w:start w:val="1"/>
      <w:numFmt w:val="bullet"/>
      <w:lvlText w:val=""/>
      <w:lvlJc w:val="left"/>
      <w:pPr>
        <w:ind w:left="1008" w:hanging="360"/>
      </w:pPr>
      <w:rPr>
        <w:rFonts w:ascii="Symbol" w:hAnsi="Symbol" w:hint="default"/>
      </w:rPr>
    </w:lvl>
    <w:lvl w:ilvl="1" w:tplc="04060003" w:tentative="1">
      <w:start w:val="1"/>
      <w:numFmt w:val="bullet"/>
      <w:lvlText w:val="o"/>
      <w:lvlJc w:val="left"/>
      <w:pPr>
        <w:ind w:left="1728" w:hanging="360"/>
      </w:pPr>
      <w:rPr>
        <w:rFonts w:ascii="Courier New" w:hAnsi="Courier New" w:hint="default"/>
      </w:rPr>
    </w:lvl>
    <w:lvl w:ilvl="2" w:tplc="04060005" w:tentative="1">
      <w:start w:val="1"/>
      <w:numFmt w:val="bullet"/>
      <w:lvlText w:val=""/>
      <w:lvlJc w:val="left"/>
      <w:pPr>
        <w:ind w:left="2448" w:hanging="360"/>
      </w:pPr>
      <w:rPr>
        <w:rFonts w:ascii="Wingdings" w:hAnsi="Wingdings" w:hint="default"/>
      </w:rPr>
    </w:lvl>
    <w:lvl w:ilvl="3" w:tplc="04060001" w:tentative="1">
      <w:start w:val="1"/>
      <w:numFmt w:val="bullet"/>
      <w:lvlText w:val=""/>
      <w:lvlJc w:val="left"/>
      <w:pPr>
        <w:ind w:left="3168" w:hanging="360"/>
      </w:pPr>
      <w:rPr>
        <w:rFonts w:ascii="Symbol" w:hAnsi="Symbol" w:hint="default"/>
      </w:rPr>
    </w:lvl>
    <w:lvl w:ilvl="4" w:tplc="04060003" w:tentative="1">
      <w:start w:val="1"/>
      <w:numFmt w:val="bullet"/>
      <w:lvlText w:val="o"/>
      <w:lvlJc w:val="left"/>
      <w:pPr>
        <w:ind w:left="3888" w:hanging="360"/>
      </w:pPr>
      <w:rPr>
        <w:rFonts w:ascii="Courier New" w:hAnsi="Courier New" w:hint="default"/>
      </w:rPr>
    </w:lvl>
    <w:lvl w:ilvl="5" w:tplc="04060005" w:tentative="1">
      <w:start w:val="1"/>
      <w:numFmt w:val="bullet"/>
      <w:lvlText w:val=""/>
      <w:lvlJc w:val="left"/>
      <w:pPr>
        <w:ind w:left="4608" w:hanging="360"/>
      </w:pPr>
      <w:rPr>
        <w:rFonts w:ascii="Wingdings" w:hAnsi="Wingdings" w:hint="default"/>
      </w:rPr>
    </w:lvl>
    <w:lvl w:ilvl="6" w:tplc="04060001" w:tentative="1">
      <w:start w:val="1"/>
      <w:numFmt w:val="bullet"/>
      <w:lvlText w:val=""/>
      <w:lvlJc w:val="left"/>
      <w:pPr>
        <w:ind w:left="5328" w:hanging="360"/>
      </w:pPr>
      <w:rPr>
        <w:rFonts w:ascii="Symbol" w:hAnsi="Symbol" w:hint="default"/>
      </w:rPr>
    </w:lvl>
    <w:lvl w:ilvl="7" w:tplc="04060003" w:tentative="1">
      <w:start w:val="1"/>
      <w:numFmt w:val="bullet"/>
      <w:lvlText w:val="o"/>
      <w:lvlJc w:val="left"/>
      <w:pPr>
        <w:ind w:left="6048" w:hanging="360"/>
      </w:pPr>
      <w:rPr>
        <w:rFonts w:ascii="Courier New" w:hAnsi="Courier New" w:hint="default"/>
      </w:rPr>
    </w:lvl>
    <w:lvl w:ilvl="8" w:tplc="04060005" w:tentative="1">
      <w:start w:val="1"/>
      <w:numFmt w:val="bullet"/>
      <w:lvlText w:val=""/>
      <w:lvlJc w:val="left"/>
      <w:pPr>
        <w:ind w:left="6768" w:hanging="360"/>
      </w:pPr>
      <w:rPr>
        <w:rFonts w:ascii="Wingdings" w:hAnsi="Wingdings" w:hint="default"/>
      </w:rPr>
    </w:lvl>
  </w:abstractNum>
  <w:abstractNum w:abstractNumId="14">
    <w:nsid w:val="2AC45FAC"/>
    <w:multiLevelType w:val="hybridMultilevel"/>
    <w:tmpl w:val="7C7AEAA4"/>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nsid w:val="2BAE7100"/>
    <w:multiLevelType w:val="hybridMultilevel"/>
    <w:tmpl w:val="BC127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31374A20"/>
    <w:multiLevelType w:val="hybridMultilevel"/>
    <w:tmpl w:val="21F87626"/>
    <w:lvl w:ilvl="0" w:tplc="F4088DB0">
      <w:start w:val="1"/>
      <w:numFmt w:val="decimal"/>
      <w:lvlText w:val="%1."/>
      <w:lvlJc w:val="left"/>
      <w:pPr>
        <w:ind w:left="1008" w:hanging="360"/>
      </w:pPr>
      <w:rPr>
        <w:rFonts w:cs="Times New Roman" w:hint="default"/>
        <w:i/>
      </w:rPr>
    </w:lvl>
    <w:lvl w:ilvl="1" w:tplc="04060019" w:tentative="1">
      <w:start w:val="1"/>
      <w:numFmt w:val="lowerLetter"/>
      <w:lvlText w:val="%2."/>
      <w:lvlJc w:val="left"/>
      <w:pPr>
        <w:ind w:left="1728" w:hanging="360"/>
      </w:pPr>
      <w:rPr>
        <w:rFonts w:cs="Times New Roman"/>
      </w:rPr>
    </w:lvl>
    <w:lvl w:ilvl="2" w:tplc="0406001B" w:tentative="1">
      <w:start w:val="1"/>
      <w:numFmt w:val="lowerRoman"/>
      <w:lvlText w:val="%3."/>
      <w:lvlJc w:val="right"/>
      <w:pPr>
        <w:ind w:left="2448" w:hanging="180"/>
      </w:pPr>
      <w:rPr>
        <w:rFonts w:cs="Times New Roman"/>
      </w:rPr>
    </w:lvl>
    <w:lvl w:ilvl="3" w:tplc="0406000F" w:tentative="1">
      <w:start w:val="1"/>
      <w:numFmt w:val="decimal"/>
      <w:lvlText w:val="%4."/>
      <w:lvlJc w:val="left"/>
      <w:pPr>
        <w:ind w:left="3168" w:hanging="360"/>
      </w:pPr>
      <w:rPr>
        <w:rFonts w:cs="Times New Roman"/>
      </w:rPr>
    </w:lvl>
    <w:lvl w:ilvl="4" w:tplc="04060019" w:tentative="1">
      <w:start w:val="1"/>
      <w:numFmt w:val="lowerLetter"/>
      <w:lvlText w:val="%5."/>
      <w:lvlJc w:val="left"/>
      <w:pPr>
        <w:ind w:left="3888" w:hanging="360"/>
      </w:pPr>
      <w:rPr>
        <w:rFonts w:cs="Times New Roman"/>
      </w:rPr>
    </w:lvl>
    <w:lvl w:ilvl="5" w:tplc="0406001B" w:tentative="1">
      <w:start w:val="1"/>
      <w:numFmt w:val="lowerRoman"/>
      <w:lvlText w:val="%6."/>
      <w:lvlJc w:val="right"/>
      <w:pPr>
        <w:ind w:left="4608" w:hanging="180"/>
      </w:pPr>
      <w:rPr>
        <w:rFonts w:cs="Times New Roman"/>
      </w:rPr>
    </w:lvl>
    <w:lvl w:ilvl="6" w:tplc="0406000F" w:tentative="1">
      <w:start w:val="1"/>
      <w:numFmt w:val="decimal"/>
      <w:lvlText w:val="%7."/>
      <w:lvlJc w:val="left"/>
      <w:pPr>
        <w:ind w:left="5328" w:hanging="360"/>
      </w:pPr>
      <w:rPr>
        <w:rFonts w:cs="Times New Roman"/>
      </w:rPr>
    </w:lvl>
    <w:lvl w:ilvl="7" w:tplc="04060019" w:tentative="1">
      <w:start w:val="1"/>
      <w:numFmt w:val="lowerLetter"/>
      <w:lvlText w:val="%8."/>
      <w:lvlJc w:val="left"/>
      <w:pPr>
        <w:ind w:left="6048" w:hanging="360"/>
      </w:pPr>
      <w:rPr>
        <w:rFonts w:cs="Times New Roman"/>
      </w:rPr>
    </w:lvl>
    <w:lvl w:ilvl="8" w:tplc="0406001B" w:tentative="1">
      <w:start w:val="1"/>
      <w:numFmt w:val="lowerRoman"/>
      <w:lvlText w:val="%9."/>
      <w:lvlJc w:val="right"/>
      <w:pPr>
        <w:ind w:left="6768" w:hanging="180"/>
      </w:pPr>
      <w:rPr>
        <w:rFonts w:cs="Times New Roman"/>
      </w:rPr>
    </w:lvl>
  </w:abstractNum>
  <w:abstractNum w:abstractNumId="17">
    <w:nsid w:val="3F9274F5"/>
    <w:multiLevelType w:val="hybridMultilevel"/>
    <w:tmpl w:val="16E0F6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10B76E4"/>
    <w:multiLevelType w:val="hybridMultilevel"/>
    <w:tmpl w:val="DA7EA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2BB543A"/>
    <w:multiLevelType w:val="hybridMultilevel"/>
    <w:tmpl w:val="FF3A0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563921E8"/>
    <w:multiLevelType w:val="hybridMultilevel"/>
    <w:tmpl w:val="07A0C4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BBA452F"/>
    <w:multiLevelType w:val="hybridMultilevel"/>
    <w:tmpl w:val="B2BAFF8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2">
    <w:nsid w:val="6688328D"/>
    <w:multiLevelType w:val="hybridMultilevel"/>
    <w:tmpl w:val="30663B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690A7D57"/>
    <w:multiLevelType w:val="hybridMultilevel"/>
    <w:tmpl w:val="ED9872F8"/>
    <w:lvl w:ilvl="0" w:tplc="CEA66216">
      <w:start w:val="1"/>
      <w:numFmt w:val="bullet"/>
      <w:lvlText w:val="G"/>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AB32372"/>
    <w:multiLevelType w:val="hybridMultilevel"/>
    <w:tmpl w:val="E61EBFDE"/>
    <w:lvl w:ilvl="0" w:tplc="CEA66216">
      <w:start w:val="1"/>
      <w:numFmt w:val="bullet"/>
      <w:lvlText w:val="G"/>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D5766E4"/>
    <w:multiLevelType w:val="hybridMultilevel"/>
    <w:tmpl w:val="E9B6960C"/>
    <w:lvl w:ilvl="0" w:tplc="11789718">
      <w:start w:val="3"/>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01115BF"/>
    <w:multiLevelType w:val="hybridMultilevel"/>
    <w:tmpl w:val="FEEE9E6C"/>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27">
    <w:nsid w:val="71AC32B8"/>
    <w:multiLevelType w:val="hybridMultilevel"/>
    <w:tmpl w:val="81E23D48"/>
    <w:lvl w:ilvl="0" w:tplc="634CCF32">
      <w:numFmt w:val="bullet"/>
      <w:lvlText w:val=""/>
      <w:lvlJc w:val="left"/>
      <w:pPr>
        <w:ind w:left="720" w:hanging="360"/>
      </w:pPr>
      <w:rPr>
        <w:rFonts w:ascii="Wingdings" w:eastAsia="Times New Roman" w:hAnsi="Wingdings" w:hint="default"/>
        <w:sz w:val="4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23E0BDC"/>
    <w:multiLevelType w:val="hybridMultilevel"/>
    <w:tmpl w:val="24C294FA"/>
    <w:lvl w:ilvl="0" w:tplc="9CA62E36">
      <w:start w:val="1"/>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742A422C"/>
    <w:multiLevelType w:val="hybridMultilevel"/>
    <w:tmpl w:val="B8343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74F07D5C"/>
    <w:multiLevelType w:val="hybridMultilevel"/>
    <w:tmpl w:val="05364710"/>
    <w:lvl w:ilvl="0" w:tplc="C5E6A9B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1">
    <w:nsid w:val="76141FF5"/>
    <w:multiLevelType w:val="hybridMultilevel"/>
    <w:tmpl w:val="640E0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B036B4B"/>
    <w:multiLevelType w:val="hybridMultilevel"/>
    <w:tmpl w:val="C4D6BC3C"/>
    <w:lvl w:ilvl="0" w:tplc="0406000F">
      <w:start w:val="1"/>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3">
    <w:nsid w:val="7E9F7C22"/>
    <w:multiLevelType w:val="hybridMultilevel"/>
    <w:tmpl w:val="0F741DC2"/>
    <w:lvl w:ilvl="0" w:tplc="11789718">
      <w:start w:val="3"/>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1"/>
  </w:num>
  <w:num w:numId="4">
    <w:abstractNumId w:val="29"/>
  </w:num>
  <w:num w:numId="5">
    <w:abstractNumId w:val="19"/>
  </w:num>
  <w:num w:numId="6">
    <w:abstractNumId w:val="32"/>
  </w:num>
  <w:num w:numId="7">
    <w:abstractNumId w:val="28"/>
  </w:num>
  <w:num w:numId="8">
    <w:abstractNumId w:val="10"/>
  </w:num>
  <w:num w:numId="9">
    <w:abstractNumId w:val="22"/>
  </w:num>
  <w:num w:numId="10">
    <w:abstractNumId w:val="2"/>
  </w:num>
  <w:num w:numId="11">
    <w:abstractNumId w:val="14"/>
  </w:num>
  <w:num w:numId="12">
    <w:abstractNumId w:val="12"/>
  </w:num>
  <w:num w:numId="13">
    <w:abstractNumId w:val="3"/>
  </w:num>
  <w:num w:numId="14">
    <w:abstractNumId w:val="9"/>
  </w:num>
  <w:num w:numId="15">
    <w:abstractNumId w:val="24"/>
  </w:num>
  <w:num w:numId="16">
    <w:abstractNumId w:val="30"/>
  </w:num>
  <w:num w:numId="17">
    <w:abstractNumId w:val="11"/>
  </w:num>
  <w:num w:numId="18">
    <w:abstractNumId w:val="16"/>
  </w:num>
  <w:num w:numId="19">
    <w:abstractNumId w:val="15"/>
  </w:num>
  <w:num w:numId="20">
    <w:abstractNumId w:val="33"/>
  </w:num>
  <w:num w:numId="21">
    <w:abstractNumId w:val="4"/>
  </w:num>
  <w:num w:numId="22">
    <w:abstractNumId w:val="8"/>
  </w:num>
  <w:num w:numId="23">
    <w:abstractNumId w:val="6"/>
  </w:num>
  <w:num w:numId="24">
    <w:abstractNumId w:val="23"/>
  </w:num>
  <w:num w:numId="25">
    <w:abstractNumId w:val="17"/>
  </w:num>
  <w:num w:numId="26">
    <w:abstractNumId w:val="7"/>
  </w:num>
  <w:num w:numId="27">
    <w:abstractNumId w:val="27"/>
  </w:num>
  <w:num w:numId="28">
    <w:abstractNumId w:val="0"/>
  </w:num>
  <w:num w:numId="29">
    <w:abstractNumId w:val="5"/>
  </w:num>
  <w:num w:numId="30">
    <w:abstractNumId w:val="13"/>
  </w:num>
  <w:num w:numId="31">
    <w:abstractNumId w:val="26"/>
  </w:num>
  <w:num w:numId="32">
    <w:abstractNumId w:val="1"/>
  </w:num>
  <w:num w:numId="33">
    <w:abstractNumId w:val="2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C50EF"/>
    <w:rsid w:val="0000653E"/>
    <w:rsid w:val="00044347"/>
    <w:rsid w:val="000575A2"/>
    <w:rsid w:val="00071520"/>
    <w:rsid w:val="000732D1"/>
    <w:rsid w:val="00083BA0"/>
    <w:rsid w:val="000911AE"/>
    <w:rsid w:val="000A6455"/>
    <w:rsid w:val="000C1255"/>
    <w:rsid w:val="000D2709"/>
    <w:rsid w:val="000D40A4"/>
    <w:rsid w:val="000D4C5A"/>
    <w:rsid w:val="000E0D98"/>
    <w:rsid w:val="000F2E0F"/>
    <w:rsid w:val="00100E8E"/>
    <w:rsid w:val="001155D5"/>
    <w:rsid w:val="00163513"/>
    <w:rsid w:val="0017250A"/>
    <w:rsid w:val="00172625"/>
    <w:rsid w:val="0017590D"/>
    <w:rsid w:val="001A4BFC"/>
    <w:rsid w:val="00202029"/>
    <w:rsid w:val="00234C35"/>
    <w:rsid w:val="002444F2"/>
    <w:rsid w:val="002652B6"/>
    <w:rsid w:val="0026769C"/>
    <w:rsid w:val="00275A9D"/>
    <w:rsid w:val="0028303D"/>
    <w:rsid w:val="00283138"/>
    <w:rsid w:val="002867BB"/>
    <w:rsid w:val="00293470"/>
    <w:rsid w:val="002B4A5A"/>
    <w:rsid w:val="002B6630"/>
    <w:rsid w:val="002B6E20"/>
    <w:rsid w:val="002C3EA6"/>
    <w:rsid w:val="002D015F"/>
    <w:rsid w:val="002D0AFD"/>
    <w:rsid w:val="002D4BE0"/>
    <w:rsid w:val="002D5AAA"/>
    <w:rsid w:val="002D7FE4"/>
    <w:rsid w:val="002E5717"/>
    <w:rsid w:val="00302C59"/>
    <w:rsid w:val="0031691C"/>
    <w:rsid w:val="00320760"/>
    <w:rsid w:val="003308A8"/>
    <w:rsid w:val="00333BC9"/>
    <w:rsid w:val="00340C4E"/>
    <w:rsid w:val="0035203B"/>
    <w:rsid w:val="0035637E"/>
    <w:rsid w:val="003647EE"/>
    <w:rsid w:val="00366AC2"/>
    <w:rsid w:val="0039257B"/>
    <w:rsid w:val="00397DE5"/>
    <w:rsid w:val="003B047D"/>
    <w:rsid w:val="003B3022"/>
    <w:rsid w:val="003B61C2"/>
    <w:rsid w:val="003B7FBA"/>
    <w:rsid w:val="003F00B3"/>
    <w:rsid w:val="003F047C"/>
    <w:rsid w:val="003F712B"/>
    <w:rsid w:val="00402302"/>
    <w:rsid w:val="0042213A"/>
    <w:rsid w:val="004272B9"/>
    <w:rsid w:val="004276B8"/>
    <w:rsid w:val="00430B81"/>
    <w:rsid w:val="00434050"/>
    <w:rsid w:val="0044388E"/>
    <w:rsid w:val="00452B4C"/>
    <w:rsid w:val="0046060E"/>
    <w:rsid w:val="00464E84"/>
    <w:rsid w:val="00464F0E"/>
    <w:rsid w:val="00471806"/>
    <w:rsid w:val="00477BC4"/>
    <w:rsid w:val="00483210"/>
    <w:rsid w:val="004A6B55"/>
    <w:rsid w:val="004B10EF"/>
    <w:rsid w:val="004B3BCB"/>
    <w:rsid w:val="004C66CF"/>
    <w:rsid w:val="004D3017"/>
    <w:rsid w:val="00521693"/>
    <w:rsid w:val="005270C5"/>
    <w:rsid w:val="005341C8"/>
    <w:rsid w:val="005559F0"/>
    <w:rsid w:val="005560A6"/>
    <w:rsid w:val="0055767D"/>
    <w:rsid w:val="005625B7"/>
    <w:rsid w:val="00565BBE"/>
    <w:rsid w:val="00565C4D"/>
    <w:rsid w:val="0057073E"/>
    <w:rsid w:val="0058193B"/>
    <w:rsid w:val="005834F3"/>
    <w:rsid w:val="005B35E0"/>
    <w:rsid w:val="005C6DAA"/>
    <w:rsid w:val="005D0C02"/>
    <w:rsid w:val="005D3E4B"/>
    <w:rsid w:val="005E0F6B"/>
    <w:rsid w:val="005F3402"/>
    <w:rsid w:val="005F51D6"/>
    <w:rsid w:val="006014BE"/>
    <w:rsid w:val="006042AF"/>
    <w:rsid w:val="00605A99"/>
    <w:rsid w:val="0061167F"/>
    <w:rsid w:val="00614C51"/>
    <w:rsid w:val="006159A2"/>
    <w:rsid w:val="00647E39"/>
    <w:rsid w:val="00653D0D"/>
    <w:rsid w:val="00687483"/>
    <w:rsid w:val="00694B54"/>
    <w:rsid w:val="006A5FD0"/>
    <w:rsid w:val="006C3A3E"/>
    <w:rsid w:val="006D75A9"/>
    <w:rsid w:val="006E4496"/>
    <w:rsid w:val="006E6D03"/>
    <w:rsid w:val="00723FE5"/>
    <w:rsid w:val="007263DD"/>
    <w:rsid w:val="00732477"/>
    <w:rsid w:val="00770247"/>
    <w:rsid w:val="00772987"/>
    <w:rsid w:val="00773330"/>
    <w:rsid w:val="00792B30"/>
    <w:rsid w:val="007945D5"/>
    <w:rsid w:val="007A0D81"/>
    <w:rsid w:val="007B2C71"/>
    <w:rsid w:val="007B32A6"/>
    <w:rsid w:val="007D7CE8"/>
    <w:rsid w:val="007F3B6F"/>
    <w:rsid w:val="007F4F6D"/>
    <w:rsid w:val="008022D5"/>
    <w:rsid w:val="008039AA"/>
    <w:rsid w:val="008122CF"/>
    <w:rsid w:val="00812C33"/>
    <w:rsid w:val="00846BDD"/>
    <w:rsid w:val="008606AC"/>
    <w:rsid w:val="008763DE"/>
    <w:rsid w:val="008814F4"/>
    <w:rsid w:val="00883003"/>
    <w:rsid w:val="008851A5"/>
    <w:rsid w:val="00886C19"/>
    <w:rsid w:val="008931F9"/>
    <w:rsid w:val="008A0CF2"/>
    <w:rsid w:val="008A4A7E"/>
    <w:rsid w:val="008A5013"/>
    <w:rsid w:val="008B2724"/>
    <w:rsid w:val="008C1980"/>
    <w:rsid w:val="008F6E72"/>
    <w:rsid w:val="00905FB2"/>
    <w:rsid w:val="0091414F"/>
    <w:rsid w:val="009345F8"/>
    <w:rsid w:val="0094222E"/>
    <w:rsid w:val="009628BC"/>
    <w:rsid w:val="009721D8"/>
    <w:rsid w:val="00973C89"/>
    <w:rsid w:val="0098141D"/>
    <w:rsid w:val="00981EE5"/>
    <w:rsid w:val="009A04A4"/>
    <w:rsid w:val="009A2249"/>
    <w:rsid w:val="009A4ADA"/>
    <w:rsid w:val="009B2D06"/>
    <w:rsid w:val="009B572F"/>
    <w:rsid w:val="009C14F2"/>
    <w:rsid w:val="009C4817"/>
    <w:rsid w:val="009D7BF8"/>
    <w:rsid w:val="009E5783"/>
    <w:rsid w:val="009F156F"/>
    <w:rsid w:val="00A17C1C"/>
    <w:rsid w:val="00A23979"/>
    <w:rsid w:val="00A314B1"/>
    <w:rsid w:val="00A502CB"/>
    <w:rsid w:val="00A63AAF"/>
    <w:rsid w:val="00A653A5"/>
    <w:rsid w:val="00A80AD4"/>
    <w:rsid w:val="00A81CF6"/>
    <w:rsid w:val="00AB1DD3"/>
    <w:rsid w:val="00AC4982"/>
    <w:rsid w:val="00AD30C8"/>
    <w:rsid w:val="00AE3F48"/>
    <w:rsid w:val="00AE48D4"/>
    <w:rsid w:val="00AF1A41"/>
    <w:rsid w:val="00B06B32"/>
    <w:rsid w:val="00B07706"/>
    <w:rsid w:val="00B179E0"/>
    <w:rsid w:val="00B22E0A"/>
    <w:rsid w:val="00B30E28"/>
    <w:rsid w:val="00B35F3D"/>
    <w:rsid w:val="00B35FC4"/>
    <w:rsid w:val="00B41835"/>
    <w:rsid w:val="00B62FCA"/>
    <w:rsid w:val="00B65075"/>
    <w:rsid w:val="00B70F22"/>
    <w:rsid w:val="00B80ED3"/>
    <w:rsid w:val="00B8369B"/>
    <w:rsid w:val="00B91050"/>
    <w:rsid w:val="00B92FE1"/>
    <w:rsid w:val="00B96644"/>
    <w:rsid w:val="00BA0E9F"/>
    <w:rsid w:val="00BA5107"/>
    <w:rsid w:val="00BA58C1"/>
    <w:rsid w:val="00BB0626"/>
    <w:rsid w:val="00BB301A"/>
    <w:rsid w:val="00BE7464"/>
    <w:rsid w:val="00BF3F53"/>
    <w:rsid w:val="00BF532C"/>
    <w:rsid w:val="00C105EA"/>
    <w:rsid w:val="00C123C8"/>
    <w:rsid w:val="00C2586F"/>
    <w:rsid w:val="00C26263"/>
    <w:rsid w:val="00C352E6"/>
    <w:rsid w:val="00C36606"/>
    <w:rsid w:val="00C437A8"/>
    <w:rsid w:val="00C44A60"/>
    <w:rsid w:val="00C752F7"/>
    <w:rsid w:val="00C966F1"/>
    <w:rsid w:val="00CA1FA6"/>
    <w:rsid w:val="00CB24BA"/>
    <w:rsid w:val="00CC6869"/>
    <w:rsid w:val="00CD1EB5"/>
    <w:rsid w:val="00CE0FC1"/>
    <w:rsid w:val="00CE20AD"/>
    <w:rsid w:val="00CF5508"/>
    <w:rsid w:val="00D232EC"/>
    <w:rsid w:val="00D26BDA"/>
    <w:rsid w:val="00D313F1"/>
    <w:rsid w:val="00D42FBF"/>
    <w:rsid w:val="00D43654"/>
    <w:rsid w:val="00D62FA5"/>
    <w:rsid w:val="00D64D78"/>
    <w:rsid w:val="00D65787"/>
    <w:rsid w:val="00D765FE"/>
    <w:rsid w:val="00D77582"/>
    <w:rsid w:val="00D86ABD"/>
    <w:rsid w:val="00D87FA9"/>
    <w:rsid w:val="00D92D2C"/>
    <w:rsid w:val="00DC0542"/>
    <w:rsid w:val="00DC41AD"/>
    <w:rsid w:val="00DC494C"/>
    <w:rsid w:val="00DD01F8"/>
    <w:rsid w:val="00DD6F5D"/>
    <w:rsid w:val="00DD7ADF"/>
    <w:rsid w:val="00DE2EB8"/>
    <w:rsid w:val="00DF0029"/>
    <w:rsid w:val="00DF5250"/>
    <w:rsid w:val="00E25767"/>
    <w:rsid w:val="00E40117"/>
    <w:rsid w:val="00E62BC6"/>
    <w:rsid w:val="00E665B4"/>
    <w:rsid w:val="00E7022A"/>
    <w:rsid w:val="00E752D1"/>
    <w:rsid w:val="00E77756"/>
    <w:rsid w:val="00E935B0"/>
    <w:rsid w:val="00E97CF7"/>
    <w:rsid w:val="00EA1C66"/>
    <w:rsid w:val="00EA2674"/>
    <w:rsid w:val="00EA3242"/>
    <w:rsid w:val="00EB03AB"/>
    <w:rsid w:val="00EB377E"/>
    <w:rsid w:val="00EC04E8"/>
    <w:rsid w:val="00EC05BE"/>
    <w:rsid w:val="00ED5E7D"/>
    <w:rsid w:val="00EF381B"/>
    <w:rsid w:val="00F0058A"/>
    <w:rsid w:val="00F01DEF"/>
    <w:rsid w:val="00F05A9C"/>
    <w:rsid w:val="00F1273C"/>
    <w:rsid w:val="00F12E00"/>
    <w:rsid w:val="00F15BA7"/>
    <w:rsid w:val="00F21DED"/>
    <w:rsid w:val="00F22951"/>
    <w:rsid w:val="00F26985"/>
    <w:rsid w:val="00F3074D"/>
    <w:rsid w:val="00F309B1"/>
    <w:rsid w:val="00F35261"/>
    <w:rsid w:val="00F47F83"/>
    <w:rsid w:val="00F52171"/>
    <w:rsid w:val="00F536C3"/>
    <w:rsid w:val="00F60994"/>
    <w:rsid w:val="00F60CD1"/>
    <w:rsid w:val="00F96225"/>
    <w:rsid w:val="00FB255F"/>
    <w:rsid w:val="00FB527F"/>
    <w:rsid w:val="00FB68B1"/>
    <w:rsid w:val="00FC237E"/>
    <w:rsid w:val="00FC50EF"/>
    <w:rsid w:val="00FC7DF6"/>
    <w:rsid w:val="00FD3543"/>
    <w:rsid w:val="00FD78BF"/>
    <w:rsid w:val="00FE3D2D"/>
    <w:rsid w:val="00FE48A1"/>
    <w:rsid w:val="00FE5018"/>
    <w:rsid w:val="00FE7F4D"/>
    <w:rsid w:val="00FF520A"/>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a-DK" w:eastAsia="da-D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7ADF"/>
    <w:pPr>
      <w:spacing w:after="200" w:line="276" w:lineRule="auto"/>
    </w:pPr>
    <w:rPr>
      <w:lang w:val="en-US" w:eastAsia="en-US"/>
    </w:rPr>
  </w:style>
  <w:style w:type="paragraph" w:styleId="Overskrift1">
    <w:name w:val="heading 1"/>
    <w:basedOn w:val="Normal"/>
    <w:next w:val="Normal"/>
    <w:link w:val="Overskrift1Tegn"/>
    <w:uiPriority w:val="99"/>
    <w:qFormat/>
    <w:rsid w:val="00DD7ADF"/>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uiPriority w:val="99"/>
    <w:qFormat/>
    <w:rsid w:val="00DD7ADF"/>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uiPriority w:val="99"/>
    <w:qFormat/>
    <w:locked/>
    <w:rsid w:val="00DD7ADF"/>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uiPriority w:val="99"/>
    <w:qFormat/>
    <w:locked/>
    <w:rsid w:val="00DD7ADF"/>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uiPriority w:val="99"/>
    <w:qFormat/>
    <w:locked/>
    <w:rsid w:val="00DD7ADF"/>
    <w:pPr>
      <w:keepNext/>
      <w:keepLines/>
      <w:spacing w:before="200" w:after="0"/>
      <w:outlineLvl w:val="4"/>
    </w:pPr>
    <w:rPr>
      <w:rFonts w:ascii="Cambria" w:hAnsi="Cambria"/>
      <w:color w:val="243F60"/>
    </w:rPr>
  </w:style>
  <w:style w:type="paragraph" w:styleId="Overskrift6">
    <w:name w:val="heading 6"/>
    <w:basedOn w:val="Normal"/>
    <w:next w:val="Normal"/>
    <w:link w:val="Overskrift6Tegn"/>
    <w:uiPriority w:val="99"/>
    <w:qFormat/>
    <w:locked/>
    <w:rsid w:val="00DD7ADF"/>
    <w:pPr>
      <w:keepNext/>
      <w:keepLines/>
      <w:spacing w:before="200" w:after="0"/>
      <w:outlineLvl w:val="5"/>
    </w:pPr>
    <w:rPr>
      <w:rFonts w:ascii="Cambria" w:hAnsi="Cambria"/>
      <w:i/>
      <w:iCs/>
      <w:color w:val="243F60"/>
    </w:rPr>
  </w:style>
  <w:style w:type="paragraph" w:styleId="Overskrift7">
    <w:name w:val="heading 7"/>
    <w:basedOn w:val="Normal"/>
    <w:next w:val="Normal"/>
    <w:link w:val="Overskrift7Tegn"/>
    <w:uiPriority w:val="99"/>
    <w:qFormat/>
    <w:locked/>
    <w:rsid w:val="00DD7ADF"/>
    <w:pPr>
      <w:keepNext/>
      <w:keepLines/>
      <w:spacing w:before="200" w:after="0"/>
      <w:outlineLvl w:val="6"/>
    </w:pPr>
    <w:rPr>
      <w:rFonts w:ascii="Cambria" w:hAnsi="Cambria"/>
      <w:i/>
      <w:iCs/>
      <w:color w:val="404040"/>
    </w:rPr>
  </w:style>
  <w:style w:type="paragraph" w:styleId="Overskrift8">
    <w:name w:val="heading 8"/>
    <w:basedOn w:val="Normal"/>
    <w:next w:val="Normal"/>
    <w:link w:val="Overskrift8Tegn"/>
    <w:uiPriority w:val="99"/>
    <w:qFormat/>
    <w:locked/>
    <w:rsid w:val="00DD7ADF"/>
    <w:pPr>
      <w:keepNext/>
      <w:keepLines/>
      <w:spacing w:before="200" w:after="0"/>
      <w:outlineLvl w:val="7"/>
    </w:pPr>
    <w:rPr>
      <w:rFonts w:ascii="Cambria" w:hAnsi="Cambria"/>
      <w:color w:val="4F81BD"/>
      <w:sz w:val="20"/>
      <w:szCs w:val="20"/>
    </w:rPr>
  </w:style>
  <w:style w:type="paragraph" w:styleId="Overskrift9">
    <w:name w:val="heading 9"/>
    <w:basedOn w:val="Normal"/>
    <w:next w:val="Normal"/>
    <w:link w:val="Overskrift9Tegn"/>
    <w:uiPriority w:val="99"/>
    <w:qFormat/>
    <w:locked/>
    <w:rsid w:val="00DD7ADF"/>
    <w:pPr>
      <w:keepNext/>
      <w:keepLines/>
      <w:spacing w:before="200" w:after="0"/>
      <w:outlineLvl w:val="8"/>
    </w:pPr>
    <w:rPr>
      <w:rFonts w:ascii="Cambria" w:hAnsi="Cambria"/>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D7ADF"/>
    <w:rPr>
      <w:rFonts w:ascii="Cambria" w:hAnsi="Cambria" w:cs="Times New Roman"/>
      <w:b/>
      <w:bCs/>
      <w:color w:val="365F91"/>
      <w:sz w:val="28"/>
      <w:szCs w:val="28"/>
    </w:rPr>
  </w:style>
  <w:style w:type="character" w:customStyle="1" w:styleId="Overskrift2Tegn">
    <w:name w:val="Overskrift 2 Tegn"/>
    <w:basedOn w:val="Standardskrifttypeiafsnit"/>
    <w:link w:val="Overskrift2"/>
    <w:uiPriority w:val="99"/>
    <w:locked/>
    <w:rsid w:val="00DD7ADF"/>
    <w:rPr>
      <w:rFonts w:ascii="Cambria" w:hAnsi="Cambria" w:cs="Times New Roman"/>
      <w:b/>
      <w:bCs/>
      <w:color w:val="4F81BD"/>
      <w:sz w:val="26"/>
      <w:szCs w:val="26"/>
    </w:rPr>
  </w:style>
  <w:style w:type="character" w:customStyle="1" w:styleId="Overskrift3Tegn">
    <w:name w:val="Overskrift 3 Tegn"/>
    <w:basedOn w:val="Standardskrifttypeiafsnit"/>
    <w:link w:val="Overskrift3"/>
    <w:uiPriority w:val="99"/>
    <w:locked/>
    <w:rsid w:val="00DD7ADF"/>
    <w:rPr>
      <w:rFonts w:ascii="Cambria" w:hAnsi="Cambria" w:cs="Times New Roman"/>
      <w:b/>
      <w:bCs/>
      <w:color w:val="4F81BD"/>
    </w:rPr>
  </w:style>
  <w:style w:type="character" w:customStyle="1" w:styleId="Overskrift4Tegn">
    <w:name w:val="Overskrift 4 Tegn"/>
    <w:basedOn w:val="Standardskrifttypeiafsnit"/>
    <w:link w:val="Overskrift4"/>
    <w:uiPriority w:val="99"/>
    <w:locked/>
    <w:rsid w:val="00DD7ADF"/>
    <w:rPr>
      <w:rFonts w:ascii="Cambria" w:hAnsi="Cambria" w:cs="Times New Roman"/>
      <w:b/>
      <w:bCs/>
      <w:i/>
      <w:iCs/>
      <w:color w:val="4F81BD"/>
    </w:rPr>
  </w:style>
  <w:style w:type="character" w:customStyle="1" w:styleId="Overskrift5Tegn">
    <w:name w:val="Overskrift 5 Tegn"/>
    <w:basedOn w:val="Standardskrifttypeiafsnit"/>
    <w:link w:val="Overskrift5"/>
    <w:uiPriority w:val="99"/>
    <w:locked/>
    <w:rsid w:val="00DD7ADF"/>
    <w:rPr>
      <w:rFonts w:ascii="Cambria" w:hAnsi="Cambria" w:cs="Times New Roman"/>
      <w:color w:val="243F60"/>
    </w:rPr>
  </w:style>
  <w:style w:type="character" w:customStyle="1" w:styleId="Overskrift6Tegn">
    <w:name w:val="Overskrift 6 Tegn"/>
    <w:basedOn w:val="Standardskrifttypeiafsnit"/>
    <w:link w:val="Overskrift6"/>
    <w:uiPriority w:val="99"/>
    <w:locked/>
    <w:rsid w:val="00DD7ADF"/>
    <w:rPr>
      <w:rFonts w:ascii="Cambria" w:hAnsi="Cambria" w:cs="Times New Roman"/>
      <w:i/>
      <w:iCs/>
      <w:color w:val="243F60"/>
    </w:rPr>
  </w:style>
  <w:style w:type="character" w:customStyle="1" w:styleId="Overskrift7Tegn">
    <w:name w:val="Overskrift 7 Tegn"/>
    <w:basedOn w:val="Standardskrifttypeiafsnit"/>
    <w:link w:val="Overskrift7"/>
    <w:uiPriority w:val="99"/>
    <w:locked/>
    <w:rsid w:val="00DD7ADF"/>
    <w:rPr>
      <w:rFonts w:ascii="Cambria" w:hAnsi="Cambria" w:cs="Times New Roman"/>
      <w:i/>
      <w:iCs/>
      <w:color w:val="404040"/>
    </w:rPr>
  </w:style>
  <w:style w:type="character" w:customStyle="1" w:styleId="Overskrift8Tegn">
    <w:name w:val="Overskrift 8 Tegn"/>
    <w:basedOn w:val="Standardskrifttypeiafsnit"/>
    <w:link w:val="Overskrift8"/>
    <w:uiPriority w:val="99"/>
    <w:locked/>
    <w:rsid w:val="00DD7ADF"/>
    <w:rPr>
      <w:rFonts w:ascii="Cambria" w:hAnsi="Cambria" w:cs="Times New Roman"/>
      <w:color w:val="4F81BD"/>
      <w:sz w:val="20"/>
      <w:szCs w:val="20"/>
    </w:rPr>
  </w:style>
  <w:style w:type="character" w:customStyle="1" w:styleId="Overskrift9Tegn">
    <w:name w:val="Overskrift 9 Tegn"/>
    <w:basedOn w:val="Standardskrifttypeiafsnit"/>
    <w:link w:val="Overskrift9"/>
    <w:uiPriority w:val="99"/>
    <w:locked/>
    <w:rsid w:val="00DD7ADF"/>
    <w:rPr>
      <w:rFonts w:ascii="Cambria" w:hAnsi="Cambria" w:cs="Times New Roman"/>
      <w:i/>
      <w:iCs/>
      <w:color w:val="404040"/>
      <w:sz w:val="20"/>
      <w:szCs w:val="20"/>
    </w:rPr>
  </w:style>
  <w:style w:type="table" w:styleId="Tabel-Gitter">
    <w:name w:val="Table Grid"/>
    <w:basedOn w:val="Tabel-Normal"/>
    <w:uiPriority w:val="99"/>
    <w:rsid w:val="00FC50E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FC50E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430B81"/>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430B8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Hyperlink">
    <w:name w:val="Hyperlink"/>
    <w:basedOn w:val="Standardskrifttypeiafsnit"/>
    <w:uiPriority w:val="99"/>
    <w:rsid w:val="003308A8"/>
    <w:rPr>
      <w:rFonts w:cs="Times New Roman"/>
      <w:color w:val="0000FF"/>
      <w:u w:val="single"/>
    </w:rPr>
  </w:style>
  <w:style w:type="paragraph" w:styleId="Listeafsnit">
    <w:name w:val="List Paragraph"/>
    <w:basedOn w:val="Normal"/>
    <w:uiPriority w:val="99"/>
    <w:qFormat/>
    <w:rsid w:val="00DD7ADF"/>
    <w:pPr>
      <w:ind w:left="720"/>
      <w:contextualSpacing/>
    </w:pPr>
  </w:style>
  <w:style w:type="paragraph" w:styleId="Sidehoved">
    <w:name w:val="header"/>
    <w:basedOn w:val="Normal"/>
    <w:link w:val="SidehovedTegn"/>
    <w:uiPriority w:val="99"/>
    <w:semiHidden/>
    <w:rsid w:val="00AC49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AC4982"/>
    <w:rPr>
      <w:rFonts w:cs="Times New Roman"/>
      <w:lang w:val="en-GB"/>
    </w:rPr>
  </w:style>
  <w:style w:type="paragraph" w:styleId="Sidefod">
    <w:name w:val="footer"/>
    <w:basedOn w:val="Normal"/>
    <w:link w:val="SidefodTegn"/>
    <w:uiPriority w:val="99"/>
    <w:rsid w:val="00AC4982"/>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AC4982"/>
    <w:rPr>
      <w:rFonts w:cs="Times New Roman"/>
      <w:lang w:val="en-GB"/>
    </w:rPr>
  </w:style>
  <w:style w:type="character" w:styleId="Kommentarhenvisning">
    <w:name w:val="annotation reference"/>
    <w:basedOn w:val="Standardskrifttypeiafsnit"/>
    <w:uiPriority w:val="99"/>
    <w:semiHidden/>
    <w:rsid w:val="00B22E0A"/>
    <w:rPr>
      <w:rFonts w:cs="Times New Roman"/>
      <w:sz w:val="16"/>
      <w:szCs w:val="16"/>
    </w:rPr>
  </w:style>
  <w:style w:type="paragraph" w:styleId="Kommentartekst">
    <w:name w:val="annotation text"/>
    <w:basedOn w:val="Normal"/>
    <w:link w:val="KommentartekstTegn"/>
    <w:uiPriority w:val="99"/>
    <w:semiHidden/>
    <w:rsid w:val="00B22E0A"/>
    <w:rPr>
      <w:sz w:val="20"/>
      <w:szCs w:val="20"/>
    </w:rPr>
  </w:style>
  <w:style w:type="character" w:customStyle="1" w:styleId="KommentartekstTegn">
    <w:name w:val="Kommentartekst Tegn"/>
    <w:basedOn w:val="Standardskrifttypeiafsnit"/>
    <w:link w:val="Kommentartekst"/>
    <w:uiPriority w:val="99"/>
    <w:semiHidden/>
    <w:locked/>
    <w:rsid w:val="002444F2"/>
    <w:rPr>
      <w:rFonts w:cs="Times New Roman"/>
      <w:sz w:val="20"/>
      <w:szCs w:val="20"/>
      <w:lang w:val="en-GB" w:eastAsia="en-US"/>
    </w:rPr>
  </w:style>
  <w:style w:type="paragraph" w:styleId="Kommentaremne">
    <w:name w:val="annotation subject"/>
    <w:basedOn w:val="Kommentartekst"/>
    <w:next w:val="Kommentartekst"/>
    <w:link w:val="KommentaremneTegn"/>
    <w:uiPriority w:val="99"/>
    <w:semiHidden/>
    <w:rsid w:val="00B22E0A"/>
    <w:rPr>
      <w:b/>
      <w:bCs/>
    </w:rPr>
  </w:style>
  <w:style w:type="character" w:customStyle="1" w:styleId="KommentaremneTegn">
    <w:name w:val="Kommentaremne Tegn"/>
    <w:basedOn w:val="KommentartekstTegn"/>
    <w:link w:val="Kommentaremne"/>
    <w:uiPriority w:val="99"/>
    <w:semiHidden/>
    <w:locked/>
    <w:rsid w:val="002444F2"/>
    <w:rPr>
      <w:b/>
      <w:bCs/>
    </w:rPr>
  </w:style>
  <w:style w:type="paragraph" w:styleId="Markeringsbobletekst">
    <w:name w:val="Balloon Text"/>
    <w:basedOn w:val="Normal"/>
    <w:link w:val="MarkeringsbobletekstTegn"/>
    <w:uiPriority w:val="99"/>
    <w:semiHidden/>
    <w:rsid w:val="00B22E0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2444F2"/>
    <w:rPr>
      <w:rFonts w:ascii="Times New Roman" w:hAnsi="Times New Roman" w:cs="Times New Roman"/>
      <w:sz w:val="2"/>
      <w:lang w:val="en-GB" w:eastAsia="en-US"/>
    </w:rPr>
  </w:style>
  <w:style w:type="paragraph" w:styleId="Fodnotetekst">
    <w:name w:val="footnote text"/>
    <w:basedOn w:val="Normal"/>
    <w:link w:val="FodnotetekstTegn"/>
    <w:uiPriority w:val="99"/>
    <w:rsid w:val="00083BA0"/>
    <w:rPr>
      <w:sz w:val="20"/>
      <w:szCs w:val="20"/>
    </w:rPr>
  </w:style>
  <w:style w:type="character" w:customStyle="1" w:styleId="FodnotetekstTegn">
    <w:name w:val="Fodnotetekst Tegn"/>
    <w:basedOn w:val="Standardskrifttypeiafsnit"/>
    <w:link w:val="Fodnotetekst"/>
    <w:uiPriority w:val="99"/>
    <w:locked/>
    <w:rsid w:val="00083BA0"/>
    <w:rPr>
      <w:rFonts w:cs="Times New Roman"/>
      <w:sz w:val="20"/>
      <w:szCs w:val="20"/>
      <w:lang w:val="en-GB" w:eastAsia="en-US"/>
    </w:rPr>
  </w:style>
  <w:style w:type="character" w:styleId="Fodnotehenvisning">
    <w:name w:val="footnote reference"/>
    <w:basedOn w:val="Standardskrifttypeiafsnit"/>
    <w:uiPriority w:val="99"/>
    <w:semiHidden/>
    <w:rsid w:val="00083BA0"/>
    <w:rPr>
      <w:rFonts w:cs="Times New Roman"/>
      <w:vertAlign w:val="superscript"/>
    </w:rPr>
  </w:style>
  <w:style w:type="paragraph" w:styleId="Billedtekst">
    <w:name w:val="caption"/>
    <w:basedOn w:val="Normal"/>
    <w:next w:val="Normal"/>
    <w:uiPriority w:val="99"/>
    <w:qFormat/>
    <w:locked/>
    <w:rsid w:val="00DD7ADF"/>
    <w:pPr>
      <w:spacing w:line="240" w:lineRule="auto"/>
    </w:pPr>
    <w:rPr>
      <w:b/>
      <w:bCs/>
      <w:color w:val="4F81BD"/>
      <w:sz w:val="18"/>
      <w:szCs w:val="18"/>
    </w:rPr>
  </w:style>
  <w:style w:type="paragraph" w:styleId="Titel">
    <w:name w:val="Title"/>
    <w:basedOn w:val="Normal"/>
    <w:next w:val="Normal"/>
    <w:link w:val="TitelTegn"/>
    <w:uiPriority w:val="99"/>
    <w:qFormat/>
    <w:locked/>
    <w:rsid w:val="00DD7AD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Tegn">
    <w:name w:val="Titel Tegn"/>
    <w:basedOn w:val="Standardskrifttypeiafsnit"/>
    <w:link w:val="Titel"/>
    <w:uiPriority w:val="99"/>
    <w:locked/>
    <w:rsid w:val="00DD7ADF"/>
    <w:rPr>
      <w:rFonts w:ascii="Cambria" w:hAnsi="Cambria" w:cs="Times New Roman"/>
      <w:color w:val="17365D"/>
      <w:spacing w:val="5"/>
      <w:kern w:val="28"/>
      <w:sz w:val="52"/>
      <w:szCs w:val="52"/>
    </w:rPr>
  </w:style>
  <w:style w:type="paragraph" w:styleId="Undertitel">
    <w:name w:val="Subtitle"/>
    <w:basedOn w:val="Normal"/>
    <w:next w:val="Normal"/>
    <w:link w:val="UndertitelTegn"/>
    <w:uiPriority w:val="99"/>
    <w:qFormat/>
    <w:locked/>
    <w:rsid w:val="00DD7ADF"/>
    <w:pPr>
      <w:numPr>
        <w:ilvl w:val="1"/>
      </w:numPr>
    </w:pPr>
    <w:rPr>
      <w:rFonts w:ascii="Cambria" w:hAnsi="Cambria"/>
      <w:i/>
      <w:iCs/>
      <w:color w:val="4F81BD"/>
      <w:spacing w:val="15"/>
      <w:sz w:val="24"/>
      <w:szCs w:val="24"/>
    </w:rPr>
  </w:style>
  <w:style w:type="character" w:customStyle="1" w:styleId="UndertitelTegn">
    <w:name w:val="Undertitel Tegn"/>
    <w:basedOn w:val="Standardskrifttypeiafsnit"/>
    <w:link w:val="Undertitel"/>
    <w:uiPriority w:val="99"/>
    <w:locked/>
    <w:rsid w:val="00DD7ADF"/>
    <w:rPr>
      <w:rFonts w:ascii="Cambria" w:hAnsi="Cambria" w:cs="Times New Roman"/>
      <w:i/>
      <w:iCs/>
      <w:color w:val="4F81BD"/>
      <w:spacing w:val="15"/>
      <w:sz w:val="24"/>
      <w:szCs w:val="24"/>
    </w:rPr>
  </w:style>
  <w:style w:type="character" w:styleId="Strk">
    <w:name w:val="Strong"/>
    <w:basedOn w:val="Standardskrifttypeiafsnit"/>
    <w:uiPriority w:val="99"/>
    <w:qFormat/>
    <w:locked/>
    <w:rsid w:val="00DD7ADF"/>
    <w:rPr>
      <w:rFonts w:cs="Times New Roman"/>
      <w:b/>
      <w:bCs/>
    </w:rPr>
  </w:style>
  <w:style w:type="character" w:styleId="Fremhv">
    <w:name w:val="Emphasis"/>
    <w:basedOn w:val="Standardskrifttypeiafsnit"/>
    <w:uiPriority w:val="99"/>
    <w:qFormat/>
    <w:locked/>
    <w:rsid w:val="00DD7ADF"/>
    <w:rPr>
      <w:rFonts w:cs="Times New Roman"/>
      <w:i/>
      <w:iCs/>
    </w:rPr>
  </w:style>
  <w:style w:type="paragraph" w:styleId="Ingenafstand">
    <w:name w:val="No Spacing"/>
    <w:uiPriority w:val="99"/>
    <w:qFormat/>
    <w:rsid w:val="00DD7ADF"/>
    <w:rPr>
      <w:lang w:val="en-US" w:eastAsia="en-US"/>
    </w:rPr>
  </w:style>
  <w:style w:type="paragraph" w:styleId="Citat">
    <w:name w:val="Quote"/>
    <w:basedOn w:val="Normal"/>
    <w:next w:val="Normal"/>
    <w:link w:val="CitatTegn"/>
    <w:uiPriority w:val="99"/>
    <w:qFormat/>
    <w:rsid w:val="00DD7ADF"/>
    <w:rPr>
      <w:i/>
      <w:iCs/>
      <w:color w:val="000000"/>
    </w:rPr>
  </w:style>
  <w:style w:type="character" w:customStyle="1" w:styleId="CitatTegn">
    <w:name w:val="Citat Tegn"/>
    <w:basedOn w:val="Standardskrifttypeiafsnit"/>
    <w:link w:val="Citat"/>
    <w:uiPriority w:val="99"/>
    <w:locked/>
    <w:rsid w:val="00DD7ADF"/>
    <w:rPr>
      <w:rFonts w:cs="Times New Roman"/>
      <w:i/>
      <w:iCs/>
      <w:color w:val="000000"/>
    </w:rPr>
  </w:style>
  <w:style w:type="paragraph" w:styleId="Strktcitat">
    <w:name w:val="Intense Quote"/>
    <w:basedOn w:val="Normal"/>
    <w:next w:val="Normal"/>
    <w:link w:val="StrktcitatTegn"/>
    <w:uiPriority w:val="99"/>
    <w:qFormat/>
    <w:rsid w:val="00DD7ADF"/>
    <w:pPr>
      <w:pBdr>
        <w:bottom w:val="single" w:sz="4" w:space="4" w:color="4F81BD"/>
      </w:pBdr>
      <w:spacing w:before="200" w:after="280"/>
      <w:ind w:left="936" w:right="936"/>
    </w:pPr>
    <w:rPr>
      <w:b/>
      <w:bCs/>
      <w:i/>
      <w:iCs/>
      <w:color w:val="4F81BD"/>
    </w:rPr>
  </w:style>
  <w:style w:type="character" w:customStyle="1" w:styleId="StrktcitatTegn">
    <w:name w:val="Stærkt citat Tegn"/>
    <w:basedOn w:val="Standardskrifttypeiafsnit"/>
    <w:link w:val="Strktcitat"/>
    <w:uiPriority w:val="99"/>
    <w:locked/>
    <w:rsid w:val="00DD7ADF"/>
    <w:rPr>
      <w:rFonts w:cs="Times New Roman"/>
      <w:b/>
      <w:bCs/>
      <w:i/>
      <w:iCs/>
      <w:color w:val="4F81BD"/>
    </w:rPr>
  </w:style>
  <w:style w:type="character" w:styleId="Svagfremhvning">
    <w:name w:val="Subtle Emphasis"/>
    <w:basedOn w:val="Standardskrifttypeiafsnit"/>
    <w:uiPriority w:val="99"/>
    <w:qFormat/>
    <w:rsid w:val="00DD7ADF"/>
    <w:rPr>
      <w:rFonts w:cs="Times New Roman"/>
      <w:i/>
      <w:iCs/>
      <w:color w:val="808080"/>
    </w:rPr>
  </w:style>
  <w:style w:type="character" w:styleId="Kraftigfremhvning">
    <w:name w:val="Intense Emphasis"/>
    <w:basedOn w:val="Standardskrifttypeiafsnit"/>
    <w:uiPriority w:val="99"/>
    <w:qFormat/>
    <w:rsid w:val="00DD7ADF"/>
    <w:rPr>
      <w:rFonts w:cs="Times New Roman"/>
      <w:b/>
      <w:bCs/>
      <w:i/>
      <w:iCs/>
      <w:color w:val="4F81BD"/>
    </w:rPr>
  </w:style>
  <w:style w:type="character" w:styleId="Svaghenvisning">
    <w:name w:val="Subtle Reference"/>
    <w:basedOn w:val="Standardskrifttypeiafsnit"/>
    <w:uiPriority w:val="99"/>
    <w:qFormat/>
    <w:rsid w:val="00DD7ADF"/>
    <w:rPr>
      <w:rFonts w:cs="Times New Roman"/>
      <w:smallCaps/>
      <w:color w:val="C0504D"/>
      <w:u w:val="single"/>
    </w:rPr>
  </w:style>
  <w:style w:type="character" w:styleId="Kraftighenvisning">
    <w:name w:val="Intense Reference"/>
    <w:basedOn w:val="Standardskrifttypeiafsnit"/>
    <w:uiPriority w:val="99"/>
    <w:qFormat/>
    <w:rsid w:val="00DD7ADF"/>
    <w:rPr>
      <w:rFonts w:cs="Times New Roman"/>
      <w:b/>
      <w:bCs/>
      <w:smallCaps/>
      <w:color w:val="C0504D"/>
      <w:spacing w:val="5"/>
      <w:u w:val="single"/>
    </w:rPr>
  </w:style>
  <w:style w:type="character" w:styleId="Bogenstitel">
    <w:name w:val="Book Title"/>
    <w:basedOn w:val="Standardskrifttypeiafsnit"/>
    <w:uiPriority w:val="99"/>
    <w:qFormat/>
    <w:rsid w:val="00DD7ADF"/>
    <w:rPr>
      <w:rFonts w:cs="Times New Roman"/>
      <w:b/>
      <w:bCs/>
      <w:smallCaps/>
      <w:spacing w:val="5"/>
    </w:rPr>
  </w:style>
  <w:style w:type="paragraph" w:styleId="Overskrift">
    <w:name w:val="TOC Heading"/>
    <w:basedOn w:val="Overskrift1"/>
    <w:next w:val="Normal"/>
    <w:uiPriority w:val="99"/>
    <w:qFormat/>
    <w:rsid w:val="00DD7ADF"/>
    <w:pPr>
      <w:outlineLvl w:val="9"/>
    </w:pPr>
  </w:style>
  <w:style w:type="paragraph" w:customStyle="1" w:styleId="DecimalAligned">
    <w:name w:val="Decimal Aligned"/>
    <w:basedOn w:val="Normal"/>
    <w:uiPriority w:val="99"/>
    <w:rsid w:val="00D77582"/>
    <w:pPr>
      <w:tabs>
        <w:tab w:val="decimal" w:pos="360"/>
      </w:tabs>
    </w:pPr>
  </w:style>
  <w:style w:type="table" w:styleId="Mediumskygge2-fremhvningsfarve5">
    <w:name w:val="Medium Shading 2 Accent 5"/>
    <w:basedOn w:val="Tabel-Normal"/>
    <w:uiPriority w:val="99"/>
    <w:rsid w:val="00D7758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8763DE"/>
    <w:pPr>
      <w:autoSpaceDE w:val="0"/>
      <w:autoSpaceDN w:val="0"/>
      <w:adjustRightInd w:val="0"/>
    </w:pPr>
    <w:rPr>
      <w:rFonts w:ascii="Arial" w:hAnsi="Arial" w:cs="Arial"/>
      <w:color w:val="000000"/>
      <w:sz w:val="24"/>
      <w:szCs w:val="24"/>
    </w:rPr>
  </w:style>
  <w:style w:type="paragraph" w:styleId="Slutnotetekst">
    <w:name w:val="endnote text"/>
    <w:basedOn w:val="Normal"/>
    <w:link w:val="SlutnotetekstTegn"/>
    <w:uiPriority w:val="99"/>
    <w:semiHidden/>
    <w:rsid w:val="00402302"/>
    <w:rPr>
      <w:sz w:val="20"/>
      <w:szCs w:val="20"/>
    </w:rPr>
  </w:style>
  <w:style w:type="character" w:customStyle="1" w:styleId="SlutnotetekstTegn">
    <w:name w:val="Slutnotetekst Tegn"/>
    <w:basedOn w:val="Standardskrifttypeiafsnit"/>
    <w:link w:val="Slutnotetekst"/>
    <w:uiPriority w:val="99"/>
    <w:semiHidden/>
    <w:locked/>
    <w:rsid w:val="00402302"/>
    <w:rPr>
      <w:rFonts w:cs="Times New Roman"/>
      <w:lang w:val="en-US" w:eastAsia="en-US"/>
    </w:rPr>
  </w:style>
  <w:style w:type="character" w:styleId="Slutnotehenvisning">
    <w:name w:val="endnote reference"/>
    <w:basedOn w:val="Standardskrifttypeiafsnit"/>
    <w:uiPriority w:val="99"/>
    <w:semiHidden/>
    <w:rsid w:val="0040230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72899059">
      <w:marLeft w:val="0"/>
      <w:marRight w:val="0"/>
      <w:marTop w:val="0"/>
      <w:marBottom w:val="0"/>
      <w:divBdr>
        <w:top w:val="none" w:sz="0" w:space="0" w:color="auto"/>
        <w:left w:val="none" w:sz="0" w:space="0" w:color="auto"/>
        <w:bottom w:val="none" w:sz="0" w:space="0" w:color="auto"/>
        <w:right w:val="none" w:sz="0" w:space="0" w:color="auto"/>
      </w:divBdr>
    </w:div>
    <w:div w:id="1972899060">
      <w:marLeft w:val="0"/>
      <w:marRight w:val="0"/>
      <w:marTop w:val="0"/>
      <w:marBottom w:val="0"/>
      <w:divBdr>
        <w:top w:val="none" w:sz="0" w:space="0" w:color="auto"/>
        <w:left w:val="none" w:sz="0" w:space="0" w:color="auto"/>
        <w:bottom w:val="none" w:sz="0" w:space="0" w:color="auto"/>
        <w:right w:val="none" w:sz="0" w:space="0" w:color="auto"/>
      </w:divBdr>
      <w:divsChild>
        <w:div w:id="1972899062">
          <w:marLeft w:val="547"/>
          <w:marRight w:val="0"/>
          <w:marTop w:val="0"/>
          <w:marBottom w:val="0"/>
          <w:divBdr>
            <w:top w:val="none" w:sz="0" w:space="0" w:color="auto"/>
            <w:left w:val="none" w:sz="0" w:space="0" w:color="auto"/>
            <w:bottom w:val="none" w:sz="0" w:space="0" w:color="auto"/>
            <w:right w:val="none" w:sz="0" w:space="0" w:color="auto"/>
          </w:divBdr>
        </w:div>
      </w:divsChild>
    </w:div>
    <w:div w:id="1972899064">
      <w:marLeft w:val="0"/>
      <w:marRight w:val="0"/>
      <w:marTop w:val="0"/>
      <w:marBottom w:val="0"/>
      <w:divBdr>
        <w:top w:val="none" w:sz="0" w:space="0" w:color="auto"/>
        <w:left w:val="none" w:sz="0" w:space="0" w:color="auto"/>
        <w:bottom w:val="none" w:sz="0" w:space="0" w:color="auto"/>
        <w:right w:val="none" w:sz="0" w:space="0" w:color="auto"/>
      </w:divBdr>
      <w:divsChild>
        <w:div w:id="1972899058">
          <w:marLeft w:val="547"/>
          <w:marRight w:val="0"/>
          <w:marTop w:val="0"/>
          <w:marBottom w:val="0"/>
          <w:divBdr>
            <w:top w:val="none" w:sz="0" w:space="0" w:color="auto"/>
            <w:left w:val="none" w:sz="0" w:space="0" w:color="auto"/>
            <w:bottom w:val="none" w:sz="0" w:space="0" w:color="auto"/>
            <w:right w:val="none" w:sz="0" w:space="0" w:color="auto"/>
          </w:divBdr>
        </w:div>
        <w:div w:id="1972899061">
          <w:marLeft w:val="547"/>
          <w:marRight w:val="0"/>
          <w:marTop w:val="0"/>
          <w:marBottom w:val="0"/>
          <w:divBdr>
            <w:top w:val="none" w:sz="0" w:space="0" w:color="auto"/>
            <w:left w:val="none" w:sz="0" w:space="0" w:color="auto"/>
            <w:bottom w:val="none" w:sz="0" w:space="0" w:color="auto"/>
            <w:right w:val="none" w:sz="0" w:space="0" w:color="auto"/>
          </w:divBdr>
        </w:div>
        <w:div w:id="19728990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diagramQuickStyle" Target="diagrams/quickStyle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package" Target="embeddings/Microsoft_Office_PowerPoint-dias1.sldx"/><Relationship Id="rId28" Type="http://schemas.microsoft.com/office/2007/relationships/diagramDrawing" Target="diagrams/drawing4.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emf"/><Relationship Id="rId27" Type="http://schemas.openxmlformats.org/officeDocument/2006/relationships/diagramColors" Target="diagrams/colors4.xml"/><Relationship Id="rId30" Type="http://schemas.openxmlformats.org/officeDocument/2006/relationships/package" Target="embeddings/Microsoft_Office_PowerPoint-dias2.sldx"/></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654C4-8C32-4634-81CA-146F0A25CF28}" type="doc">
      <dgm:prSet loTypeId="urn:microsoft.com/office/officeart/2005/8/layout/pyramid2" loCatId="list" qsTypeId="urn:microsoft.com/office/officeart/2005/8/quickstyle/simple1#1" qsCatId="simple" csTypeId="urn:microsoft.com/office/officeart/2005/8/colors/accent1_2#1" csCatId="accent1" phldr="1"/>
      <dgm:spPr/>
    </dgm:pt>
    <dgm:pt modelId="{A47A06DE-AB1F-4A55-845C-F1464AB33146}">
      <dgm:prSet phldrT="[Text]"/>
      <dgm:spPr/>
      <dgm:t>
        <a:bodyPr/>
        <a:lstStyle/>
        <a:p>
          <a:pPr algn="r"/>
          <a:r>
            <a:rPr lang="da-DK"/>
            <a:t>Outcome achievement and capacity grow together</a:t>
          </a:r>
        </a:p>
      </dgm:t>
    </dgm:pt>
    <dgm:pt modelId="{A88CF306-8240-45EA-B693-1DBDE04F412B}" type="parTrans" cxnId="{E1B9AC4A-43A5-43AA-AD9B-0CCA210D6228}">
      <dgm:prSet/>
      <dgm:spPr/>
      <dgm:t>
        <a:bodyPr/>
        <a:lstStyle/>
        <a:p>
          <a:pPr algn="r"/>
          <a:endParaRPr lang="da-DK"/>
        </a:p>
      </dgm:t>
    </dgm:pt>
    <dgm:pt modelId="{019F241E-3D2D-4991-BC31-25A54B0D0803}" type="sibTrans" cxnId="{E1B9AC4A-43A5-43AA-AD9B-0CCA210D6228}">
      <dgm:prSet/>
      <dgm:spPr/>
      <dgm:t>
        <a:bodyPr/>
        <a:lstStyle/>
        <a:p>
          <a:pPr algn="r"/>
          <a:endParaRPr lang="da-DK"/>
        </a:p>
      </dgm:t>
    </dgm:pt>
    <dgm:pt modelId="{09BCD3AA-119F-4984-AD52-E291D7D795C0}">
      <dgm:prSet phldrT="[Text]"/>
      <dgm:spPr/>
      <dgm:t>
        <a:bodyPr/>
        <a:lstStyle/>
        <a:p>
          <a:pPr algn="r"/>
          <a:r>
            <a:rPr lang="da-DK"/>
            <a:t>Outcomes may be achieved - but  often through unsustainable "add-ons" (technical assistance, ad hoc funding, parallel units)</a:t>
          </a:r>
        </a:p>
      </dgm:t>
    </dgm:pt>
    <dgm:pt modelId="{11D4564F-C9B7-4A07-9A98-D3440AC117BC}" type="parTrans" cxnId="{CC781132-255C-49CE-97E8-32E11FC14C7E}">
      <dgm:prSet/>
      <dgm:spPr/>
      <dgm:t>
        <a:bodyPr/>
        <a:lstStyle/>
        <a:p>
          <a:pPr algn="r"/>
          <a:endParaRPr lang="da-DK"/>
        </a:p>
      </dgm:t>
    </dgm:pt>
    <dgm:pt modelId="{9C821539-0056-4620-95E6-444F07ACC017}" type="sibTrans" cxnId="{CC781132-255C-49CE-97E8-32E11FC14C7E}">
      <dgm:prSet/>
      <dgm:spPr/>
      <dgm:t>
        <a:bodyPr/>
        <a:lstStyle/>
        <a:p>
          <a:pPr algn="r"/>
          <a:endParaRPr lang="da-DK"/>
        </a:p>
      </dgm:t>
    </dgm:pt>
    <dgm:pt modelId="{4D242B06-D2B5-4BE1-95FA-8BB85E0ABEB4}">
      <dgm:prSet phldrT="[Text]"/>
      <dgm:spPr/>
      <dgm:t>
        <a:bodyPr/>
        <a:lstStyle/>
        <a:p>
          <a:pPr algn="r"/>
          <a:r>
            <a:rPr lang="da-DK"/>
            <a:t>Outcome targets are only partially achieved - capacity was too limited</a:t>
          </a:r>
        </a:p>
      </dgm:t>
    </dgm:pt>
    <dgm:pt modelId="{C37CEF1A-8DE9-491A-90FA-7C4C30D758B9}" type="parTrans" cxnId="{2425679F-A376-4FB3-9C99-2187B475929E}">
      <dgm:prSet/>
      <dgm:spPr/>
      <dgm:t>
        <a:bodyPr/>
        <a:lstStyle/>
        <a:p>
          <a:pPr algn="r"/>
          <a:endParaRPr lang="da-DK"/>
        </a:p>
      </dgm:t>
    </dgm:pt>
    <dgm:pt modelId="{4A29F15C-131C-496F-8A3A-7A38BF144DB4}" type="sibTrans" cxnId="{2425679F-A376-4FB3-9C99-2187B475929E}">
      <dgm:prSet/>
      <dgm:spPr/>
      <dgm:t>
        <a:bodyPr/>
        <a:lstStyle/>
        <a:p>
          <a:pPr algn="r"/>
          <a:endParaRPr lang="da-DK"/>
        </a:p>
      </dgm:t>
    </dgm:pt>
    <dgm:pt modelId="{F1E47C6E-9EB1-41F1-8660-E77E107E55FC}" type="pres">
      <dgm:prSet presAssocID="{476654C4-8C32-4634-81CA-146F0A25CF28}" presName="compositeShape" presStyleCnt="0">
        <dgm:presLayoutVars>
          <dgm:dir/>
          <dgm:resizeHandles/>
        </dgm:presLayoutVars>
      </dgm:prSet>
      <dgm:spPr/>
    </dgm:pt>
    <dgm:pt modelId="{C3DC0B30-C46C-456C-8DB2-D44B9F25ED0A}" type="pres">
      <dgm:prSet presAssocID="{476654C4-8C32-4634-81CA-146F0A25CF28}" presName="pyramid" presStyleLbl="node1" presStyleIdx="0" presStyleCnt="1"/>
      <dgm:spPr/>
    </dgm:pt>
    <dgm:pt modelId="{B02C8C2A-A999-47F6-BFE2-23958077C48E}" type="pres">
      <dgm:prSet presAssocID="{476654C4-8C32-4634-81CA-146F0A25CF28}" presName="theList" presStyleCnt="0"/>
      <dgm:spPr/>
    </dgm:pt>
    <dgm:pt modelId="{32F53D95-D33D-48F8-93BA-DE2975BB5A59}" type="pres">
      <dgm:prSet presAssocID="{A47A06DE-AB1F-4A55-845C-F1464AB33146}" presName="aNode" presStyleLbl="fgAcc1" presStyleIdx="0" presStyleCnt="3">
        <dgm:presLayoutVars>
          <dgm:bulletEnabled val="1"/>
        </dgm:presLayoutVars>
      </dgm:prSet>
      <dgm:spPr/>
      <dgm:t>
        <a:bodyPr/>
        <a:lstStyle/>
        <a:p>
          <a:endParaRPr lang="da-DK"/>
        </a:p>
      </dgm:t>
    </dgm:pt>
    <dgm:pt modelId="{9FEB466A-1A33-4504-9951-0E01B697F3A5}" type="pres">
      <dgm:prSet presAssocID="{A47A06DE-AB1F-4A55-845C-F1464AB33146}" presName="aSpace" presStyleCnt="0"/>
      <dgm:spPr/>
    </dgm:pt>
    <dgm:pt modelId="{FE685527-B5BF-443B-8DE5-774A38B17BB7}" type="pres">
      <dgm:prSet presAssocID="{09BCD3AA-119F-4984-AD52-E291D7D795C0}" presName="aNode" presStyleLbl="fgAcc1" presStyleIdx="1" presStyleCnt="3">
        <dgm:presLayoutVars>
          <dgm:bulletEnabled val="1"/>
        </dgm:presLayoutVars>
      </dgm:prSet>
      <dgm:spPr/>
      <dgm:t>
        <a:bodyPr/>
        <a:lstStyle/>
        <a:p>
          <a:endParaRPr lang="da-DK"/>
        </a:p>
      </dgm:t>
    </dgm:pt>
    <dgm:pt modelId="{62DF4D5B-E671-4B82-8367-3DCB1624FB61}" type="pres">
      <dgm:prSet presAssocID="{09BCD3AA-119F-4984-AD52-E291D7D795C0}" presName="aSpace" presStyleCnt="0"/>
      <dgm:spPr/>
    </dgm:pt>
    <dgm:pt modelId="{0C95C720-1126-4159-A680-B37C291DDC2F}" type="pres">
      <dgm:prSet presAssocID="{4D242B06-D2B5-4BE1-95FA-8BB85E0ABEB4}" presName="aNode" presStyleLbl="fgAcc1" presStyleIdx="2" presStyleCnt="3">
        <dgm:presLayoutVars>
          <dgm:bulletEnabled val="1"/>
        </dgm:presLayoutVars>
      </dgm:prSet>
      <dgm:spPr/>
      <dgm:t>
        <a:bodyPr/>
        <a:lstStyle/>
        <a:p>
          <a:endParaRPr lang="da-DK"/>
        </a:p>
      </dgm:t>
    </dgm:pt>
    <dgm:pt modelId="{E6A95557-9B65-498E-8B55-80FD8D8E37D3}" type="pres">
      <dgm:prSet presAssocID="{4D242B06-D2B5-4BE1-95FA-8BB85E0ABEB4}" presName="aSpace" presStyleCnt="0"/>
      <dgm:spPr/>
    </dgm:pt>
  </dgm:ptLst>
  <dgm:cxnLst>
    <dgm:cxn modelId="{EA85FD4D-CE80-4B15-9502-C6E9341D696F}" type="presOf" srcId="{A47A06DE-AB1F-4A55-845C-F1464AB33146}" destId="{32F53D95-D33D-48F8-93BA-DE2975BB5A59}" srcOrd="0" destOrd="0" presId="urn:microsoft.com/office/officeart/2005/8/layout/pyramid2"/>
    <dgm:cxn modelId="{A6FB4EE2-3EBF-4D00-A1C3-A60662C0DDBC}" type="presOf" srcId="{4D242B06-D2B5-4BE1-95FA-8BB85E0ABEB4}" destId="{0C95C720-1126-4159-A680-B37C291DDC2F}" srcOrd="0" destOrd="0" presId="urn:microsoft.com/office/officeart/2005/8/layout/pyramid2"/>
    <dgm:cxn modelId="{2425679F-A376-4FB3-9C99-2187B475929E}" srcId="{476654C4-8C32-4634-81CA-146F0A25CF28}" destId="{4D242B06-D2B5-4BE1-95FA-8BB85E0ABEB4}" srcOrd="2" destOrd="0" parTransId="{C37CEF1A-8DE9-491A-90FA-7C4C30D758B9}" sibTransId="{4A29F15C-131C-496F-8A3A-7A38BF144DB4}"/>
    <dgm:cxn modelId="{E1B9AC4A-43A5-43AA-AD9B-0CCA210D6228}" srcId="{476654C4-8C32-4634-81CA-146F0A25CF28}" destId="{A47A06DE-AB1F-4A55-845C-F1464AB33146}" srcOrd="0" destOrd="0" parTransId="{A88CF306-8240-45EA-B693-1DBDE04F412B}" sibTransId="{019F241E-3D2D-4991-BC31-25A54B0D0803}"/>
    <dgm:cxn modelId="{5AC65F5D-00D0-4F3F-95EF-72DC8E4CA32B}" type="presOf" srcId="{09BCD3AA-119F-4984-AD52-E291D7D795C0}" destId="{FE685527-B5BF-443B-8DE5-774A38B17BB7}" srcOrd="0" destOrd="0" presId="urn:microsoft.com/office/officeart/2005/8/layout/pyramid2"/>
    <dgm:cxn modelId="{25C26156-4F60-4BE4-809E-739BDE859923}" type="presOf" srcId="{476654C4-8C32-4634-81CA-146F0A25CF28}" destId="{F1E47C6E-9EB1-41F1-8660-E77E107E55FC}" srcOrd="0" destOrd="0" presId="urn:microsoft.com/office/officeart/2005/8/layout/pyramid2"/>
    <dgm:cxn modelId="{CC781132-255C-49CE-97E8-32E11FC14C7E}" srcId="{476654C4-8C32-4634-81CA-146F0A25CF28}" destId="{09BCD3AA-119F-4984-AD52-E291D7D795C0}" srcOrd="1" destOrd="0" parTransId="{11D4564F-C9B7-4A07-9A98-D3440AC117BC}" sibTransId="{9C821539-0056-4620-95E6-444F07ACC017}"/>
    <dgm:cxn modelId="{8FD60420-EDB4-48CE-BE72-4AFF62EA64BF}" type="presParOf" srcId="{F1E47C6E-9EB1-41F1-8660-E77E107E55FC}" destId="{C3DC0B30-C46C-456C-8DB2-D44B9F25ED0A}" srcOrd="0" destOrd="0" presId="urn:microsoft.com/office/officeart/2005/8/layout/pyramid2"/>
    <dgm:cxn modelId="{137F6A29-4866-4B5C-A30C-81ED8132EA79}" type="presParOf" srcId="{F1E47C6E-9EB1-41F1-8660-E77E107E55FC}" destId="{B02C8C2A-A999-47F6-BFE2-23958077C48E}" srcOrd="1" destOrd="0" presId="urn:microsoft.com/office/officeart/2005/8/layout/pyramid2"/>
    <dgm:cxn modelId="{F3554D36-40AE-4DD3-91FB-B769DCED5ED3}" type="presParOf" srcId="{B02C8C2A-A999-47F6-BFE2-23958077C48E}" destId="{32F53D95-D33D-48F8-93BA-DE2975BB5A59}" srcOrd="0" destOrd="0" presId="urn:microsoft.com/office/officeart/2005/8/layout/pyramid2"/>
    <dgm:cxn modelId="{F3CC9B44-BEBF-4D96-9BD7-93D5C0F25B8F}" type="presParOf" srcId="{B02C8C2A-A999-47F6-BFE2-23958077C48E}" destId="{9FEB466A-1A33-4504-9951-0E01B697F3A5}" srcOrd="1" destOrd="0" presId="urn:microsoft.com/office/officeart/2005/8/layout/pyramid2"/>
    <dgm:cxn modelId="{034C9784-E2E6-4E4A-AAAB-2F28380CE326}" type="presParOf" srcId="{B02C8C2A-A999-47F6-BFE2-23958077C48E}" destId="{FE685527-B5BF-443B-8DE5-774A38B17BB7}" srcOrd="2" destOrd="0" presId="urn:microsoft.com/office/officeart/2005/8/layout/pyramid2"/>
    <dgm:cxn modelId="{8CECB912-E2A2-4974-9AFF-6131FD7670FD}" type="presParOf" srcId="{B02C8C2A-A999-47F6-BFE2-23958077C48E}" destId="{62DF4D5B-E671-4B82-8367-3DCB1624FB61}" srcOrd="3" destOrd="0" presId="urn:microsoft.com/office/officeart/2005/8/layout/pyramid2"/>
    <dgm:cxn modelId="{2E9186AD-EA93-4FE7-9267-5653A9C09C69}" type="presParOf" srcId="{B02C8C2A-A999-47F6-BFE2-23958077C48E}" destId="{0C95C720-1126-4159-A680-B37C291DDC2F}" srcOrd="4" destOrd="0" presId="urn:microsoft.com/office/officeart/2005/8/layout/pyramid2"/>
    <dgm:cxn modelId="{128912B6-BFB8-4ED6-8E36-0643149A3328}" type="presParOf" srcId="{B02C8C2A-A999-47F6-BFE2-23958077C48E}" destId="{E6A95557-9B65-498E-8B55-80FD8D8E37D3}" srcOrd="5" destOrd="0" presId="urn:microsoft.com/office/officeart/2005/8/layout/pyramid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8C5C40-D80F-4E62-9F9F-0917D33B945A}" type="doc">
      <dgm:prSet loTypeId="urn:microsoft.com/office/officeart/2005/8/layout/cycle2" loCatId="cycle" qsTypeId="urn:microsoft.com/office/officeart/2005/8/quickstyle/simple1#2" qsCatId="simple" csTypeId="urn:microsoft.com/office/officeart/2005/8/colors/accent1_2#2" csCatId="accent1" phldr="1"/>
      <dgm:spPr/>
      <dgm:t>
        <a:bodyPr/>
        <a:lstStyle/>
        <a:p>
          <a:endParaRPr lang="en-GB"/>
        </a:p>
      </dgm:t>
    </dgm:pt>
    <dgm:pt modelId="{4196F13C-D891-419A-AB8F-F2A3EF63B635}">
      <dgm:prSet phldrT="[Text]"/>
      <dgm:spPr/>
      <dgm:t>
        <a:bodyPr/>
        <a:lstStyle/>
        <a:p>
          <a:pPr algn="ctr"/>
          <a:r>
            <a:rPr lang="en-GB" dirty="0" smtClean="0"/>
            <a:t>Enabling Situation</a:t>
          </a:r>
          <a:endParaRPr lang="en-GB" dirty="0"/>
        </a:p>
      </dgm:t>
    </dgm:pt>
    <dgm:pt modelId="{A18400A2-5C51-45F3-899A-152568402EC3}" type="parTrans" cxnId="{9D59D51D-BEE7-48B7-81E1-793B4A6BE83D}">
      <dgm:prSet/>
      <dgm:spPr/>
      <dgm:t>
        <a:bodyPr/>
        <a:lstStyle/>
        <a:p>
          <a:pPr algn="ctr"/>
          <a:endParaRPr lang="en-GB"/>
        </a:p>
      </dgm:t>
    </dgm:pt>
    <dgm:pt modelId="{B751DC7F-3B3A-48FB-8B75-2A8DA14AC7AE}" type="sibTrans" cxnId="{9D59D51D-BEE7-48B7-81E1-793B4A6BE83D}">
      <dgm:prSet/>
      <dgm:spPr/>
      <dgm:t>
        <a:bodyPr/>
        <a:lstStyle/>
        <a:p>
          <a:pPr algn="ctr"/>
          <a:endParaRPr lang="en-GB"/>
        </a:p>
      </dgm:t>
    </dgm:pt>
    <dgm:pt modelId="{744BC9C4-6374-44E9-BD1A-31F47EB3CFD0}">
      <dgm:prSet phldrT="[Text]"/>
      <dgm:spPr/>
      <dgm:t>
        <a:bodyPr/>
        <a:lstStyle/>
        <a:p>
          <a:pPr algn="ctr"/>
          <a:r>
            <a:rPr lang="en-GB" dirty="0" smtClean="0"/>
            <a:t>Appealing vision </a:t>
          </a:r>
          <a:endParaRPr lang="en-GB" dirty="0"/>
        </a:p>
      </dgm:t>
    </dgm:pt>
    <dgm:pt modelId="{564FE54F-2759-49C1-8D66-26F52364B832}" type="parTrans" cxnId="{22FF81A0-4734-4DC0-ACA8-6C6CD0AFB03D}">
      <dgm:prSet/>
      <dgm:spPr/>
      <dgm:t>
        <a:bodyPr/>
        <a:lstStyle/>
        <a:p>
          <a:pPr algn="ctr"/>
          <a:endParaRPr lang="en-GB"/>
        </a:p>
      </dgm:t>
    </dgm:pt>
    <dgm:pt modelId="{54541CE4-1545-4019-BFCC-CFC787044DEE}" type="sibTrans" cxnId="{22FF81A0-4734-4DC0-ACA8-6C6CD0AFB03D}">
      <dgm:prSet/>
      <dgm:spPr/>
      <dgm:t>
        <a:bodyPr/>
        <a:lstStyle/>
        <a:p>
          <a:pPr algn="ctr"/>
          <a:endParaRPr lang="en-GB"/>
        </a:p>
      </dgm:t>
    </dgm:pt>
    <dgm:pt modelId="{D501BCC9-3406-4261-803D-E228E4D5188D}">
      <dgm:prSet phldrT="[Text]"/>
      <dgm:spPr/>
      <dgm:t>
        <a:bodyPr/>
        <a:lstStyle/>
        <a:p>
          <a:pPr algn="ctr"/>
          <a:r>
            <a:rPr lang="en-GB" dirty="0" smtClean="0"/>
            <a:t>Credible change process</a:t>
          </a:r>
          <a:endParaRPr lang="en-GB" dirty="0"/>
        </a:p>
      </dgm:t>
    </dgm:pt>
    <dgm:pt modelId="{2B25B8FF-826E-48A5-96B9-4577B04EE376}" type="parTrans" cxnId="{F8158010-6433-4845-8D05-66543F2002FD}">
      <dgm:prSet/>
      <dgm:spPr/>
      <dgm:t>
        <a:bodyPr/>
        <a:lstStyle/>
        <a:p>
          <a:pPr algn="ctr"/>
          <a:endParaRPr lang="en-GB"/>
        </a:p>
      </dgm:t>
    </dgm:pt>
    <dgm:pt modelId="{CA71BDB0-4ED2-42EB-9E8B-B7F54C9AF43B}" type="sibTrans" cxnId="{F8158010-6433-4845-8D05-66543F2002FD}">
      <dgm:prSet/>
      <dgm:spPr/>
      <dgm:t>
        <a:bodyPr/>
        <a:lstStyle/>
        <a:p>
          <a:pPr algn="ctr"/>
          <a:endParaRPr lang="en-GB"/>
        </a:p>
      </dgm:t>
    </dgm:pt>
    <dgm:pt modelId="{10F33FBB-F2EF-4071-90BF-8EF63FB82C5B}" type="pres">
      <dgm:prSet presAssocID="{668C5C40-D80F-4E62-9F9F-0917D33B945A}" presName="cycle" presStyleCnt="0">
        <dgm:presLayoutVars>
          <dgm:dir/>
          <dgm:resizeHandles val="exact"/>
        </dgm:presLayoutVars>
      </dgm:prSet>
      <dgm:spPr/>
      <dgm:t>
        <a:bodyPr/>
        <a:lstStyle/>
        <a:p>
          <a:endParaRPr lang="en-GB"/>
        </a:p>
      </dgm:t>
    </dgm:pt>
    <dgm:pt modelId="{9214B637-0577-428F-8FFB-0630B68A4619}" type="pres">
      <dgm:prSet presAssocID="{4196F13C-D891-419A-AB8F-F2A3EF63B635}" presName="node" presStyleLbl="node1" presStyleIdx="0" presStyleCnt="3">
        <dgm:presLayoutVars>
          <dgm:bulletEnabled val="1"/>
        </dgm:presLayoutVars>
      </dgm:prSet>
      <dgm:spPr/>
      <dgm:t>
        <a:bodyPr/>
        <a:lstStyle/>
        <a:p>
          <a:endParaRPr lang="en-GB"/>
        </a:p>
      </dgm:t>
    </dgm:pt>
    <dgm:pt modelId="{E6E6A532-66B9-4AA1-8C54-2EC8F4E9EA44}" type="pres">
      <dgm:prSet presAssocID="{B751DC7F-3B3A-48FB-8B75-2A8DA14AC7AE}" presName="sibTrans" presStyleLbl="sibTrans2D1" presStyleIdx="0" presStyleCnt="3" custScaleX="144408" custScaleY="85354"/>
      <dgm:spPr>
        <a:prstGeom prst="leftRightArrow">
          <a:avLst/>
        </a:prstGeom>
      </dgm:spPr>
      <dgm:t>
        <a:bodyPr/>
        <a:lstStyle/>
        <a:p>
          <a:endParaRPr lang="en-GB"/>
        </a:p>
      </dgm:t>
    </dgm:pt>
    <dgm:pt modelId="{4192F358-BA06-4453-9BCC-CA7E805EC973}" type="pres">
      <dgm:prSet presAssocID="{B751DC7F-3B3A-48FB-8B75-2A8DA14AC7AE}" presName="connectorText" presStyleLbl="sibTrans2D1" presStyleIdx="0" presStyleCnt="3"/>
      <dgm:spPr/>
      <dgm:t>
        <a:bodyPr/>
        <a:lstStyle/>
        <a:p>
          <a:endParaRPr lang="en-GB"/>
        </a:p>
      </dgm:t>
    </dgm:pt>
    <dgm:pt modelId="{A757B19F-94E9-4D2A-A7A7-BC03129D92D8}" type="pres">
      <dgm:prSet presAssocID="{744BC9C4-6374-44E9-BD1A-31F47EB3CFD0}" presName="node" presStyleLbl="node1" presStyleIdx="1" presStyleCnt="3">
        <dgm:presLayoutVars>
          <dgm:bulletEnabled val="1"/>
        </dgm:presLayoutVars>
      </dgm:prSet>
      <dgm:spPr/>
      <dgm:t>
        <a:bodyPr/>
        <a:lstStyle/>
        <a:p>
          <a:endParaRPr lang="en-GB"/>
        </a:p>
      </dgm:t>
    </dgm:pt>
    <dgm:pt modelId="{43AAA9A5-0620-414D-8C1B-CD0F34C13BCB}" type="pres">
      <dgm:prSet presAssocID="{54541CE4-1545-4019-BFCC-CFC787044DEE}" presName="sibTrans" presStyleLbl="sibTrans2D1" presStyleIdx="1" presStyleCnt="3" custAng="16200000" custScaleY="106914"/>
      <dgm:spPr>
        <a:prstGeom prst="upDownArrow">
          <a:avLst/>
        </a:prstGeom>
      </dgm:spPr>
      <dgm:t>
        <a:bodyPr/>
        <a:lstStyle/>
        <a:p>
          <a:endParaRPr lang="en-GB"/>
        </a:p>
      </dgm:t>
    </dgm:pt>
    <dgm:pt modelId="{98AB75D6-7A4E-4E6E-9D24-F0BEE2429B12}" type="pres">
      <dgm:prSet presAssocID="{54541CE4-1545-4019-BFCC-CFC787044DEE}" presName="connectorText" presStyleLbl="sibTrans2D1" presStyleIdx="1" presStyleCnt="3"/>
      <dgm:spPr/>
      <dgm:t>
        <a:bodyPr/>
        <a:lstStyle/>
        <a:p>
          <a:endParaRPr lang="en-GB"/>
        </a:p>
      </dgm:t>
    </dgm:pt>
    <dgm:pt modelId="{3D9106C1-859F-45D2-88B6-3BD98E4D46ED}" type="pres">
      <dgm:prSet presAssocID="{D501BCC9-3406-4261-803D-E228E4D5188D}" presName="node" presStyleLbl="node1" presStyleIdx="2" presStyleCnt="3">
        <dgm:presLayoutVars>
          <dgm:bulletEnabled val="1"/>
        </dgm:presLayoutVars>
      </dgm:prSet>
      <dgm:spPr/>
      <dgm:t>
        <a:bodyPr/>
        <a:lstStyle/>
        <a:p>
          <a:endParaRPr lang="en-GB"/>
        </a:p>
      </dgm:t>
    </dgm:pt>
    <dgm:pt modelId="{8AD5D29B-3A8A-4EBA-82BE-8BF0B352654F}" type="pres">
      <dgm:prSet presAssocID="{CA71BDB0-4ED2-42EB-9E8B-B7F54C9AF43B}" presName="sibTrans" presStyleLbl="sibTrans2D1" presStyleIdx="2" presStyleCnt="3" custAng="6032694" custScaleY="114562"/>
      <dgm:spPr>
        <a:prstGeom prst="upDownArrow">
          <a:avLst/>
        </a:prstGeom>
      </dgm:spPr>
      <dgm:t>
        <a:bodyPr/>
        <a:lstStyle/>
        <a:p>
          <a:endParaRPr lang="en-GB"/>
        </a:p>
      </dgm:t>
    </dgm:pt>
    <dgm:pt modelId="{4FE03E02-66BD-4F8D-9C91-9548582D844F}" type="pres">
      <dgm:prSet presAssocID="{CA71BDB0-4ED2-42EB-9E8B-B7F54C9AF43B}" presName="connectorText" presStyleLbl="sibTrans2D1" presStyleIdx="2" presStyleCnt="3"/>
      <dgm:spPr/>
      <dgm:t>
        <a:bodyPr/>
        <a:lstStyle/>
        <a:p>
          <a:endParaRPr lang="en-GB"/>
        </a:p>
      </dgm:t>
    </dgm:pt>
  </dgm:ptLst>
  <dgm:cxnLst>
    <dgm:cxn modelId="{C82768AA-E68D-472A-9142-959EDECE6AFB}" type="presOf" srcId="{B751DC7F-3B3A-48FB-8B75-2A8DA14AC7AE}" destId="{4192F358-BA06-4453-9BCC-CA7E805EC973}" srcOrd="1" destOrd="0" presId="urn:microsoft.com/office/officeart/2005/8/layout/cycle2"/>
    <dgm:cxn modelId="{F6319598-4EDB-4B8B-869E-7811190CE142}" type="presOf" srcId="{668C5C40-D80F-4E62-9F9F-0917D33B945A}" destId="{10F33FBB-F2EF-4071-90BF-8EF63FB82C5B}" srcOrd="0" destOrd="0" presId="urn:microsoft.com/office/officeart/2005/8/layout/cycle2"/>
    <dgm:cxn modelId="{05332D4D-2090-44E5-9841-67F493133538}" type="presOf" srcId="{CA71BDB0-4ED2-42EB-9E8B-B7F54C9AF43B}" destId="{4FE03E02-66BD-4F8D-9C91-9548582D844F}" srcOrd="1" destOrd="0" presId="urn:microsoft.com/office/officeart/2005/8/layout/cycle2"/>
    <dgm:cxn modelId="{6C58625D-1331-421E-AFB6-516AD43980F9}" type="presOf" srcId="{744BC9C4-6374-44E9-BD1A-31F47EB3CFD0}" destId="{A757B19F-94E9-4D2A-A7A7-BC03129D92D8}" srcOrd="0" destOrd="0" presId="urn:microsoft.com/office/officeart/2005/8/layout/cycle2"/>
    <dgm:cxn modelId="{9D59D51D-BEE7-48B7-81E1-793B4A6BE83D}" srcId="{668C5C40-D80F-4E62-9F9F-0917D33B945A}" destId="{4196F13C-D891-419A-AB8F-F2A3EF63B635}" srcOrd="0" destOrd="0" parTransId="{A18400A2-5C51-45F3-899A-152568402EC3}" sibTransId="{B751DC7F-3B3A-48FB-8B75-2A8DA14AC7AE}"/>
    <dgm:cxn modelId="{66CCC1C2-49AE-4667-99AF-439C9BA98C5A}" type="presOf" srcId="{CA71BDB0-4ED2-42EB-9E8B-B7F54C9AF43B}" destId="{8AD5D29B-3A8A-4EBA-82BE-8BF0B352654F}" srcOrd="0" destOrd="0" presId="urn:microsoft.com/office/officeart/2005/8/layout/cycle2"/>
    <dgm:cxn modelId="{7427D3AB-1F90-4F53-9744-D0BC94452FD8}" type="presOf" srcId="{D501BCC9-3406-4261-803D-E228E4D5188D}" destId="{3D9106C1-859F-45D2-88B6-3BD98E4D46ED}" srcOrd="0" destOrd="0" presId="urn:microsoft.com/office/officeart/2005/8/layout/cycle2"/>
    <dgm:cxn modelId="{22FF81A0-4734-4DC0-ACA8-6C6CD0AFB03D}" srcId="{668C5C40-D80F-4E62-9F9F-0917D33B945A}" destId="{744BC9C4-6374-44E9-BD1A-31F47EB3CFD0}" srcOrd="1" destOrd="0" parTransId="{564FE54F-2759-49C1-8D66-26F52364B832}" sibTransId="{54541CE4-1545-4019-BFCC-CFC787044DEE}"/>
    <dgm:cxn modelId="{9B0F51BC-1291-48F8-B31E-F2D9B6FEC718}" type="presOf" srcId="{B751DC7F-3B3A-48FB-8B75-2A8DA14AC7AE}" destId="{E6E6A532-66B9-4AA1-8C54-2EC8F4E9EA44}" srcOrd="0" destOrd="0" presId="urn:microsoft.com/office/officeart/2005/8/layout/cycle2"/>
    <dgm:cxn modelId="{5FA52DB2-6A23-4FC7-BFCA-F4CEE359C5F0}" type="presOf" srcId="{54541CE4-1545-4019-BFCC-CFC787044DEE}" destId="{43AAA9A5-0620-414D-8C1B-CD0F34C13BCB}" srcOrd="0" destOrd="0" presId="urn:microsoft.com/office/officeart/2005/8/layout/cycle2"/>
    <dgm:cxn modelId="{F8158010-6433-4845-8D05-66543F2002FD}" srcId="{668C5C40-D80F-4E62-9F9F-0917D33B945A}" destId="{D501BCC9-3406-4261-803D-E228E4D5188D}" srcOrd="2" destOrd="0" parTransId="{2B25B8FF-826E-48A5-96B9-4577B04EE376}" sibTransId="{CA71BDB0-4ED2-42EB-9E8B-B7F54C9AF43B}"/>
    <dgm:cxn modelId="{AF7D7B0B-16D2-4994-8EC9-C6E8994C1374}" type="presOf" srcId="{4196F13C-D891-419A-AB8F-F2A3EF63B635}" destId="{9214B637-0577-428F-8FFB-0630B68A4619}" srcOrd="0" destOrd="0" presId="urn:microsoft.com/office/officeart/2005/8/layout/cycle2"/>
    <dgm:cxn modelId="{4115FD37-D593-474E-B823-781088687A96}" type="presOf" srcId="{54541CE4-1545-4019-BFCC-CFC787044DEE}" destId="{98AB75D6-7A4E-4E6E-9D24-F0BEE2429B12}" srcOrd="1" destOrd="0" presId="urn:microsoft.com/office/officeart/2005/8/layout/cycle2"/>
    <dgm:cxn modelId="{E3675E4D-35BA-4ABB-B037-86BD2AA0CFD8}" type="presParOf" srcId="{10F33FBB-F2EF-4071-90BF-8EF63FB82C5B}" destId="{9214B637-0577-428F-8FFB-0630B68A4619}" srcOrd="0" destOrd="0" presId="urn:microsoft.com/office/officeart/2005/8/layout/cycle2"/>
    <dgm:cxn modelId="{8CFAB16F-C357-4A79-9150-E06B304BBBF5}" type="presParOf" srcId="{10F33FBB-F2EF-4071-90BF-8EF63FB82C5B}" destId="{E6E6A532-66B9-4AA1-8C54-2EC8F4E9EA44}" srcOrd="1" destOrd="0" presId="urn:microsoft.com/office/officeart/2005/8/layout/cycle2"/>
    <dgm:cxn modelId="{CADD0BAF-B43C-41FE-9CCE-88F79365EE9A}" type="presParOf" srcId="{E6E6A532-66B9-4AA1-8C54-2EC8F4E9EA44}" destId="{4192F358-BA06-4453-9BCC-CA7E805EC973}" srcOrd="0" destOrd="0" presId="urn:microsoft.com/office/officeart/2005/8/layout/cycle2"/>
    <dgm:cxn modelId="{2C5DB5C1-02C3-47CD-BD81-689B5AD5A502}" type="presParOf" srcId="{10F33FBB-F2EF-4071-90BF-8EF63FB82C5B}" destId="{A757B19F-94E9-4D2A-A7A7-BC03129D92D8}" srcOrd="2" destOrd="0" presId="urn:microsoft.com/office/officeart/2005/8/layout/cycle2"/>
    <dgm:cxn modelId="{3F0F8746-30E5-4DB0-8247-FEE2D6BFA789}" type="presParOf" srcId="{10F33FBB-F2EF-4071-90BF-8EF63FB82C5B}" destId="{43AAA9A5-0620-414D-8C1B-CD0F34C13BCB}" srcOrd="3" destOrd="0" presId="urn:microsoft.com/office/officeart/2005/8/layout/cycle2"/>
    <dgm:cxn modelId="{92001F4C-0066-4DE7-81B9-584D3258A67B}" type="presParOf" srcId="{43AAA9A5-0620-414D-8C1B-CD0F34C13BCB}" destId="{98AB75D6-7A4E-4E6E-9D24-F0BEE2429B12}" srcOrd="0" destOrd="0" presId="urn:microsoft.com/office/officeart/2005/8/layout/cycle2"/>
    <dgm:cxn modelId="{85429013-A625-4A57-9698-0FEE0185A0C8}" type="presParOf" srcId="{10F33FBB-F2EF-4071-90BF-8EF63FB82C5B}" destId="{3D9106C1-859F-45D2-88B6-3BD98E4D46ED}" srcOrd="4" destOrd="0" presId="urn:microsoft.com/office/officeart/2005/8/layout/cycle2"/>
    <dgm:cxn modelId="{BE0E9153-FA1F-401C-83D9-DDE3F2533055}" type="presParOf" srcId="{10F33FBB-F2EF-4071-90BF-8EF63FB82C5B}" destId="{8AD5D29B-3A8A-4EBA-82BE-8BF0B352654F}" srcOrd="5" destOrd="0" presId="urn:microsoft.com/office/officeart/2005/8/layout/cycle2"/>
    <dgm:cxn modelId="{DFFCFB0A-822E-450E-8AA3-AB79D3427533}" type="presParOf" srcId="{8AD5D29B-3A8A-4EBA-82BE-8BF0B352654F}" destId="{4FE03E02-66BD-4F8D-9C91-9548582D844F}" srcOrd="0" destOrd="0" presId="urn:microsoft.com/office/officeart/2005/8/layout/cycle2"/>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C52843-E361-4086-A762-893A8F4F4BAD}" type="doc">
      <dgm:prSet loTypeId="urn:microsoft.com/office/officeart/2005/8/layout/vList5" loCatId="list" qsTypeId="urn:microsoft.com/office/officeart/2005/8/quickstyle/simple1#3" qsCatId="simple" csTypeId="urn:microsoft.com/office/officeart/2005/8/colors/accent1_2#3" csCatId="accent1" phldr="1"/>
      <dgm:spPr/>
      <dgm:t>
        <a:bodyPr/>
        <a:lstStyle/>
        <a:p>
          <a:endParaRPr lang="en-GB"/>
        </a:p>
      </dgm:t>
    </dgm:pt>
    <dgm:pt modelId="{ACA9B08B-27A9-4920-ABA8-B19D1C5ACE17}">
      <dgm:prSet phldrT="[Text]"/>
      <dgm:spPr/>
      <dgm:t>
        <a:bodyPr/>
        <a:lstStyle/>
        <a:p>
          <a:r>
            <a:rPr lang="en-GB" dirty="0" smtClean="0"/>
            <a:t>Strategic perspective</a:t>
          </a:r>
          <a:endParaRPr lang="en-GB" dirty="0"/>
        </a:p>
      </dgm:t>
    </dgm:pt>
    <dgm:pt modelId="{74D28A02-6F7E-4281-876E-B3028EEFB682}" type="parTrans" cxnId="{1369C034-32B8-4AFF-8599-50FF27F696CA}">
      <dgm:prSet/>
      <dgm:spPr/>
      <dgm:t>
        <a:bodyPr/>
        <a:lstStyle/>
        <a:p>
          <a:endParaRPr lang="en-GB"/>
        </a:p>
      </dgm:t>
    </dgm:pt>
    <dgm:pt modelId="{04D1971D-7E35-4502-A48D-2AB19EA21CA3}" type="sibTrans" cxnId="{1369C034-32B8-4AFF-8599-50FF27F696CA}">
      <dgm:prSet/>
      <dgm:spPr/>
      <dgm:t>
        <a:bodyPr/>
        <a:lstStyle/>
        <a:p>
          <a:endParaRPr lang="en-GB"/>
        </a:p>
      </dgm:t>
    </dgm:pt>
    <dgm:pt modelId="{2E78C134-C1AC-41B1-BE00-F80E9FC2A533}">
      <dgm:prSet phldrT="[Text]"/>
      <dgm:spPr/>
      <dgm:t>
        <a:bodyPr/>
        <a:lstStyle/>
        <a:p>
          <a:r>
            <a:rPr lang="en-GB" dirty="0" smtClean="0"/>
            <a:t>Start where the partners are</a:t>
          </a:r>
          <a:endParaRPr lang="en-GB" dirty="0"/>
        </a:p>
      </dgm:t>
    </dgm:pt>
    <dgm:pt modelId="{1C63BEC4-A41F-4A8E-BD4E-3FF85052C417}" type="parTrans" cxnId="{6E86C418-D810-4B96-B4AC-12DF8835FC89}">
      <dgm:prSet/>
      <dgm:spPr/>
      <dgm:t>
        <a:bodyPr/>
        <a:lstStyle/>
        <a:p>
          <a:endParaRPr lang="en-GB"/>
        </a:p>
      </dgm:t>
    </dgm:pt>
    <dgm:pt modelId="{249402EC-2FA9-4D19-8133-AC51F6E49D5C}" type="sibTrans" cxnId="{6E86C418-D810-4B96-B4AC-12DF8835FC89}">
      <dgm:prSet/>
      <dgm:spPr/>
      <dgm:t>
        <a:bodyPr/>
        <a:lstStyle/>
        <a:p>
          <a:endParaRPr lang="en-GB"/>
        </a:p>
      </dgm:t>
    </dgm:pt>
    <dgm:pt modelId="{1E9CB946-38F7-4882-AE38-E0601A2E7D11}">
      <dgm:prSet phldrT="[Text]"/>
      <dgm:spPr/>
      <dgm:t>
        <a:bodyPr/>
        <a:lstStyle/>
        <a:p>
          <a:r>
            <a:rPr lang="en-GB" b="0" i="1" dirty="0" smtClean="0"/>
            <a:t>The point of departure is where the partners are and what they can and will do to promote CD</a:t>
          </a:r>
          <a:endParaRPr lang="en-GB" b="0" dirty="0"/>
        </a:p>
      </dgm:t>
    </dgm:pt>
    <dgm:pt modelId="{F4D8B00C-C2CA-416B-B1DC-429F02CF0192}" type="parTrans" cxnId="{A83A87AF-E357-42D0-ACD5-AD008319FA6E}">
      <dgm:prSet/>
      <dgm:spPr/>
      <dgm:t>
        <a:bodyPr/>
        <a:lstStyle/>
        <a:p>
          <a:endParaRPr lang="en-GB"/>
        </a:p>
      </dgm:t>
    </dgm:pt>
    <dgm:pt modelId="{13985C9F-9386-4754-B46A-163C8617C195}" type="sibTrans" cxnId="{A83A87AF-E357-42D0-ACD5-AD008319FA6E}">
      <dgm:prSet/>
      <dgm:spPr/>
      <dgm:t>
        <a:bodyPr/>
        <a:lstStyle/>
        <a:p>
          <a:endParaRPr lang="en-GB"/>
        </a:p>
      </dgm:t>
    </dgm:pt>
    <dgm:pt modelId="{E6C16B1A-0C51-4FF3-BCE0-2198ACD6CBFC}">
      <dgm:prSet phldrT="[Text]"/>
      <dgm:spPr/>
      <dgm:t>
        <a:bodyPr/>
        <a:lstStyle/>
        <a:p>
          <a:r>
            <a:rPr lang="en-GB" dirty="0" smtClean="0"/>
            <a:t>Focus on tangible results</a:t>
          </a:r>
          <a:endParaRPr lang="en-GB" dirty="0"/>
        </a:p>
      </dgm:t>
    </dgm:pt>
    <dgm:pt modelId="{388AD2C1-CB8F-4A60-9844-A0C586EC632C}" type="parTrans" cxnId="{32172C89-25A1-44C1-BC33-5084E15D7CC9}">
      <dgm:prSet/>
      <dgm:spPr/>
      <dgm:t>
        <a:bodyPr/>
        <a:lstStyle/>
        <a:p>
          <a:endParaRPr lang="en-GB"/>
        </a:p>
      </dgm:t>
    </dgm:pt>
    <dgm:pt modelId="{78C6BDD5-34A2-4009-A46D-7D9D9B2D5514}" type="sibTrans" cxnId="{32172C89-25A1-44C1-BC33-5084E15D7CC9}">
      <dgm:prSet/>
      <dgm:spPr/>
      <dgm:t>
        <a:bodyPr/>
        <a:lstStyle/>
        <a:p>
          <a:endParaRPr lang="en-GB"/>
        </a:p>
      </dgm:t>
    </dgm:pt>
    <dgm:pt modelId="{245C58F0-3C95-4B42-A234-4A1CD04A6DBE}">
      <dgm:prSet phldrT="[Text]"/>
      <dgm:spPr/>
      <dgm:t>
        <a:bodyPr/>
        <a:lstStyle/>
        <a:p>
          <a:r>
            <a:rPr lang="en-GB" b="0" i="1" dirty="0" smtClean="0"/>
            <a:t>CD Dialogue is driven by a focus on results in terms of effectiveness and efficiency</a:t>
          </a:r>
          <a:endParaRPr lang="en-GB" dirty="0"/>
        </a:p>
      </dgm:t>
    </dgm:pt>
    <dgm:pt modelId="{20F505F7-EBC4-49A9-87BA-B598EAD76C6D}" type="parTrans" cxnId="{AE5245F2-856F-4A6D-88B8-D93D6BF0B673}">
      <dgm:prSet/>
      <dgm:spPr/>
      <dgm:t>
        <a:bodyPr/>
        <a:lstStyle/>
        <a:p>
          <a:endParaRPr lang="en-GB"/>
        </a:p>
      </dgm:t>
    </dgm:pt>
    <dgm:pt modelId="{2E71A849-F1EF-43A9-AF82-01317992873F}" type="sibTrans" cxnId="{AE5245F2-856F-4A6D-88B8-D93D6BF0B673}">
      <dgm:prSet/>
      <dgm:spPr/>
      <dgm:t>
        <a:bodyPr/>
        <a:lstStyle/>
        <a:p>
          <a:endParaRPr lang="en-GB"/>
        </a:p>
      </dgm:t>
    </dgm:pt>
    <dgm:pt modelId="{E8FF7C97-C3DE-4932-B106-ED987490DA0B}">
      <dgm:prSet/>
      <dgm:spPr/>
      <dgm:t>
        <a:bodyPr/>
        <a:lstStyle/>
        <a:p>
          <a:r>
            <a:rPr lang="en-GB" dirty="0" smtClean="0"/>
            <a:t>Joint as default</a:t>
          </a:r>
          <a:endParaRPr lang="en-GB" dirty="0"/>
        </a:p>
      </dgm:t>
    </dgm:pt>
    <dgm:pt modelId="{EDC3A5A4-B681-4B9C-9F5B-15D4602B8519}" type="parTrans" cxnId="{F622581C-5CF6-4A53-B37E-E92F70CE7BEC}">
      <dgm:prSet/>
      <dgm:spPr/>
      <dgm:t>
        <a:bodyPr/>
        <a:lstStyle/>
        <a:p>
          <a:endParaRPr lang="en-GB"/>
        </a:p>
      </dgm:t>
    </dgm:pt>
    <dgm:pt modelId="{6FE88A7B-C8DB-434A-8D44-CDDC2FA014BD}" type="sibTrans" cxnId="{F622581C-5CF6-4A53-B37E-E92F70CE7BEC}">
      <dgm:prSet/>
      <dgm:spPr/>
      <dgm:t>
        <a:bodyPr/>
        <a:lstStyle/>
        <a:p>
          <a:endParaRPr lang="en-GB"/>
        </a:p>
      </dgm:t>
    </dgm:pt>
    <dgm:pt modelId="{7CCB5916-C726-41D4-BD39-85EF12C22AA7}">
      <dgm:prSet/>
      <dgm:spPr/>
      <dgm:t>
        <a:bodyPr/>
        <a:lstStyle/>
        <a:p>
          <a:r>
            <a:rPr lang="en-GB" b="0" i="1" dirty="0" smtClean="0"/>
            <a:t>Joint donor approaches to CD dialogue and support is the default</a:t>
          </a:r>
          <a:endParaRPr lang="en-GB" dirty="0"/>
        </a:p>
      </dgm:t>
    </dgm:pt>
    <dgm:pt modelId="{05169004-29C3-4A2C-BA0D-2C7E5A3196FE}" type="parTrans" cxnId="{EBADCD20-B736-4AAA-807E-5C4C7D95EC12}">
      <dgm:prSet/>
      <dgm:spPr/>
      <dgm:t>
        <a:bodyPr/>
        <a:lstStyle/>
        <a:p>
          <a:endParaRPr lang="en-GB"/>
        </a:p>
      </dgm:t>
    </dgm:pt>
    <dgm:pt modelId="{8C705B3C-E5AB-49FB-A320-11D73F71EE57}" type="sibTrans" cxnId="{EBADCD20-B736-4AAA-807E-5C4C7D95EC12}">
      <dgm:prSet/>
      <dgm:spPr/>
      <dgm:t>
        <a:bodyPr/>
        <a:lstStyle/>
        <a:p>
          <a:endParaRPr lang="en-GB"/>
        </a:p>
      </dgm:t>
    </dgm:pt>
    <dgm:pt modelId="{D92CEE49-1CF1-41BC-B323-B7CB9CEB8057}">
      <dgm:prSet/>
      <dgm:spPr/>
      <dgm:t>
        <a:bodyPr/>
        <a:lstStyle/>
        <a:p>
          <a:r>
            <a:rPr lang="en-GB" dirty="0" smtClean="0"/>
            <a:t>Recognize </a:t>
          </a:r>
          <a:r>
            <a:rPr lang="en-GB" dirty="0" err="1" smtClean="0"/>
            <a:t>dillemmas</a:t>
          </a:r>
          <a:endParaRPr lang="en-GB" dirty="0"/>
        </a:p>
      </dgm:t>
    </dgm:pt>
    <dgm:pt modelId="{331931A7-6AFE-451D-B3E9-BCD6172A9536}" type="parTrans" cxnId="{FA44DF13-DAD3-4C29-BB40-009EF60E05AE}">
      <dgm:prSet/>
      <dgm:spPr/>
      <dgm:t>
        <a:bodyPr/>
        <a:lstStyle/>
        <a:p>
          <a:endParaRPr lang="en-GB"/>
        </a:p>
      </dgm:t>
    </dgm:pt>
    <dgm:pt modelId="{D234DF9A-EB58-4614-B159-DA1DEA4F8D81}" type="sibTrans" cxnId="{FA44DF13-DAD3-4C29-BB40-009EF60E05AE}">
      <dgm:prSet/>
      <dgm:spPr/>
      <dgm:t>
        <a:bodyPr/>
        <a:lstStyle/>
        <a:p>
          <a:endParaRPr lang="en-GB"/>
        </a:p>
      </dgm:t>
    </dgm:pt>
    <dgm:pt modelId="{3EFC247A-9244-48F7-A624-DA0B818CCF8F}">
      <dgm:prSet/>
      <dgm:spPr/>
      <dgm:t>
        <a:bodyPr/>
        <a:lstStyle/>
        <a:p>
          <a:r>
            <a:rPr lang="en-GB" b="0" i="1" dirty="0" smtClean="0"/>
            <a:t>Recognise dilemmas openly when balancing policy and CD ambitions</a:t>
          </a:r>
          <a:endParaRPr lang="en-GB" dirty="0"/>
        </a:p>
      </dgm:t>
    </dgm:pt>
    <dgm:pt modelId="{92FDB695-B9DC-48F7-8891-68937BC5B1FC}" type="parTrans" cxnId="{DF210592-985A-44F3-BBF3-C826481CD6BC}">
      <dgm:prSet/>
      <dgm:spPr/>
      <dgm:t>
        <a:bodyPr/>
        <a:lstStyle/>
        <a:p>
          <a:endParaRPr lang="en-GB"/>
        </a:p>
      </dgm:t>
    </dgm:pt>
    <dgm:pt modelId="{90DAC2DD-3CE0-4EB0-88E2-AD620BDDA1D0}" type="sibTrans" cxnId="{DF210592-985A-44F3-BBF3-C826481CD6BC}">
      <dgm:prSet/>
      <dgm:spPr/>
      <dgm:t>
        <a:bodyPr/>
        <a:lstStyle/>
        <a:p>
          <a:endParaRPr lang="en-GB"/>
        </a:p>
      </dgm:t>
    </dgm:pt>
    <dgm:pt modelId="{13FCCFC0-79AA-40FB-8B45-D48C4ECC1360}">
      <dgm:prSet phldrT="[Text]" custT="1"/>
      <dgm:spPr/>
      <dgm:t>
        <a:bodyPr/>
        <a:lstStyle/>
        <a:p>
          <a:r>
            <a:rPr lang="en-GB" sz="900" b="0" i="1" dirty="0" smtClean="0"/>
            <a:t>Apply a strategic development perspective, not an aid effectiveness perspective</a:t>
          </a:r>
          <a:r>
            <a:rPr lang="en-GB" sz="900" b="0" dirty="0" smtClean="0"/>
            <a:t>. </a:t>
          </a:r>
          <a:endParaRPr lang="en-GB" sz="1600" dirty="0"/>
        </a:p>
      </dgm:t>
    </dgm:pt>
    <dgm:pt modelId="{008A842F-60C0-4846-A121-E4B353F47A85}" type="parTrans" cxnId="{94456A38-E822-44B8-85F4-8F7164CE1209}">
      <dgm:prSet/>
      <dgm:spPr/>
      <dgm:t>
        <a:bodyPr/>
        <a:lstStyle/>
        <a:p>
          <a:endParaRPr lang="en-GB"/>
        </a:p>
      </dgm:t>
    </dgm:pt>
    <dgm:pt modelId="{75B16394-2369-49EA-AE9E-19D22DC98198}" type="sibTrans" cxnId="{94456A38-E822-44B8-85F4-8F7164CE1209}">
      <dgm:prSet/>
      <dgm:spPr/>
      <dgm:t>
        <a:bodyPr/>
        <a:lstStyle/>
        <a:p>
          <a:endParaRPr lang="en-GB"/>
        </a:p>
      </dgm:t>
    </dgm:pt>
    <dgm:pt modelId="{ABF4A650-CAB4-4E0B-9993-E5C91463DCFC}" type="pres">
      <dgm:prSet presAssocID="{FDC52843-E361-4086-A762-893A8F4F4BAD}" presName="Name0" presStyleCnt="0">
        <dgm:presLayoutVars>
          <dgm:dir/>
          <dgm:animLvl val="lvl"/>
          <dgm:resizeHandles val="exact"/>
        </dgm:presLayoutVars>
      </dgm:prSet>
      <dgm:spPr/>
      <dgm:t>
        <a:bodyPr/>
        <a:lstStyle/>
        <a:p>
          <a:endParaRPr lang="en-GB"/>
        </a:p>
      </dgm:t>
    </dgm:pt>
    <dgm:pt modelId="{5602ACD1-6500-4DD9-9917-F0BA1379B16E}" type="pres">
      <dgm:prSet presAssocID="{ACA9B08B-27A9-4920-ABA8-B19D1C5ACE17}" presName="linNode" presStyleCnt="0"/>
      <dgm:spPr/>
    </dgm:pt>
    <dgm:pt modelId="{D04AAFF9-2E4D-4ABC-92E1-F07DBB78E9A2}" type="pres">
      <dgm:prSet presAssocID="{ACA9B08B-27A9-4920-ABA8-B19D1C5ACE17}" presName="parentText" presStyleLbl="node1" presStyleIdx="0" presStyleCnt="5">
        <dgm:presLayoutVars>
          <dgm:chMax val="1"/>
          <dgm:bulletEnabled val="1"/>
        </dgm:presLayoutVars>
      </dgm:prSet>
      <dgm:spPr/>
      <dgm:t>
        <a:bodyPr/>
        <a:lstStyle/>
        <a:p>
          <a:endParaRPr lang="en-GB"/>
        </a:p>
      </dgm:t>
    </dgm:pt>
    <dgm:pt modelId="{689F3EC6-BCD0-4D95-AE49-218F13E0963A}" type="pres">
      <dgm:prSet presAssocID="{ACA9B08B-27A9-4920-ABA8-B19D1C5ACE17}" presName="descendantText" presStyleLbl="alignAccFollowNode1" presStyleIdx="0" presStyleCnt="5">
        <dgm:presLayoutVars>
          <dgm:bulletEnabled val="1"/>
        </dgm:presLayoutVars>
      </dgm:prSet>
      <dgm:spPr/>
      <dgm:t>
        <a:bodyPr/>
        <a:lstStyle/>
        <a:p>
          <a:endParaRPr lang="en-GB"/>
        </a:p>
      </dgm:t>
    </dgm:pt>
    <dgm:pt modelId="{35CB008A-27A6-4E8E-AA75-AC1B96BAAA95}" type="pres">
      <dgm:prSet presAssocID="{04D1971D-7E35-4502-A48D-2AB19EA21CA3}" presName="sp" presStyleCnt="0"/>
      <dgm:spPr/>
    </dgm:pt>
    <dgm:pt modelId="{6476D43C-08B9-47D9-B759-506002B3C499}" type="pres">
      <dgm:prSet presAssocID="{2E78C134-C1AC-41B1-BE00-F80E9FC2A533}" presName="linNode" presStyleCnt="0"/>
      <dgm:spPr/>
    </dgm:pt>
    <dgm:pt modelId="{8FE3BEA6-D53D-4BA9-9505-F9AAE8FE46BF}" type="pres">
      <dgm:prSet presAssocID="{2E78C134-C1AC-41B1-BE00-F80E9FC2A533}" presName="parentText" presStyleLbl="node1" presStyleIdx="1" presStyleCnt="5">
        <dgm:presLayoutVars>
          <dgm:chMax val="1"/>
          <dgm:bulletEnabled val="1"/>
        </dgm:presLayoutVars>
      </dgm:prSet>
      <dgm:spPr/>
      <dgm:t>
        <a:bodyPr/>
        <a:lstStyle/>
        <a:p>
          <a:endParaRPr lang="en-GB"/>
        </a:p>
      </dgm:t>
    </dgm:pt>
    <dgm:pt modelId="{E45AF18B-D6C1-4DDF-8AA2-6C4ECDA8C312}" type="pres">
      <dgm:prSet presAssocID="{2E78C134-C1AC-41B1-BE00-F80E9FC2A533}" presName="descendantText" presStyleLbl="alignAccFollowNode1" presStyleIdx="1" presStyleCnt="5">
        <dgm:presLayoutVars>
          <dgm:bulletEnabled val="1"/>
        </dgm:presLayoutVars>
      </dgm:prSet>
      <dgm:spPr/>
      <dgm:t>
        <a:bodyPr/>
        <a:lstStyle/>
        <a:p>
          <a:endParaRPr lang="en-GB"/>
        </a:p>
      </dgm:t>
    </dgm:pt>
    <dgm:pt modelId="{378A509E-432E-41DE-A201-70702AFF98FA}" type="pres">
      <dgm:prSet presAssocID="{249402EC-2FA9-4D19-8133-AC51F6E49D5C}" presName="sp" presStyleCnt="0"/>
      <dgm:spPr/>
    </dgm:pt>
    <dgm:pt modelId="{B498F4F9-24EE-4D3F-9BE2-C22A8BB41DFB}" type="pres">
      <dgm:prSet presAssocID="{E6C16B1A-0C51-4FF3-BCE0-2198ACD6CBFC}" presName="linNode" presStyleCnt="0"/>
      <dgm:spPr/>
    </dgm:pt>
    <dgm:pt modelId="{D51DD18C-CB72-4AEC-921B-DE88625E3AC3}" type="pres">
      <dgm:prSet presAssocID="{E6C16B1A-0C51-4FF3-BCE0-2198ACD6CBFC}" presName="parentText" presStyleLbl="node1" presStyleIdx="2" presStyleCnt="5">
        <dgm:presLayoutVars>
          <dgm:chMax val="1"/>
          <dgm:bulletEnabled val="1"/>
        </dgm:presLayoutVars>
      </dgm:prSet>
      <dgm:spPr/>
      <dgm:t>
        <a:bodyPr/>
        <a:lstStyle/>
        <a:p>
          <a:endParaRPr lang="en-GB"/>
        </a:p>
      </dgm:t>
    </dgm:pt>
    <dgm:pt modelId="{69026B77-F151-494A-B0EF-96DDE76F47F2}" type="pres">
      <dgm:prSet presAssocID="{E6C16B1A-0C51-4FF3-BCE0-2198ACD6CBFC}" presName="descendantText" presStyleLbl="alignAccFollowNode1" presStyleIdx="2" presStyleCnt="5" custLinFactNeighborX="-349" custLinFactNeighborY="-3830">
        <dgm:presLayoutVars>
          <dgm:bulletEnabled val="1"/>
        </dgm:presLayoutVars>
      </dgm:prSet>
      <dgm:spPr/>
      <dgm:t>
        <a:bodyPr/>
        <a:lstStyle/>
        <a:p>
          <a:endParaRPr lang="en-GB"/>
        </a:p>
      </dgm:t>
    </dgm:pt>
    <dgm:pt modelId="{58DE595F-21D5-47A8-8D4D-21A734ABEB26}" type="pres">
      <dgm:prSet presAssocID="{78C6BDD5-34A2-4009-A46D-7D9D9B2D5514}" presName="sp" presStyleCnt="0"/>
      <dgm:spPr/>
    </dgm:pt>
    <dgm:pt modelId="{38721B96-2A9C-4B32-95A5-FBFE914F761A}" type="pres">
      <dgm:prSet presAssocID="{E8FF7C97-C3DE-4932-B106-ED987490DA0B}" presName="linNode" presStyleCnt="0"/>
      <dgm:spPr/>
    </dgm:pt>
    <dgm:pt modelId="{B3FA87A7-65F0-4334-A57C-7D8B6A0E3DF2}" type="pres">
      <dgm:prSet presAssocID="{E8FF7C97-C3DE-4932-B106-ED987490DA0B}" presName="parentText" presStyleLbl="node1" presStyleIdx="3" presStyleCnt="5">
        <dgm:presLayoutVars>
          <dgm:chMax val="1"/>
          <dgm:bulletEnabled val="1"/>
        </dgm:presLayoutVars>
      </dgm:prSet>
      <dgm:spPr/>
      <dgm:t>
        <a:bodyPr/>
        <a:lstStyle/>
        <a:p>
          <a:endParaRPr lang="en-GB"/>
        </a:p>
      </dgm:t>
    </dgm:pt>
    <dgm:pt modelId="{CF9661FA-9E66-44C9-AC6F-D5A6ADB3A45A}" type="pres">
      <dgm:prSet presAssocID="{E8FF7C97-C3DE-4932-B106-ED987490DA0B}" presName="descendantText" presStyleLbl="alignAccFollowNode1" presStyleIdx="3" presStyleCnt="5" custLinFactNeighborX="-349">
        <dgm:presLayoutVars>
          <dgm:bulletEnabled val="1"/>
        </dgm:presLayoutVars>
      </dgm:prSet>
      <dgm:spPr/>
      <dgm:t>
        <a:bodyPr/>
        <a:lstStyle/>
        <a:p>
          <a:endParaRPr lang="en-GB"/>
        </a:p>
      </dgm:t>
    </dgm:pt>
    <dgm:pt modelId="{921A4052-4A00-4635-AA33-CF6C537095FE}" type="pres">
      <dgm:prSet presAssocID="{6FE88A7B-C8DB-434A-8D44-CDDC2FA014BD}" presName="sp" presStyleCnt="0"/>
      <dgm:spPr/>
    </dgm:pt>
    <dgm:pt modelId="{35E2337A-6A30-4280-8296-B3693387F022}" type="pres">
      <dgm:prSet presAssocID="{D92CEE49-1CF1-41BC-B323-B7CB9CEB8057}" presName="linNode" presStyleCnt="0"/>
      <dgm:spPr/>
    </dgm:pt>
    <dgm:pt modelId="{33F6E009-A85B-4907-BABF-C8CD56D16067}" type="pres">
      <dgm:prSet presAssocID="{D92CEE49-1CF1-41BC-B323-B7CB9CEB8057}" presName="parentText" presStyleLbl="node1" presStyleIdx="4" presStyleCnt="5">
        <dgm:presLayoutVars>
          <dgm:chMax val="1"/>
          <dgm:bulletEnabled val="1"/>
        </dgm:presLayoutVars>
      </dgm:prSet>
      <dgm:spPr/>
      <dgm:t>
        <a:bodyPr/>
        <a:lstStyle/>
        <a:p>
          <a:endParaRPr lang="en-GB"/>
        </a:p>
      </dgm:t>
    </dgm:pt>
    <dgm:pt modelId="{D1FDDE35-67A7-4513-BEE7-8342DE188426}" type="pres">
      <dgm:prSet presAssocID="{D92CEE49-1CF1-41BC-B323-B7CB9CEB8057}" presName="descendantText" presStyleLbl="alignAccFollowNode1" presStyleIdx="4" presStyleCnt="5">
        <dgm:presLayoutVars>
          <dgm:bulletEnabled val="1"/>
        </dgm:presLayoutVars>
      </dgm:prSet>
      <dgm:spPr/>
      <dgm:t>
        <a:bodyPr/>
        <a:lstStyle/>
        <a:p>
          <a:endParaRPr lang="en-GB"/>
        </a:p>
      </dgm:t>
    </dgm:pt>
  </dgm:ptLst>
  <dgm:cxnLst>
    <dgm:cxn modelId="{F622581C-5CF6-4A53-B37E-E92F70CE7BEC}" srcId="{FDC52843-E361-4086-A762-893A8F4F4BAD}" destId="{E8FF7C97-C3DE-4932-B106-ED987490DA0B}" srcOrd="3" destOrd="0" parTransId="{EDC3A5A4-B681-4B9C-9F5B-15D4602B8519}" sibTransId="{6FE88A7B-C8DB-434A-8D44-CDDC2FA014BD}"/>
    <dgm:cxn modelId="{E93A18EF-A85A-4FBE-9F93-3D55021CED8A}" type="presOf" srcId="{7CCB5916-C726-41D4-BD39-85EF12C22AA7}" destId="{CF9661FA-9E66-44C9-AC6F-D5A6ADB3A45A}" srcOrd="0" destOrd="0" presId="urn:microsoft.com/office/officeart/2005/8/layout/vList5"/>
    <dgm:cxn modelId="{6E86C418-D810-4B96-B4AC-12DF8835FC89}" srcId="{FDC52843-E361-4086-A762-893A8F4F4BAD}" destId="{2E78C134-C1AC-41B1-BE00-F80E9FC2A533}" srcOrd="1" destOrd="0" parTransId="{1C63BEC4-A41F-4A8E-BD4E-3FF85052C417}" sibTransId="{249402EC-2FA9-4D19-8133-AC51F6E49D5C}"/>
    <dgm:cxn modelId="{A83A87AF-E357-42D0-ACD5-AD008319FA6E}" srcId="{2E78C134-C1AC-41B1-BE00-F80E9FC2A533}" destId="{1E9CB946-38F7-4882-AE38-E0601A2E7D11}" srcOrd="0" destOrd="0" parTransId="{F4D8B00C-C2CA-416B-B1DC-429F02CF0192}" sibTransId="{13985C9F-9386-4754-B46A-163C8617C195}"/>
    <dgm:cxn modelId="{1EA4AC92-F7FF-4349-885A-29D6D26637AB}" type="presOf" srcId="{245C58F0-3C95-4B42-A234-4A1CD04A6DBE}" destId="{69026B77-F151-494A-B0EF-96DDE76F47F2}" srcOrd="0" destOrd="0" presId="urn:microsoft.com/office/officeart/2005/8/layout/vList5"/>
    <dgm:cxn modelId="{FA44DF13-DAD3-4C29-BB40-009EF60E05AE}" srcId="{FDC52843-E361-4086-A762-893A8F4F4BAD}" destId="{D92CEE49-1CF1-41BC-B323-B7CB9CEB8057}" srcOrd="4" destOrd="0" parTransId="{331931A7-6AFE-451D-B3E9-BCD6172A9536}" sibTransId="{D234DF9A-EB58-4614-B159-DA1DEA4F8D81}"/>
    <dgm:cxn modelId="{C06EA454-7281-41E4-A90A-61EEA0EA7F04}" type="presOf" srcId="{1E9CB946-38F7-4882-AE38-E0601A2E7D11}" destId="{E45AF18B-D6C1-4DDF-8AA2-6C4ECDA8C312}" srcOrd="0" destOrd="0" presId="urn:microsoft.com/office/officeart/2005/8/layout/vList5"/>
    <dgm:cxn modelId="{94456A38-E822-44B8-85F4-8F7164CE1209}" srcId="{ACA9B08B-27A9-4920-ABA8-B19D1C5ACE17}" destId="{13FCCFC0-79AA-40FB-8B45-D48C4ECC1360}" srcOrd="0" destOrd="0" parTransId="{008A842F-60C0-4846-A121-E4B353F47A85}" sibTransId="{75B16394-2369-49EA-AE9E-19D22DC98198}"/>
    <dgm:cxn modelId="{DF210592-985A-44F3-BBF3-C826481CD6BC}" srcId="{D92CEE49-1CF1-41BC-B323-B7CB9CEB8057}" destId="{3EFC247A-9244-48F7-A624-DA0B818CCF8F}" srcOrd="0" destOrd="0" parTransId="{92FDB695-B9DC-48F7-8891-68937BC5B1FC}" sibTransId="{90DAC2DD-3CE0-4EB0-88E2-AD620BDDA1D0}"/>
    <dgm:cxn modelId="{E4186BEA-8BBE-4ED9-B222-D8AAE2C6F92F}" type="presOf" srcId="{2E78C134-C1AC-41B1-BE00-F80E9FC2A533}" destId="{8FE3BEA6-D53D-4BA9-9505-F9AAE8FE46BF}" srcOrd="0" destOrd="0" presId="urn:microsoft.com/office/officeart/2005/8/layout/vList5"/>
    <dgm:cxn modelId="{EBADCD20-B736-4AAA-807E-5C4C7D95EC12}" srcId="{E8FF7C97-C3DE-4932-B106-ED987490DA0B}" destId="{7CCB5916-C726-41D4-BD39-85EF12C22AA7}" srcOrd="0" destOrd="0" parTransId="{05169004-29C3-4A2C-BA0D-2C7E5A3196FE}" sibTransId="{8C705B3C-E5AB-49FB-A320-11D73F71EE57}"/>
    <dgm:cxn modelId="{BBDD4D71-07B5-4F4F-8AE1-4A279F10A563}" type="presOf" srcId="{E8FF7C97-C3DE-4932-B106-ED987490DA0B}" destId="{B3FA87A7-65F0-4334-A57C-7D8B6A0E3DF2}" srcOrd="0" destOrd="0" presId="urn:microsoft.com/office/officeart/2005/8/layout/vList5"/>
    <dgm:cxn modelId="{378EB68A-92BD-4C93-8691-F346F41277D3}" type="presOf" srcId="{ACA9B08B-27A9-4920-ABA8-B19D1C5ACE17}" destId="{D04AAFF9-2E4D-4ABC-92E1-F07DBB78E9A2}" srcOrd="0" destOrd="0" presId="urn:microsoft.com/office/officeart/2005/8/layout/vList5"/>
    <dgm:cxn modelId="{1369C034-32B8-4AFF-8599-50FF27F696CA}" srcId="{FDC52843-E361-4086-A762-893A8F4F4BAD}" destId="{ACA9B08B-27A9-4920-ABA8-B19D1C5ACE17}" srcOrd="0" destOrd="0" parTransId="{74D28A02-6F7E-4281-876E-B3028EEFB682}" sibTransId="{04D1971D-7E35-4502-A48D-2AB19EA21CA3}"/>
    <dgm:cxn modelId="{5362CE50-A1CB-48FD-908A-5168EA94396F}" type="presOf" srcId="{E6C16B1A-0C51-4FF3-BCE0-2198ACD6CBFC}" destId="{D51DD18C-CB72-4AEC-921B-DE88625E3AC3}" srcOrd="0" destOrd="0" presId="urn:microsoft.com/office/officeart/2005/8/layout/vList5"/>
    <dgm:cxn modelId="{AE5245F2-856F-4A6D-88B8-D93D6BF0B673}" srcId="{E6C16B1A-0C51-4FF3-BCE0-2198ACD6CBFC}" destId="{245C58F0-3C95-4B42-A234-4A1CD04A6DBE}" srcOrd="0" destOrd="0" parTransId="{20F505F7-EBC4-49A9-87BA-B598EAD76C6D}" sibTransId="{2E71A849-F1EF-43A9-AF82-01317992873F}"/>
    <dgm:cxn modelId="{32172C89-25A1-44C1-BC33-5084E15D7CC9}" srcId="{FDC52843-E361-4086-A762-893A8F4F4BAD}" destId="{E6C16B1A-0C51-4FF3-BCE0-2198ACD6CBFC}" srcOrd="2" destOrd="0" parTransId="{388AD2C1-CB8F-4A60-9844-A0C586EC632C}" sibTransId="{78C6BDD5-34A2-4009-A46D-7D9D9B2D5514}"/>
    <dgm:cxn modelId="{2506AD11-9755-4C5A-95EF-F0ED8F5E4FB7}" type="presOf" srcId="{3EFC247A-9244-48F7-A624-DA0B818CCF8F}" destId="{D1FDDE35-67A7-4513-BEE7-8342DE188426}" srcOrd="0" destOrd="0" presId="urn:microsoft.com/office/officeart/2005/8/layout/vList5"/>
    <dgm:cxn modelId="{ADF348F4-D1A0-421A-8485-810B62E8B6E1}" type="presOf" srcId="{FDC52843-E361-4086-A762-893A8F4F4BAD}" destId="{ABF4A650-CAB4-4E0B-9993-E5C91463DCFC}" srcOrd="0" destOrd="0" presId="urn:microsoft.com/office/officeart/2005/8/layout/vList5"/>
    <dgm:cxn modelId="{FE112B96-E27A-43D4-B697-110722DBCCEC}" type="presOf" srcId="{13FCCFC0-79AA-40FB-8B45-D48C4ECC1360}" destId="{689F3EC6-BCD0-4D95-AE49-218F13E0963A}" srcOrd="0" destOrd="0" presId="urn:microsoft.com/office/officeart/2005/8/layout/vList5"/>
    <dgm:cxn modelId="{00010603-BCFA-45B8-99FB-E74BA0F68CDB}" type="presOf" srcId="{D92CEE49-1CF1-41BC-B323-B7CB9CEB8057}" destId="{33F6E009-A85B-4907-BABF-C8CD56D16067}" srcOrd="0" destOrd="0" presId="urn:microsoft.com/office/officeart/2005/8/layout/vList5"/>
    <dgm:cxn modelId="{3BEB838C-C7EC-4B84-8F62-267DB7B6E146}" type="presParOf" srcId="{ABF4A650-CAB4-4E0B-9993-E5C91463DCFC}" destId="{5602ACD1-6500-4DD9-9917-F0BA1379B16E}" srcOrd="0" destOrd="0" presId="urn:microsoft.com/office/officeart/2005/8/layout/vList5"/>
    <dgm:cxn modelId="{AC672EC2-61C4-4A4C-83CA-33F0567C8F71}" type="presParOf" srcId="{5602ACD1-6500-4DD9-9917-F0BA1379B16E}" destId="{D04AAFF9-2E4D-4ABC-92E1-F07DBB78E9A2}" srcOrd="0" destOrd="0" presId="urn:microsoft.com/office/officeart/2005/8/layout/vList5"/>
    <dgm:cxn modelId="{4704FE57-4748-4C59-83EB-074B3602AD33}" type="presParOf" srcId="{5602ACD1-6500-4DD9-9917-F0BA1379B16E}" destId="{689F3EC6-BCD0-4D95-AE49-218F13E0963A}" srcOrd="1" destOrd="0" presId="urn:microsoft.com/office/officeart/2005/8/layout/vList5"/>
    <dgm:cxn modelId="{EE5126CF-720C-4C4D-85D2-ABAF5FC16D83}" type="presParOf" srcId="{ABF4A650-CAB4-4E0B-9993-E5C91463DCFC}" destId="{35CB008A-27A6-4E8E-AA75-AC1B96BAAA95}" srcOrd="1" destOrd="0" presId="urn:microsoft.com/office/officeart/2005/8/layout/vList5"/>
    <dgm:cxn modelId="{E078175E-4FB1-4342-9EED-987AE7727F33}" type="presParOf" srcId="{ABF4A650-CAB4-4E0B-9993-E5C91463DCFC}" destId="{6476D43C-08B9-47D9-B759-506002B3C499}" srcOrd="2" destOrd="0" presId="urn:microsoft.com/office/officeart/2005/8/layout/vList5"/>
    <dgm:cxn modelId="{3E9A463B-4FB9-48F5-8EEE-6C4441614B59}" type="presParOf" srcId="{6476D43C-08B9-47D9-B759-506002B3C499}" destId="{8FE3BEA6-D53D-4BA9-9505-F9AAE8FE46BF}" srcOrd="0" destOrd="0" presId="urn:microsoft.com/office/officeart/2005/8/layout/vList5"/>
    <dgm:cxn modelId="{6DB2DBF5-8005-4F3B-BF61-477CFBF53C16}" type="presParOf" srcId="{6476D43C-08B9-47D9-B759-506002B3C499}" destId="{E45AF18B-D6C1-4DDF-8AA2-6C4ECDA8C312}" srcOrd="1" destOrd="0" presId="urn:microsoft.com/office/officeart/2005/8/layout/vList5"/>
    <dgm:cxn modelId="{C5852F25-ECD5-4A2A-9FF5-589E3C35FA89}" type="presParOf" srcId="{ABF4A650-CAB4-4E0B-9993-E5C91463DCFC}" destId="{378A509E-432E-41DE-A201-70702AFF98FA}" srcOrd="3" destOrd="0" presId="urn:microsoft.com/office/officeart/2005/8/layout/vList5"/>
    <dgm:cxn modelId="{6D3CF7BA-0814-4B7B-8585-206A39A80508}" type="presParOf" srcId="{ABF4A650-CAB4-4E0B-9993-E5C91463DCFC}" destId="{B498F4F9-24EE-4D3F-9BE2-C22A8BB41DFB}" srcOrd="4" destOrd="0" presId="urn:microsoft.com/office/officeart/2005/8/layout/vList5"/>
    <dgm:cxn modelId="{F57E77D5-7119-4B11-A200-1FAC0111B451}" type="presParOf" srcId="{B498F4F9-24EE-4D3F-9BE2-C22A8BB41DFB}" destId="{D51DD18C-CB72-4AEC-921B-DE88625E3AC3}" srcOrd="0" destOrd="0" presId="urn:microsoft.com/office/officeart/2005/8/layout/vList5"/>
    <dgm:cxn modelId="{4CD5531C-DFEA-4875-9936-C6E416BFD45D}" type="presParOf" srcId="{B498F4F9-24EE-4D3F-9BE2-C22A8BB41DFB}" destId="{69026B77-F151-494A-B0EF-96DDE76F47F2}" srcOrd="1" destOrd="0" presId="urn:microsoft.com/office/officeart/2005/8/layout/vList5"/>
    <dgm:cxn modelId="{DF24D0F0-6C3A-44E3-94F4-2827DD22DF0B}" type="presParOf" srcId="{ABF4A650-CAB4-4E0B-9993-E5C91463DCFC}" destId="{58DE595F-21D5-47A8-8D4D-21A734ABEB26}" srcOrd="5" destOrd="0" presId="urn:microsoft.com/office/officeart/2005/8/layout/vList5"/>
    <dgm:cxn modelId="{6075EDD8-0604-43BC-96C5-281859CBA923}" type="presParOf" srcId="{ABF4A650-CAB4-4E0B-9993-E5C91463DCFC}" destId="{38721B96-2A9C-4B32-95A5-FBFE914F761A}" srcOrd="6" destOrd="0" presId="urn:microsoft.com/office/officeart/2005/8/layout/vList5"/>
    <dgm:cxn modelId="{4655807F-65FE-4956-B667-4C104B204A20}" type="presParOf" srcId="{38721B96-2A9C-4B32-95A5-FBFE914F761A}" destId="{B3FA87A7-65F0-4334-A57C-7D8B6A0E3DF2}" srcOrd="0" destOrd="0" presId="urn:microsoft.com/office/officeart/2005/8/layout/vList5"/>
    <dgm:cxn modelId="{E5236A89-7A69-4FCF-873D-05831E4D28C1}" type="presParOf" srcId="{38721B96-2A9C-4B32-95A5-FBFE914F761A}" destId="{CF9661FA-9E66-44C9-AC6F-D5A6ADB3A45A}" srcOrd="1" destOrd="0" presId="urn:microsoft.com/office/officeart/2005/8/layout/vList5"/>
    <dgm:cxn modelId="{2CE61E65-3AA5-474F-B91B-F690056F1ED6}" type="presParOf" srcId="{ABF4A650-CAB4-4E0B-9993-E5C91463DCFC}" destId="{921A4052-4A00-4635-AA33-CF6C537095FE}" srcOrd="7" destOrd="0" presId="urn:microsoft.com/office/officeart/2005/8/layout/vList5"/>
    <dgm:cxn modelId="{7FDA9A0F-3189-43A5-9048-8532934D38CF}" type="presParOf" srcId="{ABF4A650-CAB4-4E0B-9993-E5C91463DCFC}" destId="{35E2337A-6A30-4280-8296-B3693387F022}" srcOrd="8" destOrd="0" presId="urn:microsoft.com/office/officeart/2005/8/layout/vList5"/>
    <dgm:cxn modelId="{76DE17EA-50AD-4EBD-B4AD-4D3394DEC7A5}" type="presParOf" srcId="{35E2337A-6A30-4280-8296-B3693387F022}" destId="{33F6E009-A85B-4907-BABF-C8CD56D16067}" srcOrd="0" destOrd="0" presId="urn:microsoft.com/office/officeart/2005/8/layout/vList5"/>
    <dgm:cxn modelId="{862C5635-3EFA-46E4-8CBA-E5508114746B}" type="presParOf" srcId="{35E2337A-6A30-4280-8296-B3693387F022}" destId="{D1FDDE35-67A7-4513-BEE7-8342DE188426}" srcOrd="1" destOrd="0" presId="urn:microsoft.com/office/officeart/2005/8/layout/vList5"/>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980DFD9-284B-4665-8D40-C9DAA9F95AFA}" type="doc">
      <dgm:prSet loTypeId="urn:microsoft.com/office/officeart/2005/8/layout/process4" loCatId="list" qsTypeId="urn:microsoft.com/office/officeart/2005/8/quickstyle/simple1#4" qsCatId="simple" csTypeId="urn:microsoft.com/office/officeart/2005/8/colors/accent1_2#4" csCatId="accent1" phldr="1"/>
      <dgm:spPr/>
      <dgm:t>
        <a:bodyPr/>
        <a:lstStyle/>
        <a:p>
          <a:endParaRPr lang="en-GB"/>
        </a:p>
      </dgm:t>
    </dgm:pt>
    <dgm:pt modelId="{B09E6253-019D-49AD-9322-B42A72968C35}">
      <dgm:prSet phldrT="[Text]"/>
      <dgm:spPr/>
      <dgm:t>
        <a:bodyPr/>
        <a:lstStyle/>
        <a:p>
          <a:r>
            <a:rPr lang="en-GB" dirty="0" smtClean="0"/>
            <a:t>Formulation - 12-6 months before start of support</a:t>
          </a:r>
          <a:endParaRPr lang="en-GB" dirty="0"/>
        </a:p>
      </dgm:t>
    </dgm:pt>
    <dgm:pt modelId="{6CEFD087-A82E-4A98-9626-4B1274F6401D}" type="parTrans" cxnId="{0920BBE3-4FFE-4246-A90F-D1F48C2B3614}">
      <dgm:prSet/>
      <dgm:spPr/>
      <dgm:t>
        <a:bodyPr/>
        <a:lstStyle/>
        <a:p>
          <a:endParaRPr lang="en-GB"/>
        </a:p>
      </dgm:t>
    </dgm:pt>
    <dgm:pt modelId="{56E76177-A23B-4D28-A6DA-9D95A73626E3}" type="sibTrans" cxnId="{0920BBE3-4FFE-4246-A90F-D1F48C2B3614}">
      <dgm:prSet/>
      <dgm:spPr/>
      <dgm:t>
        <a:bodyPr/>
        <a:lstStyle/>
        <a:p>
          <a:endParaRPr lang="en-GB"/>
        </a:p>
      </dgm:t>
    </dgm:pt>
    <dgm:pt modelId="{FDEBD7D9-16A7-4181-8B64-25855ADED8B5}">
      <dgm:prSet phldrT="[Text]"/>
      <dgm:spPr/>
      <dgm:t>
        <a:bodyPr/>
        <a:lstStyle/>
        <a:p>
          <a:r>
            <a:rPr lang="en-GB" dirty="0" smtClean="0"/>
            <a:t>Results, processes, inputs</a:t>
          </a:r>
          <a:endParaRPr lang="en-GB" dirty="0"/>
        </a:p>
      </dgm:t>
    </dgm:pt>
    <dgm:pt modelId="{5FD8F924-58AD-4C13-8C83-46B6D7CDB4EA}" type="parTrans" cxnId="{7BAB259E-BF8D-4BF9-9598-22487C702EC2}">
      <dgm:prSet/>
      <dgm:spPr/>
      <dgm:t>
        <a:bodyPr/>
        <a:lstStyle/>
        <a:p>
          <a:endParaRPr lang="en-GB"/>
        </a:p>
      </dgm:t>
    </dgm:pt>
    <dgm:pt modelId="{275C39A6-F93E-4C06-BA6C-53A978CAE69A}" type="sibTrans" cxnId="{7BAB259E-BF8D-4BF9-9598-22487C702EC2}">
      <dgm:prSet/>
      <dgm:spPr/>
      <dgm:t>
        <a:bodyPr/>
        <a:lstStyle/>
        <a:p>
          <a:endParaRPr lang="en-GB"/>
        </a:p>
      </dgm:t>
    </dgm:pt>
    <dgm:pt modelId="{13F64870-8D18-43C1-9FEA-52D0AFCB5398}">
      <dgm:prSet phldrT="[Text]"/>
      <dgm:spPr/>
      <dgm:t>
        <a:bodyPr/>
        <a:lstStyle/>
        <a:p>
          <a:r>
            <a:rPr lang="en-GB" dirty="0" smtClean="0"/>
            <a:t>Appraisal - 6-3 months before start of support</a:t>
          </a:r>
          <a:endParaRPr lang="en-GB" dirty="0"/>
        </a:p>
      </dgm:t>
    </dgm:pt>
    <dgm:pt modelId="{BDB5282C-493B-417C-B75E-DEAF343CB932}" type="parTrans" cxnId="{6B2FB01E-7191-4216-A094-C2FFD973F787}">
      <dgm:prSet/>
      <dgm:spPr/>
      <dgm:t>
        <a:bodyPr/>
        <a:lstStyle/>
        <a:p>
          <a:endParaRPr lang="en-GB"/>
        </a:p>
      </dgm:t>
    </dgm:pt>
    <dgm:pt modelId="{F16259A1-434B-4751-95E2-256070000228}" type="sibTrans" cxnId="{6B2FB01E-7191-4216-A094-C2FFD973F787}">
      <dgm:prSet/>
      <dgm:spPr/>
      <dgm:t>
        <a:bodyPr/>
        <a:lstStyle/>
        <a:p>
          <a:endParaRPr lang="en-GB"/>
        </a:p>
      </dgm:t>
    </dgm:pt>
    <dgm:pt modelId="{5FD7148F-B205-4E34-8EA0-FF9F33A3E145}">
      <dgm:prSet phldrT="[Text]"/>
      <dgm:spPr/>
      <dgm:t>
        <a:bodyPr/>
        <a:lstStyle/>
        <a:p>
          <a:r>
            <a:rPr lang="en-GB" dirty="0" smtClean="0"/>
            <a:t>Ownership</a:t>
          </a:r>
          <a:endParaRPr lang="en-GB" dirty="0"/>
        </a:p>
      </dgm:t>
    </dgm:pt>
    <dgm:pt modelId="{996C6B13-A9B1-4DB2-AAA1-3AE51D7ABED6}" type="parTrans" cxnId="{6549B586-4A93-406E-A203-5DD579FD3ACD}">
      <dgm:prSet/>
      <dgm:spPr/>
      <dgm:t>
        <a:bodyPr/>
        <a:lstStyle/>
        <a:p>
          <a:endParaRPr lang="en-GB"/>
        </a:p>
      </dgm:t>
    </dgm:pt>
    <dgm:pt modelId="{02FB176F-DC53-4095-9DCB-B906D63EEB25}" type="sibTrans" cxnId="{6549B586-4A93-406E-A203-5DD579FD3ACD}">
      <dgm:prSet/>
      <dgm:spPr/>
      <dgm:t>
        <a:bodyPr/>
        <a:lstStyle/>
        <a:p>
          <a:endParaRPr lang="en-GB"/>
        </a:p>
      </dgm:t>
    </dgm:pt>
    <dgm:pt modelId="{2D43B598-C6C5-488A-8614-14CA62496678}">
      <dgm:prSet phldrT="[Text]"/>
      <dgm:spPr/>
      <dgm:t>
        <a:bodyPr/>
        <a:lstStyle/>
        <a:p>
          <a:r>
            <a:rPr lang="en-GB" dirty="0" smtClean="0"/>
            <a:t>Identification - 18-12 months before start of support</a:t>
          </a:r>
          <a:endParaRPr lang="en-GB" dirty="0"/>
        </a:p>
      </dgm:t>
    </dgm:pt>
    <dgm:pt modelId="{AF1AA78A-D133-4257-A204-840336F4730F}" type="parTrans" cxnId="{CE4011FF-6339-4337-9576-20965FE4B386}">
      <dgm:prSet/>
      <dgm:spPr/>
      <dgm:t>
        <a:bodyPr/>
        <a:lstStyle/>
        <a:p>
          <a:endParaRPr lang="en-GB"/>
        </a:p>
      </dgm:t>
    </dgm:pt>
    <dgm:pt modelId="{5743B449-3475-4711-AF1D-8810072E8CED}" type="sibTrans" cxnId="{CE4011FF-6339-4337-9576-20965FE4B386}">
      <dgm:prSet/>
      <dgm:spPr/>
      <dgm:t>
        <a:bodyPr/>
        <a:lstStyle/>
        <a:p>
          <a:endParaRPr lang="en-GB"/>
        </a:p>
      </dgm:t>
    </dgm:pt>
    <dgm:pt modelId="{900B086A-B470-4473-A61E-23069B2B0193}">
      <dgm:prSet phldrT="[Text]"/>
      <dgm:spPr/>
      <dgm:t>
        <a:bodyPr/>
        <a:lstStyle/>
        <a:p>
          <a:r>
            <a:rPr lang="en-GB" dirty="0" smtClean="0"/>
            <a:t>Change readiness</a:t>
          </a:r>
          <a:endParaRPr lang="en-GB" dirty="0"/>
        </a:p>
      </dgm:t>
    </dgm:pt>
    <dgm:pt modelId="{F2AF8067-BDCF-47D8-B149-303DE6116019}" type="parTrans" cxnId="{9C15D363-3C8F-4111-9118-27C86C5EB1B9}">
      <dgm:prSet/>
      <dgm:spPr/>
      <dgm:t>
        <a:bodyPr/>
        <a:lstStyle/>
        <a:p>
          <a:endParaRPr lang="en-GB"/>
        </a:p>
      </dgm:t>
    </dgm:pt>
    <dgm:pt modelId="{E2C3FB52-7B53-4B02-A97B-AE1DC97CF69B}" type="sibTrans" cxnId="{9C15D363-3C8F-4111-9118-27C86C5EB1B9}">
      <dgm:prSet/>
      <dgm:spPr/>
      <dgm:t>
        <a:bodyPr/>
        <a:lstStyle/>
        <a:p>
          <a:endParaRPr lang="en-GB"/>
        </a:p>
      </dgm:t>
    </dgm:pt>
    <dgm:pt modelId="{A0FA2991-9302-49B9-82F0-B6E9DBC1E12E}">
      <dgm:prSet phldrT="[Text]"/>
      <dgm:spPr/>
      <dgm:t>
        <a:bodyPr/>
        <a:lstStyle/>
        <a:p>
          <a:r>
            <a:rPr lang="en-GB" dirty="0" smtClean="0"/>
            <a:t>Implementation</a:t>
          </a:r>
          <a:endParaRPr lang="en-GB" dirty="0"/>
        </a:p>
      </dgm:t>
    </dgm:pt>
    <dgm:pt modelId="{1C17E732-6B38-4ED3-A1E0-8E060E42A919}" type="sibTrans" cxnId="{D49DCEF1-B94B-405A-992C-D7468019C43F}">
      <dgm:prSet/>
      <dgm:spPr/>
      <dgm:t>
        <a:bodyPr/>
        <a:lstStyle/>
        <a:p>
          <a:endParaRPr lang="en-GB"/>
        </a:p>
      </dgm:t>
    </dgm:pt>
    <dgm:pt modelId="{6D0DCED8-8EA5-44CB-B9B5-1EB28540F2D5}" type="parTrans" cxnId="{D49DCEF1-B94B-405A-992C-D7468019C43F}">
      <dgm:prSet/>
      <dgm:spPr/>
      <dgm:t>
        <a:bodyPr/>
        <a:lstStyle/>
        <a:p>
          <a:endParaRPr lang="en-GB"/>
        </a:p>
      </dgm:t>
    </dgm:pt>
    <dgm:pt modelId="{52942081-764A-4E11-A633-86D1548B7043}">
      <dgm:prSet phldrT="[Text]"/>
      <dgm:spPr/>
      <dgm:t>
        <a:bodyPr/>
        <a:lstStyle/>
        <a:p>
          <a:r>
            <a:rPr lang="en-GB" dirty="0" smtClean="0"/>
            <a:t>Accompaniment, brokering, modifying</a:t>
          </a:r>
          <a:endParaRPr lang="en-GB" dirty="0"/>
        </a:p>
      </dgm:t>
    </dgm:pt>
    <dgm:pt modelId="{EBEB3AFF-2270-422F-A0DC-92BCE5AC28BC}" type="parTrans" cxnId="{45BDCDA7-3359-45DF-813A-3E41CD8C7D49}">
      <dgm:prSet/>
      <dgm:spPr/>
      <dgm:t>
        <a:bodyPr/>
        <a:lstStyle/>
        <a:p>
          <a:endParaRPr lang="en-GB"/>
        </a:p>
      </dgm:t>
    </dgm:pt>
    <dgm:pt modelId="{1BB0844C-F9E7-438A-B78B-0E4AA61DACB9}" type="sibTrans" cxnId="{45BDCDA7-3359-45DF-813A-3E41CD8C7D49}">
      <dgm:prSet/>
      <dgm:spPr/>
      <dgm:t>
        <a:bodyPr/>
        <a:lstStyle/>
        <a:p>
          <a:endParaRPr lang="en-GB"/>
        </a:p>
      </dgm:t>
    </dgm:pt>
    <dgm:pt modelId="{C7C2AB64-76B6-4D91-9132-C719673FD6EC}" type="pres">
      <dgm:prSet presAssocID="{2980DFD9-284B-4665-8D40-C9DAA9F95AFA}" presName="Name0" presStyleCnt="0">
        <dgm:presLayoutVars>
          <dgm:dir/>
          <dgm:animLvl val="lvl"/>
          <dgm:resizeHandles val="exact"/>
        </dgm:presLayoutVars>
      </dgm:prSet>
      <dgm:spPr/>
      <dgm:t>
        <a:bodyPr/>
        <a:lstStyle/>
        <a:p>
          <a:endParaRPr lang="en-GB"/>
        </a:p>
      </dgm:t>
    </dgm:pt>
    <dgm:pt modelId="{587B7FB4-1CAB-47E0-B2AA-8456C1E0970F}" type="pres">
      <dgm:prSet presAssocID="{A0FA2991-9302-49B9-82F0-B6E9DBC1E12E}" presName="boxAndChildren" presStyleCnt="0"/>
      <dgm:spPr/>
    </dgm:pt>
    <dgm:pt modelId="{65EF3179-3D32-4493-84C1-580244A092EA}" type="pres">
      <dgm:prSet presAssocID="{A0FA2991-9302-49B9-82F0-B6E9DBC1E12E}" presName="parentTextBox" presStyleLbl="node1" presStyleIdx="0" presStyleCnt="4"/>
      <dgm:spPr/>
      <dgm:t>
        <a:bodyPr/>
        <a:lstStyle/>
        <a:p>
          <a:endParaRPr lang="en-GB"/>
        </a:p>
      </dgm:t>
    </dgm:pt>
    <dgm:pt modelId="{3757712E-197B-4251-A480-DAF1279D6BE8}" type="pres">
      <dgm:prSet presAssocID="{A0FA2991-9302-49B9-82F0-B6E9DBC1E12E}" presName="entireBox" presStyleLbl="node1" presStyleIdx="0" presStyleCnt="4"/>
      <dgm:spPr/>
      <dgm:t>
        <a:bodyPr/>
        <a:lstStyle/>
        <a:p>
          <a:endParaRPr lang="en-GB"/>
        </a:p>
      </dgm:t>
    </dgm:pt>
    <dgm:pt modelId="{64C1E781-E742-45AE-9DF5-CB3E3F0BCDE9}" type="pres">
      <dgm:prSet presAssocID="{A0FA2991-9302-49B9-82F0-B6E9DBC1E12E}" presName="descendantBox" presStyleCnt="0"/>
      <dgm:spPr/>
    </dgm:pt>
    <dgm:pt modelId="{CB3EEF1C-D740-479D-B164-2C801D153D82}" type="pres">
      <dgm:prSet presAssocID="{52942081-764A-4E11-A633-86D1548B7043}" presName="childTextBox" presStyleLbl="fgAccFollowNode1" presStyleIdx="0" presStyleCnt="4">
        <dgm:presLayoutVars>
          <dgm:bulletEnabled val="1"/>
        </dgm:presLayoutVars>
      </dgm:prSet>
      <dgm:spPr/>
      <dgm:t>
        <a:bodyPr/>
        <a:lstStyle/>
        <a:p>
          <a:endParaRPr lang="en-GB"/>
        </a:p>
      </dgm:t>
    </dgm:pt>
    <dgm:pt modelId="{FC4DD427-077E-4AE1-9889-498BBDB16F36}" type="pres">
      <dgm:prSet presAssocID="{F16259A1-434B-4751-95E2-256070000228}" presName="sp" presStyleCnt="0"/>
      <dgm:spPr/>
    </dgm:pt>
    <dgm:pt modelId="{18E93023-0EEE-4862-A0E7-8131876A77C4}" type="pres">
      <dgm:prSet presAssocID="{13F64870-8D18-43C1-9FEA-52D0AFCB5398}" presName="arrowAndChildren" presStyleCnt="0"/>
      <dgm:spPr/>
    </dgm:pt>
    <dgm:pt modelId="{F73BB4B1-3F02-4517-B8F0-DB9ADF3ECAE2}" type="pres">
      <dgm:prSet presAssocID="{13F64870-8D18-43C1-9FEA-52D0AFCB5398}" presName="parentTextArrow" presStyleLbl="node1" presStyleIdx="0" presStyleCnt="4"/>
      <dgm:spPr/>
      <dgm:t>
        <a:bodyPr/>
        <a:lstStyle/>
        <a:p>
          <a:endParaRPr lang="en-GB"/>
        </a:p>
      </dgm:t>
    </dgm:pt>
    <dgm:pt modelId="{E3303987-8BEE-44C1-97FD-05891916C8D5}" type="pres">
      <dgm:prSet presAssocID="{13F64870-8D18-43C1-9FEA-52D0AFCB5398}" presName="arrow" presStyleLbl="node1" presStyleIdx="1" presStyleCnt="4"/>
      <dgm:spPr/>
      <dgm:t>
        <a:bodyPr/>
        <a:lstStyle/>
        <a:p>
          <a:endParaRPr lang="en-GB"/>
        </a:p>
      </dgm:t>
    </dgm:pt>
    <dgm:pt modelId="{890F8757-E557-42EC-8524-EB71CCE8F8F1}" type="pres">
      <dgm:prSet presAssocID="{13F64870-8D18-43C1-9FEA-52D0AFCB5398}" presName="descendantArrow" presStyleCnt="0"/>
      <dgm:spPr/>
    </dgm:pt>
    <dgm:pt modelId="{C41CF05F-EBFD-43AF-901B-DDA671248B07}" type="pres">
      <dgm:prSet presAssocID="{5FD7148F-B205-4E34-8EA0-FF9F33A3E145}" presName="childTextArrow" presStyleLbl="fgAccFollowNode1" presStyleIdx="1" presStyleCnt="4">
        <dgm:presLayoutVars>
          <dgm:bulletEnabled val="1"/>
        </dgm:presLayoutVars>
      </dgm:prSet>
      <dgm:spPr/>
      <dgm:t>
        <a:bodyPr/>
        <a:lstStyle/>
        <a:p>
          <a:endParaRPr lang="en-GB"/>
        </a:p>
      </dgm:t>
    </dgm:pt>
    <dgm:pt modelId="{6F1DA785-183F-46E7-8D6A-EB6EE6A7269F}" type="pres">
      <dgm:prSet presAssocID="{56E76177-A23B-4D28-A6DA-9D95A73626E3}" presName="sp" presStyleCnt="0"/>
      <dgm:spPr/>
    </dgm:pt>
    <dgm:pt modelId="{F9C0D4F7-7A69-4B23-A9A1-B1852C5D723B}" type="pres">
      <dgm:prSet presAssocID="{B09E6253-019D-49AD-9322-B42A72968C35}" presName="arrowAndChildren" presStyleCnt="0"/>
      <dgm:spPr/>
    </dgm:pt>
    <dgm:pt modelId="{F204F6AE-56D3-4ED5-84DB-643A4A734C57}" type="pres">
      <dgm:prSet presAssocID="{B09E6253-019D-49AD-9322-B42A72968C35}" presName="parentTextArrow" presStyleLbl="node1" presStyleIdx="1" presStyleCnt="4"/>
      <dgm:spPr/>
      <dgm:t>
        <a:bodyPr/>
        <a:lstStyle/>
        <a:p>
          <a:endParaRPr lang="en-GB"/>
        </a:p>
      </dgm:t>
    </dgm:pt>
    <dgm:pt modelId="{A12CEFC3-EC96-46C8-AA0A-1CF6822EBD85}" type="pres">
      <dgm:prSet presAssocID="{B09E6253-019D-49AD-9322-B42A72968C35}" presName="arrow" presStyleLbl="node1" presStyleIdx="2" presStyleCnt="4"/>
      <dgm:spPr/>
      <dgm:t>
        <a:bodyPr/>
        <a:lstStyle/>
        <a:p>
          <a:endParaRPr lang="en-GB"/>
        </a:p>
      </dgm:t>
    </dgm:pt>
    <dgm:pt modelId="{9CA89718-104B-4C79-8C84-EAB83F8697FA}" type="pres">
      <dgm:prSet presAssocID="{B09E6253-019D-49AD-9322-B42A72968C35}" presName="descendantArrow" presStyleCnt="0"/>
      <dgm:spPr/>
    </dgm:pt>
    <dgm:pt modelId="{22FA4B79-8704-4BAE-A4F7-6DAAD4B1D058}" type="pres">
      <dgm:prSet presAssocID="{FDEBD7D9-16A7-4181-8B64-25855ADED8B5}" presName="childTextArrow" presStyleLbl="fgAccFollowNode1" presStyleIdx="2" presStyleCnt="4">
        <dgm:presLayoutVars>
          <dgm:bulletEnabled val="1"/>
        </dgm:presLayoutVars>
      </dgm:prSet>
      <dgm:spPr/>
      <dgm:t>
        <a:bodyPr/>
        <a:lstStyle/>
        <a:p>
          <a:endParaRPr lang="en-GB"/>
        </a:p>
      </dgm:t>
    </dgm:pt>
    <dgm:pt modelId="{5C1A12DC-1F7B-4AA2-B96C-39121C525BFB}" type="pres">
      <dgm:prSet presAssocID="{5743B449-3475-4711-AF1D-8810072E8CED}" presName="sp" presStyleCnt="0"/>
      <dgm:spPr/>
    </dgm:pt>
    <dgm:pt modelId="{4161E504-EBAB-435F-9C4B-3910EBBD7DE6}" type="pres">
      <dgm:prSet presAssocID="{2D43B598-C6C5-488A-8614-14CA62496678}" presName="arrowAndChildren" presStyleCnt="0"/>
      <dgm:spPr/>
    </dgm:pt>
    <dgm:pt modelId="{3B6DAA8A-E829-41FB-A0AA-47C44D06CBBA}" type="pres">
      <dgm:prSet presAssocID="{2D43B598-C6C5-488A-8614-14CA62496678}" presName="parentTextArrow" presStyleLbl="node1" presStyleIdx="2" presStyleCnt="4"/>
      <dgm:spPr/>
      <dgm:t>
        <a:bodyPr/>
        <a:lstStyle/>
        <a:p>
          <a:endParaRPr lang="en-GB"/>
        </a:p>
      </dgm:t>
    </dgm:pt>
    <dgm:pt modelId="{A26E6AF8-5269-4E16-AED0-8DEC891D7798}" type="pres">
      <dgm:prSet presAssocID="{2D43B598-C6C5-488A-8614-14CA62496678}" presName="arrow" presStyleLbl="node1" presStyleIdx="3" presStyleCnt="4"/>
      <dgm:spPr/>
      <dgm:t>
        <a:bodyPr/>
        <a:lstStyle/>
        <a:p>
          <a:endParaRPr lang="en-GB"/>
        </a:p>
      </dgm:t>
    </dgm:pt>
    <dgm:pt modelId="{9A678FD8-526F-4AF0-89DB-C693EE67892B}" type="pres">
      <dgm:prSet presAssocID="{2D43B598-C6C5-488A-8614-14CA62496678}" presName="descendantArrow" presStyleCnt="0"/>
      <dgm:spPr/>
    </dgm:pt>
    <dgm:pt modelId="{B1F2E7BF-9ABA-4823-B156-86AEEE948789}" type="pres">
      <dgm:prSet presAssocID="{900B086A-B470-4473-A61E-23069B2B0193}" presName="childTextArrow" presStyleLbl="fgAccFollowNode1" presStyleIdx="3" presStyleCnt="4">
        <dgm:presLayoutVars>
          <dgm:bulletEnabled val="1"/>
        </dgm:presLayoutVars>
      </dgm:prSet>
      <dgm:spPr/>
      <dgm:t>
        <a:bodyPr/>
        <a:lstStyle/>
        <a:p>
          <a:endParaRPr lang="en-GB"/>
        </a:p>
      </dgm:t>
    </dgm:pt>
  </dgm:ptLst>
  <dgm:cxnLst>
    <dgm:cxn modelId="{6B2FB01E-7191-4216-A094-C2FFD973F787}" srcId="{2980DFD9-284B-4665-8D40-C9DAA9F95AFA}" destId="{13F64870-8D18-43C1-9FEA-52D0AFCB5398}" srcOrd="2" destOrd="0" parTransId="{BDB5282C-493B-417C-B75E-DEAF343CB932}" sibTransId="{F16259A1-434B-4751-95E2-256070000228}"/>
    <dgm:cxn modelId="{502EC2B2-5E44-42AA-AA57-F447BF233ED7}" type="presOf" srcId="{FDEBD7D9-16A7-4181-8B64-25855ADED8B5}" destId="{22FA4B79-8704-4BAE-A4F7-6DAAD4B1D058}" srcOrd="0" destOrd="0" presId="urn:microsoft.com/office/officeart/2005/8/layout/process4"/>
    <dgm:cxn modelId="{DD654213-822A-4E08-9550-AED9F7662430}" type="presOf" srcId="{B09E6253-019D-49AD-9322-B42A72968C35}" destId="{F204F6AE-56D3-4ED5-84DB-643A4A734C57}" srcOrd="0" destOrd="0" presId="urn:microsoft.com/office/officeart/2005/8/layout/process4"/>
    <dgm:cxn modelId="{D79D5B5A-3FF4-40BD-BF5C-BA7E9C2607AC}" type="presOf" srcId="{5FD7148F-B205-4E34-8EA0-FF9F33A3E145}" destId="{C41CF05F-EBFD-43AF-901B-DDA671248B07}" srcOrd="0" destOrd="0" presId="urn:microsoft.com/office/officeart/2005/8/layout/process4"/>
    <dgm:cxn modelId="{74ADFFC6-139E-4655-98E1-75253C757180}" type="presOf" srcId="{A0FA2991-9302-49B9-82F0-B6E9DBC1E12E}" destId="{65EF3179-3D32-4493-84C1-580244A092EA}" srcOrd="0" destOrd="0" presId="urn:microsoft.com/office/officeart/2005/8/layout/process4"/>
    <dgm:cxn modelId="{9DE5CE83-B912-4172-AB43-09D3F46FB5B1}" type="presOf" srcId="{52942081-764A-4E11-A633-86D1548B7043}" destId="{CB3EEF1C-D740-479D-B164-2C801D153D82}" srcOrd="0" destOrd="0" presId="urn:microsoft.com/office/officeart/2005/8/layout/process4"/>
    <dgm:cxn modelId="{C8AF1B50-B03B-4658-8B17-DFBB0ED42022}" type="presOf" srcId="{A0FA2991-9302-49B9-82F0-B6E9DBC1E12E}" destId="{3757712E-197B-4251-A480-DAF1279D6BE8}" srcOrd="1" destOrd="0" presId="urn:microsoft.com/office/officeart/2005/8/layout/process4"/>
    <dgm:cxn modelId="{63706C60-86D8-444C-A5B9-E9BA4215B38D}" type="presOf" srcId="{B09E6253-019D-49AD-9322-B42A72968C35}" destId="{A12CEFC3-EC96-46C8-AA0A-1CF6822EBD85}" srcOrd="1" destOrd="0" presId="urn:microsoft.com/office/officeart/2005/8/layout/process4"/>
    <dgm:cxn modelId="{F077DDC0-CA7E-4000-AE7C-927751920CAA}" type="presOf" srcId="{900B086A-B470-4473-A61E-23069B2B0193}" destId="{B1F2E7BF-9ABA-4823-B156-86AEEE948789}" srcOrd="0" destOrd="0" presId="urn:microsoft.com/office/officeart/2005/8/layout/process4"/>
    <dgm:cxn modelId="{72CA7D9D-E55A-4D50-AB3B-5CF24A423B3A}" type="presOf" srcId="{2D43B598-C6C5-488A-8614-14CA62496678}" destId="{3B6DAA8A-E829-41FB-A0AA-47C44D06CBBA}" srcOrd="0" destOrd="0" presId="urn:microsoft.com/office/officeart/2005/8/layout/process4"/>
    <dgm:cxn modelId="{0920BBE3-4FFE-4246-A90F-D1F48C2B3614}" srcId="{2980DFD9-284B-4665-8D40-C9DAA9F95AFA}" destId="{B09E6253-019D-49AD-9322-B42A72968C35}" srcOrd="1" destOrd="0" parTransId="{6CEFD087-A82E-4A98-9626-4B1274F6401D}" sibTransId="{56E76177-A23B-4D28-A6DA-9D95A73626E3}"/>
    <dgm:cxn modelId="{4FBC72E5-BEAF-495F-A1DE-E53FB541CE6A}" type="presOf" srcId="{13F64870-8D18-43C1-9FEA-52D0AFCB5398}" destId="{F73BB4B1-3F02-4517-B8F0-DB9ADF3ECAE2}" srcOrd="0" destOrd="0" presId="urn:microsoft.com/office/officeart/2005/8/layout/process4"/>
    <dgm:cxn modelId="{D49DCEF1-B94B-405A-992C-D7468019C43F}" srcId="{2980DFD9-284B-4665-8D40-C9DAA9F95AFA}" destId="{A0FA2991-9302-49B9-82F0-B6E9DBC1E12E}" srcOrd="3" destOrd="0" parTransId="{6D0DCED8-8EA5-44CB-B9B5-1EB28540F2D5}" sibTransId="{1C17E732-6B38-4ED3-A1E0-8E060E42A919}"/>
    <dgm:cxn modelId="{CE4011FF-6339-4337-9576-20965FE4B386}" srcId="{2980DFD9-284B-4665-8D40-C9DAA9F95AFA}" destId="{2D43B598-C6C5-488A-8614-14CA62496678}" srcOrd="0" destOrd="0" parTransId="{AF1AA78A-D133-4257-A204-840336F4730F}" sibTransId="{5743B449-3475-4711-AF1D-8810072E8CED}"/>
    <dgm:cxn modelId="{6B4E068B-5F1A-4FD5-ABD8-0D21C35708F8}" type="presOf" srcId="{2D43B598-C6C5-488A-8614-14CA62496678}" destId="{A26E6AF8-5269-4E16-AED0-8DEC891D7798}" srcOrd="1" destOrd="0" presId="urn:microsoft.com/office/officeart/2005/8/layout/process4"/>
    <dgm:cxn modelId="{6549B586-4A93-406E-A203-5DD579FD3ACD}" srcId="{13F64870-8D18-43C1-9FEA-52D0AFCB5398}" destId="{5FD7148F-B205-4E34-8EA0-FF9F33A3E145}" srcOrd="0" destOrd="0" parTransId="{996C6B13-A9B1-4DB2-AAA1-3AE51D7ABED6}" sibTransId="{02FB176F-DC53-4095-9DCB-B906D63EEB25}"/>
    <dgm:cxn modelId="{7B98B620-DB5D-481C-9DC5-FE3FB0B7F045}" type="presOf" srcId="{13F64870-8D18-43C1-9FEA-52D0AFCB5398}" destId="{E3303987-8BEE-44C1-97FD-05891916C8D5}" srcOrd="1" destOrd="0" presId="urn:microsoft.com/office/officeart/2005/8/layout/process4"/>
    <dgm:cxn modelId="{D1571B41-E747-49C8-8DD4-866C02DD948F}" type="presOf" srcId="{2980DFD9-284B-4665-8D40-C9DAA9F95AFA}" destId="{C7C2AB64-76B6-4D91-9132-C719673FD6EC}" srcOrd="0" destOrd="0" presId="urn:microsoft.com/office/officeart/2005/8/layout/process4"/>
    <dgm:cxn modelId="{7BAB259E-BF8D-4BF9-9598-22487C702EC2}" srcId="{B09E6253-019D-49AD-9322-B42A72968C35}" destId="{FDEBD7D9-16A7-4181-8B64-25855ADED8B5}" srcOrd="0" destOrd="0" parTransId="{5FD8F924-58AD-4C13-8C83-46B6D7CDB4EA}" sibTransId="{275C39A6-F93E-4C06-BA6C-53A978CAE69A}"/>
    <dgm:cxn modelId="{9C15D363-3C8F-4111-9118-27C86C5EB1B9}" srcId="{2D43B598-C6C5-488A-8614-14CA62496678}" destId="{900B086A-B470-4473-A61E-23069B2B0193}" srcOrd="0" destOrd="0" parTransId="{F2AF8067-BDCF-47D8-B149-303DE6116019}" sibTransId="{E2C3FB52-7B53-4B02-A97B-AE1DC97CF69B}"/>
    <dgm:cxn modelId="{45BDCDA7-3359-45DF-813A-3E41CD8C7D49}" srcId="{A0FA2991-9302-49B9-82F0-B6E9DBC1E12E}" destId="{52942081-764A-4E11-A633-86D1548B7043}" srcOrd="0" destOrd="0" parTransId="{EBEB3AFF-2270-422F-A0DC-92BCE5AC28BC}" sibTransId="{1BB0844C-F9E7-438A-B78B-0E4AA61DACB9}"/>
    <dgm:cxn modelId="{C523EB34-0368-48A3-A8C1-FB123D0F797B}" type="presParOf" srcId="{C7C2AB64-76B6-4D91-9132-C719673FD6EC}" destId="{587B7FB4-1CAB-47E0-B2AA-8456C1E0970F}" srcOrd="0" destOrd="0" presId="urn:microsoft.com/office/officeart/2005/8/layout/process4"/>
    <dgm:cxn modelId="{4BEE78E2-4094-4539-8A6C-C9AFB974DC86}" type="presParOf" srcId="{587B7FB4-1CAB-47E0-B2AA-8456C1E0970F}" destId="{65EF3179-3D32-4493-84C1-580244A092EA}" srcOrd="0" destOrd="0" presId="urn:microsoft.com/office/officeart/2005/8/layout/process4"/>
    <dgm:cxn modelId="{6C109847-501A-4F08-A168-295A55F402B4}" type="presParOf" srcId="{587B7FB4-1CAB-47E0-B2AA-8456C1E0970F}" destId="{3757712E-197B-4251-A480-DAF1279D6BE8}" srcOrd="1" destOrd="0" presId="urn:microsoft.com/office/officeart/2005/8/layout/process4"/>
    <dgm:cxn modelId="{CA58D07D-AB5B-487C-8491-B414BB1F7B9F}" type="presParOf" srcId="{587B7FB4-1CAB-47E0-B2AA-8456C1E0970F}" destId="{64C1E781-E742-45AE-9DF5-CB3E3F0BCDE9}" srcOrd="2" destOrd="0" presId="urn:microsoft.com/office/officeart/2005/8/layout/process4"/>
    <dgm:cxn modelId="{62FD1BF7-85BA-40B8-A175-A62718CB71A4}" type="presParOf" srcId="{64C1E781-E742-45AE-9DF5-CB3E3F0BCDE9}" destId="{CB3EEF1C-D740-479D-B164-2C801D153D82}" srcOrd="0" destOrd="0" presId="urn:microsoft.com/office/officeart/2005/8/layout/process4"/>
    <dgm:cxn modelId="{5D49263E-0467-426C-B2D2-91879BB67E0B}" type="presParOf" srcId="{C7C2AB64-76B6-4D91-9132-C719673FD6EC}" destId="{FC4DD427-077E-4AE1-9889-498BBDB16F36}" srcOrd="1" destOrd="0" presId="urn:microsoft.com/office/officeart/2005/8/layout/process4"/>
    <dgm:cxn modelId="{A14EE128-C2F8-4F33-AA77-EF27CF0F48CC}" type="presParOf" srcId="{C7C2AB64-76B6-4D91-9132-C719673FD6EC}" destId="{18E93023-0EEE-4862-A0E7-8131876A77C4}" srcOrd="2" destOrd="0" presId="urn:microsoft.com/office/officeart/2005/8/layout/process4"/>
    <dgm:cxn modelId="{9BB5FF45-4DB7-4637-B05D-190E3835BA50}" type="presParOf" srcId="{18E93023-0EEE-4862-A0E7-8131876A77C4}" destId="{F73BB4B1-3F02-4517-B8F0-DB9ADF3ECAE2}" srcOrd="0" destOrd="0" presId="urn:microsoft.com/office/officeart/2005/8/layout/process4"/>
    <dgm:cxn modelId="{92D0F64E-AC54-443C-9522-1050CD614FE6}" type="presParOf" srcId="{18E93023-0EEE-4862-A0E7-8131876A77C4}" destId="{E3303987-8BEE-44C1-97FD-05891916C8D5}" srcOrd="1" destOrd="0" presId="urn:microsoft.com/office/officeart/2005/8/layout/process4"/>
    <dgm:cxn modelId="{C5CA5861-9A31-4260-AF67-CFB4EE63153D}" type="presParOf" srcId="{18E93023-0EEE-4862-A0E7-8131876A77C4}" destId="{890F8757-E557-42EC-8524-EB71CCE8F8F1}" srcOrd="2" destOrd="0" presId="urn:microsoft.com/office/officeart/2005/8/layout/process4"/>
    <dgm:cxn modelId="{2FA6612C-BF14-4F29-A2D0-4725C11E9821}" type="presParOf" srcId="{890F8757-E557-42EC-8524-EB71CCE8F8F1}" destId="{C41CF05F-EBFD-43AF-901B-DDA671248B07}" srcOrd="0" destOrd="0" presId="urn:microsoft.com/office/officeart/2005/8/layout/process4"/>
    <dgm:cxn modelId="{D2D5EFBB-0C61-430E-8B37-EB409FFA6B6B}" type="presParOf" srcId="{C7C2AB64-76B6-4D91-9132-C719673FD6EC}" destId="{6F1DA785-183F-46E7-8D6A-EB6EE6A7269F}" srcOrd="3" destOrd="0" presId="urn:microsoft.com/office/officeart/2005/8/layout/process4"/>
    <dgm:cxn modelId="{C98CE1EE-C8D2-4FA6-8DBA-9453BB8357D3}" type="presParOf" srcId="{C7C2AB64-76B6-4D91-9132-C719673FD6EC}" destId="{F9C0D4F7-7A69-4B23-A9A1-B1852C5D723B}" srcOrd="4" destOrd="0" presId="urn:microsoft.com/office/officeart/2005/8/layout/process4"/>
    <dgm:cxn modelId="{F07CD320-920A-443C-8AD8-6A65B1140038}" type="presParOf" srcId="{F9C0D4F7-7A69-4B23-A9A1-B1852C5D723B}" destId="{F204F6AE-56D3-4ED5-84DB-643A4A734C57}" srcOrd="0" destOrd="0" presId="urn:microsoft.com/office/officeart/2005/8/layout/process4"/>
    <dgm:cxn modelId="{91F24D03-DDCF-4EC2-834D-5607C87C7BD7}" type="presParOf" srcId="{F9C0D4F7-7A69-4B23-A9A1-B1852C5D723B}" destId="{A12CEFC3-EC96-46C8-AA0A-1CF6822EBD85}" srcOrd="1" destOrd="0" presId="urn:microsoft.com/office/officeart/2005/8/layout/process4"/>
    <dgm:cxn modelId="{E43578FF-7B4A-4323-A06C-774A25F082EE}" type="presParOf" srcId="{F9C0D4F7-7A69-4B23-A9A1-B1852C5D723B}" destId="{9CA89718-104B-4C79-8C84-EAB83F8697FA}" srcOrd="2" destOrd="0" presId="urn:microsoft.com/office/officeart/2005/8/layout/process4"/>
    <dgm:cxn modelId="{17752AAF-2197-4D4A-B8F0-CA96310EA672}" type="presParOf" srcId="{9CA89718-104B-4C79-8C84-EAB83F8697FA}" destId="{22FA4B79-8704-4BAE-A4F7-6DAAD4B1D058}" srcOrd="0" destOrd="0" presId="urn:microsoft.com/office/officeart/2005/8/layout/process4"/>
    <dgm:cxn modelId="{DA176A90-3FF1-449C-BC62-4EC6653B5113}" type="presParOf" srcId="{C7C2AB64-76B6-4D91-9132-C719673FD6EC}" destId="{5C1A12DC-1F7B-4AA2-B96C-39121C525BFB}" srcOrd="5" destOrd="0" presId="urn:microsoft.com/office/officeart/2005/8/layout/process4"/>
    <dgm:cxn modelId="{EDD10AE8-FE53-414A-9E88-FBBFE6D6B2CD}" type="presParOf" srcId="{C7C2AB64-76B6-4D91-9132-C719673FD6EC}" destId="{4161E504-EBAB-435F-9C4B-3910EBBD7DE6}" srcOrd="6" destOrd="0" presId="urn:microsoft.com/office/officeart/2005/8/layout/process4"/>
    <dgm:cxn modelId="{F34F77EF-5DC8-432A-8A89-C35E7DEF6660}" type="presParOf" srcId="{4161E504-EBAB-435F-9C4B-3910EBBD7DE6}" destId="{3B6DAA8A-E829-41FB-A0AA-47C44D06CBBA}" srcOrd="0" destOrd="0" presId="urn:microsoft.com/office/officeart/2005/8/layout/process4"/>
    <dgm:cxn modelId="{0D1125B8-7EDB-4D0C-9915-0197C4FD0E1C}" type="presParOf" srcId="{4161E504-EBAB-435F-9C4B-3910EBBD7DE6}" destId="{A26E6AF8-5269-4E16-AED0-8DEC891D7798}" srcOrd="1" destOrd="0" presId="urn:microsoft.com/office/officeart/2005/8/layout/process4"/>
    <dgm:cxn modelId="{0E14AAAD-59A1-435B-82FA-2FF5B572EF92}" type="presParOf" srcId="{4161E504-EBAB-435F-9C4B-3910EBBD7DE6}" destId="{9A678FD8-526F-4AF0-89DB-C693EE67892B}" srcOrd="2" destOrd="0" presId="urn:microsoft.com/office/officeart/2005/8/layout/process4"/>
    <dgm:cxn modelId="{8DF6BBF7-0E63-4D46-85FD-9B40E61528C3}" type="presParOf" srcId="{9A678FD8-526F-4AF0-89DB-C693EE67892B}" destId="{B1F2E7BF-9ABA-4823-B156-86AEEE948789}" srcOrd="0" destOrd="0" presId="urn:microsoft.com/office/officeart/2005/8/layout/process4"/>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3DC0B30-C46C-456C-8DB2-D44B9F25ED0A}">
      <dsp:nvSpPr>
        <dsp:cNvPr id="0" name=""/>
        <dsp:cNvSpPr/>
      </dsp:nvSpPr>
      <dsp:spPr>
        <a:xfrm>
          <a:off x="1345481" y="0"/>
          <a:ext cx="2258537" cy="2258537"/>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F53D95-D33D-48F8-93BA-DE2975BB5A59}">
      <dsp:nvSpPr>
        <dsp:cNvPr id="0" name=""/>
        <dsp:cNvSpPr/>
      </dsp:nvSpPr>
      <dsp:spPr>
        <a:xfrm>
          <a:off x="2474749" y="227066"/>
          <a:ext cx="1468049" cy="53463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r" defTabSz="311150">
            <a:lnSpc>
              <a:spcPct val="90000"/>
            </a:lnSpc>
            <a:spcBef>
              <a:spcPct val="0"/>
            </a:spcBef>
            <a:spcAft>
              <a:spcPct val="35000"/>
            </a:spcAft>
          </a:pPr>
          <a:r>
            <a:rPr lang="da-DK" sz="700" kern="1200"/>
            <a:t>Outcome achievement and capacity grow together</a:t>
          </a:r>
        </a:p>
      </dsp:txBody>
      <dsp:txXfrm>
        <a:off x="2474749" y="227066"/>
        <a:ext cx="1468049" cy="534638"/>
      </dsp:txXfrm>
    </dsp:sp>
    <dsp:sp modelId="{FE685527-B5BF-443B-8DE5-774A38B17BB7}">
      <dsp:nvSpPr>
        <dsp:cNvPr id="0" name=""/>
        <dsp:cNvSpPr/>
      </dsp:nvSpPr>
      <dsp:spPr>
        <a:xfrm>
          <a:off x="2474749" y="828534"/>
          <a:ext cx="1468049" cy="53463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r" defTabSz="311150">
            <a:lnSpc>
              <a:spcPct val="90000"/>
            </a:lnSpc>
            <a:spcBef>
              <a:spcPct val="0"/>
            </a:spcBef>
            <a:spcAft>
              <a:spcPct val="35000"/>
            </a:spcAft>
          </a:pPr>
          <a:r>
            <a:rPr lang="da-DK" sz="700" kern="1200"/>
            <a:t>Outcomes may be achieved - but  often through unsustainable "add-ons" (technical assistance, ad hoc funding, parallel units)</a:t>
          </a:r>
        </a:p>
      </dsp:txBody>
      <dsp:txXfrm>
        <a:off x="2474749" y="828534"/>
        <a:ext cx="1468049" cy="534638"/>
      </dsp:txXfrm>
    </dsp:sp>
    <dsp:sp modelId="{0C95C720-1126-4159-A680-B37C291DDC2F}">
      <dsp:nvSpPr>
        <dsp:cNvPr id="0" name=""/>
        <dsp:cNvSpPr/>
      </dsp:nvSpPr>
      <dsp:spPr>
        <a:xfrm>
          <a:off x="2474749" y="1430002"/>
          <a:ext cx="1468049" cy="53463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r" defTabSz="311150">
            <a:lnSpc>
              <a:spcPct val="90000"/>
            </a:lnSpc>
            <a:spcBef>
              <a:spcPct val="0"/>
            </a:spcBef>
            <a:spcAft>
              <a:spcPct val="35000"/>
            </a:spcAft>
          </a:pPr>
          <a:r>
            <a:rPr lang="da-DK" sz="700" kern="1200"/>
            <a:t>Outcome targets are only partially achieved - capacity was too limited</a:t>
          </a:r>
        </a:p>
      </dsp:txBody>
      <dsp:txXfrm>
        <a:off x="2474749" y="1430002"/>
        <a:ext cx="1468049" cy="53463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214B637-0577-428F-8FFB-0630B68A4619}">
      <dsp:nvSpPr>
        <dsp:cNvPr id="0" name=""/>
        <dsp:cNvSpPr/>
      </dsp:nvSpPr>
      <dsp:spPr>
        <a:xfrm>
          <a:off x="2303704" y="167"/>
          <a:ext cx="734211" cy="7342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dirty="0" smtClean="0"/>
            <a:t>Enabling Situation</a:t>
          </a:r>
          <a:endParaRPr lang="en-GB" sz="900" kern="1200" dirty="0"/>
        </a:p>
      </dsp:txBody>
      <dsp:txXfrm>
        <a:off x="2303704" y="167"/>
        <a:ext cx="734211" cy="734211"/>
      </dsp:txXfrm>
    </dsp:sp>
    <dsp:sp modelId="{E6E6A532-66B9-4AA1-8C54-2EC8F4E9EA44}">
      <dsp:nvSpPr>
        <dsp:cNvPr id="0" name=""/>
        <dsp:cNvSpPr/>
      </dsp:nvSpPr>
      <dsp:spPr>
        <a:xfrm rot="3600000">
          <a:off x="2802616" y="734491"/>
          <a:ext cx="282526" cy="211504"/>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rot="3600000">
        <a:off x="2802616" y="734491"/>
        <a:ext cx="282526" cy="211504"/>
      </dsp:txXfrm>
    </dsp:sp>
    <dsp:sp modelId="{A757B19F-94E9-4D2A-A7A7-BC03129D92D8}">
      <dsp:nvSpPr>
        <dsp:cNvPr id="0" name=""/>
        <dsp:cNvSpPr/>
      </dsp:nvSpPr>
      <dsp:spPr>
        <a:xfrm>
          <a:off x="2855380" y="955698"/>
          <a:ext cx="734211" cy="7342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dirty="0" smtClean="0"/>
            <a:t>Appealing vision </a:t>
          </a:r>
          <a:endParaRPr lang="en-GB" sz="900" kern="1200" dirty="0"/>
        </a:p>
      </dsp:txBody>
      <dsp:txXfrm>
        <a:off x="2855380" y="955698"/>
        <a:ext cx="734211" cy="734211"/>
      </dsp:txXfrm>
    </dsp:sp>
    <dsp:sp modelId="{43AAA9A5-0620-414D-8C1B-CD0F34C13BCB}">
      <dsp:nvSpPr>
        <dsp:cNvPr id="0" name=""/>
        <dsp:cNvSpPr/>
      </dsp:nvSpPr>
      <dsp:spPr>
        <a:xfrm rot="5400000">
          <a:off x="2578524" y="1190339"/>
          <a:ext cx="195644" cy="264929"/>
        </a:xfrm>
        <a:prstGeom prst="up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rot="5400000">
        <a:off x="2578524" y="1190339"/>
        <a:ext cx="195644" cy="264929"/>
      </dsp:txXfrm>
    </dsp:sp>
    <dsp:sp modelId="{3D9106C1-859F-45D2-88B6-3BD98E4D46ED}">
      <dsp:nvSpPr>
        <dsp:cNvPr id="0" name=""/>
        <dsp:cNvSpPr/>
      </dsp:nvSpPr>
      <dsp:spPr>
        <a:xfrm>
          <a:off x="1752027" y="955698"/>
          <a:ext cx="734211" cy="7342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dirty="0" smtClean="0"/>
            <a:t>Credible change process</a:t>
          </a:r>
          <a:endParaRPr lang="en-GB" sz="900" kern="1200" dirty="0"/>
        </a:p>
      </dsp:txBody>
      <dsp:txXfrm>
        <a:off x="1752027" y="955698"/>
        <a:ext cx="734211" cy="734211"/>
      </dsp:txXfrm>
    </dsp:sp>
    <dsp:sp modelId="{8AD5D29B-3A8A-4EBA-82BE-8BF0B352654F}">
      <dsp:nvSpPr>
        <dsp:cNvPr id="0" name=""/>
        <dsp:cNvSpPr/>
      </dsp:nvSpPr>
      <dsp:spPr>
        <a:xfrm rot="2432694">
          <a:off x="2294381" y="707893"/>
          <a:ext cx="195644" cy="283880"/>
        </a:xfrm>
        <a:prstGeom prst="up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rot="2432694">
        <a:off x="2294381" y="707893"/>
        <a:ext cx="195644" cy="28388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89F3EC6-BCD0-4D95-AE49-218F13E0963A}">
      <dsp:nvSpPr>
        <dsp:cNvPr id="0" name=""/>
        <dsp:cNvSpPr/>
      </dsp:nvSpPr>
      <dsp:spPr>
        <a:xfrm rot="5400000">
          <a:off x="3068773" y="-1307752"/>
          <a:ext cx="347398" cy="305173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GB" sz="900" b="0" i="1" kern="1200" dirty="0" smtClean="0"/>
            <a:t>Apply a strategic development perspective, not an aid effectiveness perspective</a:t>
          </a:r>
          <a:r>
            <a:rPr lang="en-GB" sz="900" b="0" kern="1200" dirty="0" smtClean="0"/>
            <a:t>. </a:t>
          </a:r>
          <a:endParaRPr lang="en-GB" sz="1600" kern="1200" dirty="0"/>
        </a:p>
      </dsp:txBody>
      <dsp:txXfrm rot="5400000">
        <a:off x="3068773" y="-1307752"/>
        <a:ext cx="347398" cy="3051738"/>
      </dsp:txXfrm>
    </dsp:sp>
    <dsp:sp modelId="{D04AAFF9-2E4D-4ABC-92E1-F07DBB78E9A2}">
      <dsp:nvSpPr>
        <dsp:cNvPr id="0" name=""/>
        <dsp:cNvSpPr/>
      </dsp:nvSpPr>
      <dsp:spPr>
        <a:xfrm>
          <a:off x="0" y="993"/>
          <a:ext cx="1716603" cy="4342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Strategic perspective</a:t>
          </a:r>
          <a:endParaRPr lang="en-GB" sz="1200" kern="1200" dirty="0"/>
        </a:p>
      </dsp:txBody>
      <dsp:txXfrm>
        <a:off x="0" y="993"/>
        <a:ext cx="1716603" cy="434248"/>
      </dsp:txXfrm>
    </dsp:sp>
    <dsp:sp modelId="{E45AF18B-D6C1-4DDF-8AA2-6C4ECDA8C312}">
      <dsp:nvSpPr>
        <dsp:cNvPr id="0" name=""/>
        <dsp:cNvSpPr/>
      </dsp:nvSpPr>
      <dsp:spPr>
        <a:xfrm rot="5400000">
          <a:off x="3068773" y="-851791"/>
          <a:ext cx="347398" cy="305173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GB" sz="900" b="0" i="1" kern="1200" dirty="0" smtClean="0"/>
            <a:t>The point of departure is where the partners are and what they can and will do to promote CD</a:t>
          </a:r>
          <a:endParaRPr lang="en-GB" sz="900" b="0" kern="1200" dirty="0"/>
        </a:p>
      </dsp:txBody>
      <dsp:txXfrm rot="5400000">
        <a:off x="3068773" y="-851791"/>
        <a:ext cx="347398" cy="3051738"/>
      </dsp:txXfrm>
    </dsp:sp>
    <dsp:sp modelId="{8FE3BEA6-D53D-4BA9-9505-F9AAE8FE46BF}">
      <dsp:nvSpPr>
        <dsp:cNvPr id="0" name=""/>
        <dsp:cNvSpPr/>
      </dsp:nvSpPr>
      <dsp:spPr>
        <a:xfrm>
          <a:off x="0" y="456953"/>
          <a:ext cx="1716603" cy="4342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Start where the partners are</a:t>
          </a:r>
          <a:endParaRPr lang="en-GB" sz="1200" kern="1200" dirty="0"/>
        </a:p>
      </dsp:txBody>
      <dsp:txXfrm>
        <a:off x="0" y="456953"/>
        <a:ext cx="1716603" cy="434248"/>
      </dsp:txXfrm>
    </dsp:sp>
    <dsp:sp modelId="{69026B77-F151-494A-B0EF-96DDE76F47F2}">
      <dsp:nvSpPr>
        <dsp:cNvPr id="0" name=""/>
        <dsp:cNvSpPr/>
      </dsp:nvSpPr>
      <dsp:spPr>
        <a:xfrm rot="5400000">
          <a:off x="3062782" y="-409136"/>
          <a:ext cx="347398" cy="305173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GB" sz="900" b="0" i="1" kern="1200" dirty="0" smtClean="0"/>
            <a:t>CD Dialogue is driven by a focus on results in terms of effectiveness and efficiency</a:t>
          </a:r>
          <a:endParaRPr lang="en-GB" sz="900" kern="1200" dirty="0"/>
        </a:p>
      </dsp:txBody>
      <dsp:txXfrm rot="5400000">
        <a:off x="3062782" y="-409136"/>
        <a:ext cx="347398" cy="3051738"/>
      </dsp:txXfrm>
    </dsp:sp>
    <dsp:sp modelId="{D51DD18C-CB72-4AEC-921B-DE88625E3AC3}">
      <dsp:nvSpPr>
        <dsp:cNvPr id="0" name=""/>
        <dsp:cNvSpPr/>
      </dsp:nvSpPr>
      <dsp:spPr>
        <a:xfrm>
          <a:off x="0" y="912914"/>
          <a:ext cx="1716603" cy="4342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Focus on tangible results</a:t>
          </a:r>
          <a:endParaRPr lang="en-GB" sz="1200" kern="1200" dirty="0"/>
        </a:p>
      </dsp:txBody>
      <dsp:txXfrm>
        <a:off x="0" y="912914"/>
        <a:ext cx="1716603" cy="434248"/>
      </dsp:txXfrm>
    </dsp:sp>
    <dsp:sp modelId="{CF9661FA-9E66-44C9-AC6F-D5A6ADB3A45A}">
      <dsp:nvSpPr>
        <dsp:cNvPr id="0" name=""/>
        <dsp:cNvSpPr/>
      </dsp:nvSpPr>
      <dsp:spPr>
        <a:xfrm rot="5400000">
          <a:off x="3062782" y="60129"/>
          <a:ext cx="347398" cy="305173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GB" sz="900" b="0" i="1" kern="1200" dirty="0" smtClean="0"/>
            <a:t>Joint donor approaches to CD dialogue and support is the default</a:t>
          </a:r>
          <a:endParaRPr lang="en-GB" sz="900" kern="1200" dirty="0"/>
        </a:p>
      </dsp:txBody>
      <dsp:txXfrm rot="5400000">
        <a:off x="3062782" y="60129"/>
        <a:ext cx="347398" cy="3051738"/>
      </dsp:txXfrm>
    </dsp:sp>
    <dsp:sp modelId="{B3FA87A7-65F0-4334-A57C-7D8B6A0E3DF2}">
      <dsp:nvSpPr>
        <dsp:cNvPr id="0" name=""/>
        <dsp:cNvSpPr/>
      </dsp:nvSpPr>
      <dsp:spPr>
        <a:xfrm>
          <a:off x="0" y="1368875"/>
          <a:ext cx="1716603" cy="4342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Joint as default</a:t>
          </a:r>
          <a:endParaRPr lang="en-GB" sz="1200" kern="1200" dirty="0"/>
        </a:p>
      </dsp:txBody>
      <dsp:txXfrm>
        <a:off x="0" y="1368875"/>
        <a:ext cx="1716603" cy="434248"/>
      </dsp:txXfrm>
    </dsp:sp>
    <dsp:sp modelId="{D1FDDE35-67A7-4513-BEE7-8342DE188426}">
      <dsp:nvSpPr>
        <dsp:cNvPr id="0" name=""/>
        <dsp:cNvSpPr/>
      </dsp:nvSpPr>
      <dsp:spPr>
        <a:xfrm rot="5400000">
          <a:off x="3068773" y="516090"/>
          <a:ext cx="347398" cy="305173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GB" sz="900" b="0" i="1" kern="1200" dirty="0" smtClean="0"/>
            <a:t>Recognise dilemmas openly when balancing policy and CD ambitions</a:t>
          </a:r>
          <a:endParaRPr lang="en-GB" sz="900" kern="1200" dirty="0"/>
        </a:p>
      </dsp:txBody>
      <dsp:txXfrm rot="5400000">
        <a:off x="3068773" y="516090"/>
        <a:ext cx="347398" cy="3051738"/>
      </dsp:txXfrm>
    </dsp:sp>
    <dsp:sp modelId="{33F6E009-A85B-4907-BABF-C8CD56D16067}">
      <dsp:nvSpPr>
        <dsp:cNvPr id="0" name=""/>
        <dsp:cNvSpPr/>
      </dsp:nvSpPr>
      <dsp:spPr>
        <a:xfrm>
          <a:off x="0" y="1824835"/>
          <a:ext cx="1716603" cy="4342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Recognize </a:t>
          </a:r>
          <a:r>
            <a:rPr lang="en-GB" sz="1200" kern="1200" dirty="0" err="1" smtClean="0"/>
            <a:t>dillemmas</a:t>
          </a:r>
          <a:endParaRPr lang="en-GB" sz="1200" kern="1200" dirty="0"/>
        </a:p>
      </dsp:txBody>
      <dsp:txXfrm>
        <a:off x="0" y="1824835"/>
        <a:ext cx="1716603" cy="43424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57712E-197B-4251-A480-DAF1279D6BE8}">
      <dsp:nvSpPr>
        <dsp:cNvPr id="0" name=""/>
        <dsp:cNvSpPr/>
      </dsp:nvSpPr>
      <dsp:spPr>
        <a:xfrm>
          <a:off x="0" y="1934624"/>
          <a:ext cx="5121921" cy="4232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dirty="0" smtClean="0"/>
            <a:t>Implementation</a:t>
          </a:r>
          <a:endParaRPr lang="en-GB" sz="800" kern="1200" dirty="0"/>
        </a:p>
      </dsp:txBody>
      <dsp:txXfrm>
        <a:off x="0" y="1934624"/>
        <a:ext cx="5121921" cy="228554"/>
      </dsp:txXfrm>
    </dsp:sp>
    <dsp:sp modelId="{CB3EEF1C-D740-479D-B164-2C801D153D82}">
      <dsp:nvSpPr>
        <dsp:cNvPr id="0" name=""/>
        <dsp:cNvSpPr/>
      </dsp:nvSpPr>
      <dsp:spPr>
        <a:xfrm>
          <a:off x="0" y="2154713"/>
          <a:ext cx="5121921" cy="19469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t>Accompaniment, brokering, modifying</a:t>
          </a:r>
          <a:endParaRPr lang="en-GB" sz="1100" kern="1200" dirty="0"/>
        </a:p>
      </dsp:txBody>
      <dsp:txXfrm>
        <a:off x="0" y="2154713"/>
        <a:ext cx="5121921" cy="194694"/>
      </dsp:txXfrm>
    </dsp:sp>
    <dsp:sp modelId="{E3303987-8BEE-44C1-97FD-05891916C8D5}">
      <dsp:nvSpPr>
        <dsp:cNvPr id="0" name=""/>
        <dsp:cNvSpPr/>
      </dsp:nvSpPr>
      <dsp:spPr>
        <a:xfrm rot="10800000">
          <a:off x="0" y="1290016"/>
          <a:ext cx="5121921" cy="650956"/>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dirty="0" smtClean="0"/>
            <a:t>Appraisal - 6-3 months before start of support</a:t>
          </a:r>
          <a:endParaRPr lang="en-GB" sz="800" kern="1200" dirty="0"/>
        </a:p>
      </dsp:txBody>
      <dsp:txXfrm>
        <a:off x="0" y="1290016"/>
        <a:ext cx="5121921" cy="228485"/>
      </dsp:txXfrm>
    </dsp:sp>
    <dsp:sp modelId="{C41CF05F-EBFD-43AF-901B-DDA671248B07}">
      <dsp:nvSpPr>
        <dsp:cNvPr id="0" name=""/>
        <dsp:cNvSpPr/>
      </dsp:nvSpPr>
      <dsp:spPr>
        <a:xfrm>
          <a:off x="0" y="1518502"/>
          <a:ext cx="5121921" cy="19463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t>Ownership</a:t>
          </a:r>
          <a:endParaRPr lang="en-GB" sz="1100" kern="1200" dirty="0"/>
        </a:p>
      </dsp:txBody>
      <dsp:txXfrm>
        <a:off x="0" y="1518502"/>
        <a:ext cx="5121921" cy="194635"/>
      </dsp:txXfrm>
    </dsp:sp>
    <dsp:sp modelId="{A12CEFC3-EC96-46C8-AA0A-1CF6822EBD85}">
      <dsp:nvSpPr>
        <dsp:cNvPr id="0" name=""/>
        <dsp:cNvSpPr/>
      </dsp:nvSpPr>
      <dsp:spPr>
        <a:xfrm rot="10800000">
          <a:off x="0" y="645409"/>
          <a:ext cx="5121921" cy="650956"/>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dirty="0" smtClean="0"/>
            <a:t>Formulation - 12-6 months before start of support</a:t>
          </a:r>
          <a:endParaRPr lang="en-GB" sz="800" kern="1200" dirty="0"/>
        </a:p>
      </dsp:txBody>
      <dsp:txXfrm>
        <a:off x="0" y="645409"/>
        <a:ext cx="5121921" cy="228485"/>
      </dsp:txXfrm>
    </dsp:sp>
    <dsp:sp modelId="{22FA4B79-8704-4BAE-A4F7-6DAAD4B1D058}">
      <dsp:nvSpPr>
        <dsp:cNvPr id="0" name=""/>
        <dsp:cNvSpPr/>
      </dsp:nvSpPr>
      <dsp:spPr>
        <a:xfrm>
          <a:off x="0" y="873895"/>
          <a:ext cx="5121921" cy="19463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t>Results, processes, inputs</a:t>
          </a:r>
          <a:endParaRPr lang="en-GB" sz="1100" kern="1200" dirty="0"/>
        </a:p>
      </dsp:txBody>
      <dsp:txXfrm>
        <a:off x="0" y="873895"/>
        <a:ext cx="5121921" cy="194635"/>
      </dsp:txXfrm>
    </dsp:sp>
    <dsp:sp modelId="{A26E6AF8-5269-4E16-AED0-8DEC891D7798}">
      <dsp:nvSpPr>
        <dsp:cNvPr id="0" name=""/>
        <dsp:cNvSpPr/>
      </dsp:nvSpPr>
      <dsp:spPr>
        <a:xfrm rot="10800000">
          <a:off x="0" y="801"/>
          <a:ext cx="5121921" cy="650956"/>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dirty="0" smtClean="0"/>
            <a:t>Identification - 18-12 months before start of support</a:t>
          </a:r>
          <a:endParaRPr lang="en-GB" sz="800" kern="1200" dirty="0"/>
        </a:p>
      </dsp:txBody>
      <dsp:txXfrm>
        <a:off x="0" y="801"/>
        <a:ext cx="5121921" cy="228485"/>
      </dsp:txXfrm>
    </dsp:sp>
    <dsp:sp modelId="{B1F2E7BF-9ABA-4823-B156-86AEEE948789}">
      <dsp:nvSpPr>
        <dsp:cNvPr id="0" name=""/>
        <dsp:cNvSpPr/>
      </dsp:nvSpPr>
      <dsp:spPr>
        <a:xfrm>
          <a:off x="0" y="229287"/>
          <a:ext cx="5121921" cy="19463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dirty="0" smtClean="0"/>
            <a:t>Change readiness</a:t>
          </a:r>
          <a:endParaRPr lang="en-GB" sz="1100" kern="1200" dirty="0"/>
        </a:p>
      </dsp:txBody>
      <dsp:txXfrm>
        <a:off x="0" y="229287"/>
        <a:ext cx="5121921" cy="19463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7984</Words>
  <Characters>48706</Characters>
  <Application>Microsoft Office Word</Application>
  <DocSecurity>0</DocSecurity>
  <Lines>405</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Update note: Guidance on Danish Support for Capacity Development</vt:lpstr>
      <vt:lpstr>Update note: Guidance on Danish Support for Capacity Development</vt:lpstr>
    </vt:vector>
  </TitlesOfParts>
  <Company>Nils Boesen A/S</Company>
  <LinksUpToDate>false</LinksUpToDate>
  <CharactersWithSpaces>56577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note: Guidance on Danish Support for Capacity Development</dc:title>
  <dc:creator>Nils Boesen</dc:creator>
  <cp:lastModifiedBy>Henning Nøhr</cp:lastModifiedBy>
  <cp:revision>3</cp:revision>
  <cp:lastPrinted>2010-06-24T11:15:00Z</cp:lastPrinted>
  <dcterms:created xsi:type="dcterms:W3CDTF">2010-06-28T11:43:00Z</dcterms:created>
  <dcterms:modified xsi:type="dcterms:W3CDTF">2010-06-28T11:54:00Z</dcterms:modified>
</cp:coreProperties>
</file>