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28A" w:rsidRDefault="0002728A" w:rsidP="0002728A">
      <w:pPr>
        <w:spacing w:line="276" w:lineRule="auto"/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</w:pPr>
      <w:bookmarkStart w:id="0" w:name="_GoBack"/>
      <w:bookmarkEnd w:id="0"/>
    </w:p>
    <w:p w:rsidR="00C678FE" w:rsidRPr="00574E50" w:rsidRDefault="00C678FE" w:rsidP="00C678FE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74E50">
        <w:rPr>
          <w:rFonts w:asciiTheme="minorHAnsi" w:hAnsiTheme="minorHAnsi"/>
          <w:b/>
          <w:sz w:val="22"/>
          <w:szCs w:val="22"/>
          <w:lang w:val="en-GB"/>
        </w:rPr>
        <w:t>Culture and Development</w:t>
      </w:r>
    </w:p>
    <w:p w:rsidR="00C678FE" w:rsidRPr="00574E50" w:rsidRDefault="00C678FE" w:rsidP="00C678FE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74E50">
        <w:rPr>
          <w:rFonts w:asciiTheme="minorHAnsi" w:hAnsiTheme="minorHAnsi"/>
          <w:b/>
          <w:sz w:val="22"/>
          <w:szCs w:val="22"/>
          <w:lang w:val="en-GB"/>
        </w:rPr>
        <w:t xml:space="preserve">The Creative Industries, </w:t>
      </w:r>
    </w:p>
    <w:p w:rsidR="00C678FE" w:rsidRPr="00574E50" w:rsidRDefault="00C678FE" w:rsidP="00C678FE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74E50">
        <w:rPr>
          <w:rFonts w:asciiTheme="minorHAnsi" w:hAnsiTheme="minorHAnsi"/>
          <w:b/>
          <w:sz w:val="22"/>
          <w:szCs w:val="22"/>
          <w:lang w:val="en-GB"/>
        </w:rPr>
        <w:t xml:space="preserve">a richness for the economic and social development  </w:t>
      </w:r>
    </w:p>
    <w:p w:rsidR="0002728A" w:rsidRPr="00C678FE" w:rsidRDefault="0002728A" w:rsidP="00D264C8">
      <w:pPr>
        <w:spacing w:line="276" w:lineRule="auto"/>
        <w:rPr>
          <w:rFonts w:asciiTheme="minorHAnsi" w:hAnsiTheme="minorHAnsi"/>
          <w:b/>
          <w:sz w:val="22"/>
          <w:szCs w:val="22"/>
          <w:lang w:val="en-GB"/>
        </w:rPr>
      </w:pPr>
    </w:p>
    <w:p w:rsidR="0002728A" w:rsidRPr="00C678FE" w:rsidRDefault="0002728A" w:rsidP="0002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C678FE">
        <w:rPr>
          <w:rFonts w:asciiTheme="minorHAnsi" w:hAnsiTheme="minorHAnsi"/>
          <w:b/>
          <w:sz w:val="22"/>
          <w:szCs w:val="22"/>
          <w:lang w:val="en-GB"/>
        </w:rPr>
        <w:t xml:space="preserve">Innovation / Young African Leader Initiative </w:t>
      </w:r>
    </w:p>
    <w:p w:rsidR="0002728A" w:rsidRPr="00830CB8" w:rsidRDefault="00CA7645" w:rsidP="0002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830CB8">
        <w:rPr>
          <w:rFonts w:asciiTheme="minorHAnsi" w:hAnsiTheme="minorHAnsi"/>
          <w:b/>
          <w:sz w:val="22"/>
          <w:szCs w:val="22"/>
          <w:lang w:val="en-GB"/>
        </w:rPr>
        <w:t>Video Games</w:t>
      </w:r>
    </w:p>
    <w:p w:rsidR="006226CC" w:rsidRPr="00CA7645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b/>
          <w:sz w:val="22"/>
          <w:szCs w:val="22"/>
          <w:lang w:val="en-GB"/>
        </w:rPr>
      </w:pPr>
      <w:proofErr w:type="spellStart"/>
      <w:r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Kiro’o</w:t>
      </w:r>
      <w:proofErr w:type="spellEnd"/>
      <w:r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</w:t>
      </w:r>
      <w:r w:rsidR="00C678FE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Games is a </w:t>
      </w:r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new Cameroonian</w:t>
      </w:r>
      <w:r w:rsidR="00C678FE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firm </w:t>
      </w:r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employing 20 persons </w:t>
      </w:r>
      <w:r w:rsidR="00830CB8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who</w:t>
      </w:r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launched in 2016 </w:t>
      </w:r>
      <w:r w:rsidR="003634DF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on the platform Steam</w:t>
      </w:r>
      <w:r w:rsidR="003634DF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</w:t>
      </w:r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the first video game from Central Africa, </w:t>
      </w:r>
      <w:proofErr w:type="spellStart"/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Aurion</w:t>
      </w:r>
      <w:proofErr w:type="spellEnd"/>
      <w:r w:rsidR="00CA7645" w:rsidRPr="00830CB8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, accessible from Africa and Europe. </w:t>
      </w:r>
    </w:p>
    <w:p w:rsidR="0002728A" w:rsidRPr="006226CC" w:rsidRDefault="0002728A" w:rsidP="0002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</w:rPr>
      </w:pPr>
      <w:proofErr w:type="spellStart"/>
      <w:r w:rsidRPr="006226CC">
        <w:rPr>
          <w:rFonts w:asciiTheme="minorHAnsi" w:hAnsiTheme="minorHAnsi"/>
        </w:rPr>
        <w:t>Language</w:t>
      </w:r>
      <w:r w:rsidR="00CA7645">
        <w:rPr>
          <w:rFonts w:asciiTheme="minorHAnsi" w:hAnsiTheme="minorHAnsi"/>
        </w:rPr>
        <w:t>s</w:t>
      </w:r>
      <w:proofErr w:type="spellEnd"/>
      <w:r w:rsidRPr="006226CC">
        <w:rPr>
          <w:rFonts w:asciiTheme="minorHAnsi" w:hAnsiTheme="minorHAnsi"/>
        </w:rPr>
        <w:t> : EN/FR</w:t>
      </w:r>
    </w:p>
    <w:p w:rsidR="0002728A" w:rsidRPr="006226CC" w:rsidRDefault="0002728A" w:rsidP="0002728A">
      <w:pPr>
        <w:spacing w:line="276" w:lineRule="auto"/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</w:pPr>
    </w:p>
    <w:p w:rsidR="0002728A" w:rsidRDefault="0002728A" w:rsidP="0002728A">
      <w:pPr>
        <w:spacing w:line="276" w:lineRule="auto"/>
        <w:rPr>
          <w:rFonts w:asciiTheme="minorHAnsi" w:eastAsia="Calibri" w:hAnsiTheme="minorHAnsi"/>
          <w:color w:val="000000" w:themeColor="text1"/>
          <w:sz w:val="22"/>
          <w:szCs w:val="22"/>
          <w:lang w:eastAsia="ar-SA"/>
        </w:rPr>
      </w:pPr>
      <w:r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  <w:t xml:space="preserve">Dominique Yakan Brand, co-fondateur de </w:t>
      </w:r>
      <w:proofErr w:type="spellStart"/>
      <w:r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  <w:t>Kiro’o</w:t>
      </w:r>
      <w:proofErr w:type="spellEnd"/>
      <w:r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  <w:t xml:space="preserve"> Games (Cameroun)</w:t>
      </w:r>
      <w:r>
        <w:rPr>
          <w:rFonts w:asciiTheme="minorHAnsi" w:eastAsia="Calibri" w:hAnsiTheme="minorHAnsi"/>
          <w:color w:val="000000" w:themeColor="text1"/>
          <w:sz w:val="22"/>
          <w:szCs w:val="22"/>
          <w:lang w:eastAsia="ar-SA"/>
        </w:rPr>
        <w:t xml:space="preserve">. </w:t>
      </w:r>
    </w:p>
    <w:p w:rsidR="0002728A" w:rsidRDefault="00C678FE" w:rsidP="0002728A">
      <w:pPr>
        <w:spacing w:line="276" w:lineRule="auto"/>
        <w:rPr>
          <w:rFonts w:asciiTheme="minorHAnsi" w:eastAsia="Calibri" w:hAnsiTheme="minorHAnsi"/>
          <w:b/>
          <w:color w:val="000000" w:themeColor="text1"/>
          <w:sz w:val="22"/>
          <w:szCs w:val="22"/>
          <w:lang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Cette jeune entre</w:t>
      </w:r>
      <w:r w:rsidR="006226CC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prise</w:t>
      </w:r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, classée parmi les 3 gagnants des start up Total 2016, (le co-fondateur Olivier </w:t>
      </w:r>
      <w:proofErr w:type="spellStart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Madiba</w:t>
      </w:r>
      <w:proofErr w:type="spellEnd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 a participé à l’expédition 2016 du Young </w:t>
      </w:r>
      <w:proofErr w:type="spellStart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African</w:t>
      </w:r>
      <w:proofErr w:type="spellEnd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 Leader Initiative/Mandela Washington </w:t>
      </w:r>
      <w:proofErr w:type="spellStart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Fellows</w:t>
      </w:r>
      <w:proofErr w:type="spellEnd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 Program (YALI), a réussi une levée de fonds auprès de nombreux partenaires pour pouvoir lancer ce jeu. </w:t>
      </w:r>
      <w:proofErr w:type="spellStart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Kiroo’s</w:t>
      </w:r>
      <w:proofErr w:type="spellEnd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 </w:t>
      </w:r>
      <w:proofErr w:type="spellStart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games</w:t>
      </w:r>
      <w:proofErr w:type="spellEnd"/>
      <w:r w:rsidR="0002728A"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 est le premier studio de production de jeux installé en Afrique francophone et une des premières TPE à avoir exploré le capital risque pour financer ses activités. Les Camerounais ont investi en majorité dans le projet suivi par les Français, Togolais et Congolais. </w:t>
      </w:r>
    </w:p>
    <w:p w:rsidR="0002728A" w:rsidRDefault="0002728A" w:rsidP="0002728A">
      <w:pPr>
        <w:pStyle w:val="NormalWeb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Ce producteur nous parlera de : </w:t>
      </w:r>
    </w:p>
    <w:p w:rsidR="0002728A" w:rsidRDefault="0002728A" w:rsidP="0002728A">
      <w:pPr>
        <w:pStyle w:val="NormalWeb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</w:p>
    <w:p w:rsidR="0002728A" w:rsidRDefault="0002728A" w:rsidP="00027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Création de jeux vidéo et de l’animation 2D et 3D (spécificités et potentiel)</w:t>
      </w:r>
    </w:p>
    <w:p w:rsidR="0002728A" w:rsidRDefault="0002728A" w:rsidP="00027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Son modèle économique et le financement alternatif (capital risque)</w:t>
      </w:r>
    </w:p>
    <w:p w:rsidR="0002728A" w:rsidRDefault="0002728A" w:rsidP="00027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Les outils pour accéder au marché pour ce type de projets (plateforme) </w:t>
      </w:r>
    </w:p>
    <w:p w:rsidR="0002728A" w:rsidRDefault="0002728A" w:rsidP="00027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L’entreprenariat culturel en Afrique (défis et contraintes)</w:t>
      </w:r>
    </w:p>
    <w:p w:rsidR="0002728A" w:rsidRDefault="0002728A" w:rsidP="0002728A">
      <w:pPr>
        <w:spacing w:after="0" w:line="276" w:lineRule="auto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</w:p>
    <w:p w:rsidR="0002728A" w:rsidRDefault="0002728A" w:rsidP="0002728A">
      <w:pPr>
        <w:spacing w:after="0" w:line="276" w:lineRule="auto"/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>Support : extrait du jeu « </w:t>
      </w:r>
      <w:proofErr w:type="spellStart"/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>Aurion</w:t>
      </w:r>
      <w:proofErr w:type="spellEnd"/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> »</w:t>
      </w:r>
    </w:p>
    <w:p w:rsidR="0002728A" w:rsidRDefault="0002728A" w:rsidP="0002728A">
      <w:pPr>
        <w:spacing w:after="0" w:line="276" w:lineRule="auto"/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</w:pPr>
    </w:p>
    <w:p w:rsidR="0002728A" w:rsidRDefault="0002728A" w:rsidP="0002728A">
      <w:pPr>
        <w:spacing w:after="0" w:line="276" w:lineRule="auto"/>
        <w:rPr>
          <w:rFonts w:asciiTheme="minorHAnsi" w:hAnsiTheme="minorHAnsi"/>
          <w:i/>
          <w:sz w:val="22"/>
          <w:szCs w:val="22"/>
          <w:lang w:val="fr-FR"/>
        </w:rPr>
      </w:pPr>
      <w:r>
        <w:rPr>
          <w:rFonts w:asciiTheme="minorHAnsi" w:hAnsiTheme="minorHAnsi"/>
          <w:i/>
          <w:sz w:val="22"/>
          <w:szCs w:val="22"/>
          <w:lang w:val="fr-FR"/>
        </w:rPr>
        <w:t>Q&amp;A</w:t>
      </w:r>
    </w:p>
    <w:p w:rsidR="00941074" w:rsidRDefault="00482866"/>
    <w:sectPr w:rsidR="0094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F00EA"/>
    <w:multiLevelType w:val="hybridMultilevel"/>
    <w:tmpl w:val="9F0630F8"/>
    <w:lvl w:ilvl="0" w:tplc="080C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8A"/>
    <w:rsid w:val="0002728A"/>
    <w:rsid w:val="00045974"/>
    <w:rsid w:val="003634DF"/>
    <w:rsid w:val="003D3F66"/>
    <w:rsid w:val="004720BA"/>
    <w:rsid w:val="00482866"/>
    <w:rsid w:val="005D621F"/>
    <w:rsid w:val="006226CC"/>
    <w:rsid w:val="007A50FC"/>
    <w:rsid w:val="00830CB8"/>
    <w:rsid w:val="00B649E1"/>
    <w:rsid w:val="00C678FE"/>
    <w:rsid w:val="00CA7645"/>
    <w:rsid w:val="00D264C8"/>
    <w:rsid w:val="00D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A63A-65DA-4B5A-96E1-BA1F2DE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8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2728A"/>
    <w:pPr>
      <w:spacing w:before="100" w:beforeAutospacing="1" w:after="100" w:afterAutospacing="1"/>
      <w:jc w:val="left"/>
    </w:pPr>
    <w:rPr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Richert</dc:creator>
  <cp:lastModifiedBy>Denise Richert</cp:lastModifiedBy>
  <cp:revision>2</cp:revision>
  <dcterms:created xsi:type="dcterms:W3CDTF">2017-10-17T12:42:00Z</dcterms:created>
  <dcterms:modified xsi:type="dcterms:W3CDTF">2017-10-17T12:42:00Z</dcterms:modified>
</cp:coreProperties>
</file>