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45" w:rsidRPr="00EA3C27" w:rsidRDefault="00E46E45">
      <w:pPr>
        <w:pStyle w:val="Fichedinformationtitre"/>
        <w:rPr>
          <w:lang w:val="fr-FR"/>
        </w:rPr>
      </w:pPr>
      <w:r w:rsidRPr="00EA3C27">
        <w:rPr>
          <w:lang w:val="fr-FR"/>
        </w:rPr>
        <w:t>Document d’action de fonds fiduciaire de l’UE à utiliser pour les décisions du comité de gestion</w:t>
      </w:r>
    </w:p>
    <w:p w:rsidR="00BB35C0" w:rsidRPr="00EA3C27" w:rsidRDefault="00BB35C0" w:rsidP="00BB35C0">
      <w:pPr>
        <w:rPr>
          <w:lang w:val="fr-FR"/>
        </w:rPr>
      </w:pPr>
    </w:p>
    <w:p w:rsidR="00E46E45" w:rsidRPr="00EA3C27" w:rsidRDefault="00E46E45" w:rsidP="00F9332F">
      <w:pPr>
        <w:pStyle w:val="Heading1"/>
        <w:spacing w:before="240"/>
        <w:ind w:left="851" w:hanging="851"/>
        <w:rPr>
          <w:szCs w:val="24"/>
          <w:lang w:val="fr-FR"/>
        </w:rPr>
      </w:pPr>
      <w:r w:rsidRPr="00EA3C27">
        <w:rPr>
          <w:szCs w:val="24"/>
          <w:lang w:val="fr-FR"/>
        </w:rPr>
        <w:t>Identification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559"/>
        <w:gridCol w:w="2268"/>
        <w:gridCol w:w="2376"/>
      </w:tblGrid>
      <w:tr w:rsidR="00487E5A" w:rsidRPr="00824E91" w:rsidTr="00863609">
        <w:tc>
          <w:tcPr>
            <w:tcW w:w="1661" w:type="pct"/>
            <w:shd w:val="clear" w:color="auto" w:fill="DAEEF3"/>
          </w:tcPr>
          <w:p w:rsidR="00487E5A" w:rsidRPr="00EA3C27" w:rsidRDefault="00487E5A" w:rsidP="001B6E7B">
            <w:pPr>
              <w:pStyle w:val="Text1"/>
              <w:spacing w:before="60" w:after="60"/>
              <w:ind w:left="0"/>
              <w:rPr>
                <w:i/>
                <w:lang w:val="fr-FR" w:eastAsia="de-DE"/>
              </w:rPr>
            </w:pPr>
            <w:r w:rsidRPr="00EA3C27">
              <w:rPr>
                <w:i/>
                <w:lang w:val="fr-FR"/>
              </w:rPr>
              <w:t>Intitulé/Numéro</w:t>
            </w:r>
          </w:p>
        </w:tc>
        <w:tc>
          <w:tcPr>
            <w:tcW w:w="3339" w:type="pct"/>
            <w:gridSpan w:val="3"/>
            <w:shd w:val="clear" w:color="auto" w:fill="DAEEF3"/>
          </w:tcPr>
          <w:p w:rsidR="00487E5A" w:rsidRPr="00EA3C27" w:rsidRDefault="00251EFD" w:rsidP="00251EFD">
            <w:pPr>
              <w:pStyle w:val="Text1"/>
              <w:snapToGrid w:val="0"/>
              <w:spacing w:before="60" w:after="60"/>
              <w:ind w:left="0"/>
              <w:rPr>
                <w:b/>
                <w:lang w:val="fr-FR" w:eastAsia="de-DE"/>
              </w:rPr>
            </w:pPr>
            <w:r w:rsidRPr="00EA3C27">
              <w:rPr>
                <w:b/>
                <w:lang w:val="fr-FR"/>
              </w:rPr>
              <w:t>Programme de promotion</w:t>
            </w:r>
            <w:r w:rsidR="00B11D0D" w:rsidRPr="00EA3C27">
              <w:rPr>
                <w:b/>
                <w:lang w:val="fr-FR"/>
              </w:rPr>
              <w:t xml:space="preserve"> </w:t>
            </w:r>
            <w:r w:rsidR="0039046B" w:rsidRPr="00EA3C27">
              <w:rPr>
                <w:b/>
                <w:lang w:val="fr-FR"/>
              </w:rPr>
              <w:t>d</w:t>
            </w:r>
            <w:r w:rsidR="00B11D0D" w:rsidRPr="00EA3C27">
              <w:rPr>
                <w:b/>
                <w:lang w:val="fr-FR"/>
              </w:rPr>
              <w:t xml:space="preserve">e </w:t>
            </w:r>
            <w:r w:rsidRPr="00EA3C27">
              <w:rPr>
                <w:b/>
                <w:lang w:val="fr-FR"/>
              </w:rPr>
              <w:t xml:space="preserve">la </w:t>
            </w:r>
            <w:r w:rsidR="00B11D0D" w:rsidRPr="00EA3C27">
              <w:rPr>
                <w:b/>
                <w:lang w:val="fr-FR"/>
              </w:rPr>
              <w:t>cohésion sociale</w:t>
            </w:r>
            <w:r w:rsidR="00017DDF" w:rsidRPr="00EA3C27">
              <w:rPr>
                <w:b/>
                <w:lang w:val="fr-FR"/>
              </w:rPr>
              <w:t>,</w:t>
            </w:r>
            <w:r w:rsidR="0039046B" w:rsidRPr="00EA3C27">
              <w:rPr>
                <w:b/>
                <w:lang w:val="fr-FR"/>
              </w:rPr>
              <w:t xml:space="preserve"> du dialogue </w:t>
            </w:r>
            <w:r w:rsidR="00017DDF" w:rsidRPr="00EA3C27">
              <w:rPr>
                <w:b/>
                <w:lang w:val="fr-FR"/>
              </w:rPr>
              <w:t xml:space="preserve">et de </w:t>
            </w:r>
            <w:r w:rsidR="00BA2217" w:rsidRPr="00EA3C27">
              <w:rPr>
                <w:b/>
                <w:lang w:val="fr-FR"/>
              </w:rPr>
              <w:t xml:space="preserve">la </w:t>
            </w:r>
            <w:r w:rsidR="00017DDF" w:rsidRPr="00EA3C27">
              <w:rPr>
                <w:b/>
                <w:lang w:val="fr-FR"/>
              </w:rPr>
              <w:t xml:space="preserve">réconciliation </w:t>
            </w:r>
            <w:r w:rsidR="0039046B" w:rsidRPr="00EA3C27">
              <w:rPr>
                <w:b/>
                <w:lang w:val="fr-FR"/>
              </w:rPr>
              <w:t>dans la société centrafricaine</w:t>
            </w:r>
            <w:r w:rsidR="00B11D0D" w:rsidRPr="00EA3C27">
              <w:rPr>
                <w:b/>
                <w:lang w:val="fr-FR"/>
              </w:rPr>
              <w:t xml:space="preserve"> </w:t>
            </w:r>
          </w:p>
        </w:tc>
      </w:tr>
      <w:tr w:rsidR="00487E5A" w:rsidRPr="00824E91" w:rsidTr="00863609">
        <w:tc>
          <w:tcPr>
            <w:tcW w:w="1661" w:type="pct"/>
            <w:shd w:val="clear" w:color="auto" w:fill="EAF1DD"/>
          </w:tcPr>
          <w:p w:rsidR="00487E5A" w:rsidRPr="00EA3C27" w:rsidRDefault="00487E5A" w:rsidP="001B6E7B">
            <w:pPr>
              <w:pStyle w:val="Text1"/>
              <w:spacing w:before="60" w:after="60"/>
              <w:ind w:left="0"/>
              <w:rPr>
                <w:i/>
                <w:lang w:val="fr-FR"/>
              </w:rPr>
            </w:pPr>
            <w:r w:rsidRPr="00EA3C27">
              <w:rPr>
                <w:i/>
                <w:lang w:val="fr-FR"/>
              </w:rPr>
              <w:t>Coût total</w:t>
            </w:r>
          </w:p>
        </w:tc>
        <w:tc>
          <w:tcPr>
            <w:tcW w:w="3339" w:type="pct"/>
            <w:gridSpan w:val="3"/>
            <w:shd w:val="clear" w:color="auto" w:fill="auto"/>
          </w:tcPr>
          <w:p w:rsidR="00487E5A" w:rsidRPr="00EA3C27" w:rsidRDefault="00487E5A" w:rsidP="001B6E7B">
            <w:pPr>
              <w:spacing w:before="60" w:after="60"/>
              <w:jc w:val="both"/>
              <w:rPr>
                <w:lang w:val="fr-FR"/>
              </w:rPr>
            </w:pPr>
            <w:r w:rsidRPr="00EA3C27">
              <w:rPr>
                <w:lang w:val="fr-FR"/>
              </w:rPr>
              <w:t xml:space="preserve">Coût total estimé: </w:t>
            </w:r>
            <w:r w:rsidR="00536165" w:rsidRPr="00EA3C27">
              <w:rPr>
                <w:lang w:val="fr-FR"/>
              </w:rPr>
              <w:t xml:space="preserve">€ </w:t>
            </w:r>
            <w:r w:rsidR="001A6F1E" w:rsidRPr="00CF0F91">
              <w:rPr>
                <w:lang w:val="fr-FR"/>
              </w:rPr>
              <w:t>20</w:t>
            </w:r>
            <w:proofErr w:type="gramStart"/>
            <w:r w:rsidR="00775FC4" w:rsidRPr="00CF0F91">
              <w:rPr>
                <w:lang w:val="fr-FR"/>
              </w:rPr>
              <w:t>,0</w:t>
            </w:r>
            <w:r w:rsidR="009A46C4" w:rsidRPr="00CF0F91">
              <w:rPr>
                <w:lang w:val="fr-FR"/>
              </w:rPr>
              <w:t>00,000</w:t>
            </w:r>
            <w:proofErr w:type="gramEnd"/>
          </w:p>
          <w:p w:rsidR="00487E5A" w:rsidRPr="00EA3C27" w:rsidRDefault="00487E5A" w:rsidP="001B6E7B">
            <w:pPr>
              <w:pStyle w:val="Text1"/>
              <w:spacing w:before="60" w:after="60"/>
              <w:ind w:left="0"/>
              <w:rPr>
                <w:lang w:val="fr-FR"/>
              </w:rPr>
            </w:pPr>
            <w:r w:rsidRPr="00EA3C27">
              <w:rPr>
                <w:lang w:val="fr-FR"/>
              </w:rPr>
              <w:t>Montant total provenant du Fonds fiduciaire: 100%</w:t>
            </w:r>
          </w:p>
        </w:tc>
      </w:tr>
      <w:tr w:rsidR="00487E5A" w:rsidRPr="00824E91" w:rsidTr="00863609">
        <w:tc>
          <w:tcPr>
            <w:tcW w:w="1661" w:type="pct"/>
            <w:shd w:val="clear" w:color="auto" w:fill="EAF1DD"/>
          </w:tcPr>
          <w:p w:rsidR="00BB35C0" w:rsidRPr="00EA3C27" w:rsidRDefault="00487E5A" w:rsidP="001B6E7B">
            <w:pPr>
              <w:pStyle w:val="Text1"/>
              <w:spacing w:before="60" w:after="0"/>
              <w:ind w:left="0"/>
              <w:rPr>
                <w:i/>
                <w:lang w:val="fr-FR"/>
              </w:rPr>
            </w:pPr>
            <w:r w:rsidRPr="00EA3C27">
              <w:rPr>
                <w:i/>
                <w:lang w:val="fr-FR"/>
              </w:rPr>
              <w:t>Méthode d’assistance/</w:t>
            </w:r>
          </w:p>
          <w:p w:rsidR="00487E5A" w:rsidRPr="00EA3C27" w:rsidRDefault="00487E5A" w:rsidP="001B6E7B">
            <w:pPr>
              <w:pStyle w:val="Text1"/>
              <w:spacing w:before="60" w:after="0"/>
              <w:ind w:left="0"/>
              <w:rPr>
                <w:i/>
                <w:lang w:val="fr-FR"/>
              </w:rPr>
            </w:pPr>
            <w:r w:rsidRPr="00EA3C27">
              <w:rPr>
                <w:i/>
                <w:lang w:val="fr-FR"/>
              </w:rPr>
              <w:t>Modalités de mise en œuvre</w:t>
            </w:r>
          </w:p>
        </w:tc>
        <w:tc>
          <w:tcPr>
            <w:tcW w:w="3339" w:type="pct"/>
            <w:gridSpan w:val="3"/>
            <w:shd w:val="clear" w:color="auto" w:fill="auto"/>
          </w:tcPr>
          <w:p w:rsidR="00301DFA" w:rsidRPr="00EA3C27" w:rsidRDefault="00E21EE7" w:rsidP="00693C63">
            <w:pPr>
              <w:pStyle w:val="Text1"/>
              <w:snapToGrid w:val="0"/>
              <w:spacing w:before="60" w:after="60"/>
              <w:ind w:left="0"/>
              <w:rPr>
                <w:lang w:val="fr-FR"/>
              </w:rPr>
            </w:pPr>
            <w:r w:rsidRPr="00EA3C27">
              <w:rPr>
                <w:lang w:val="fr-FR"/>
              </w:rPr>
              <w:t xml:space="preserve">Gestion directe </w:t>
            </w:r>
            <w:r w:rsidR="00301DFA" w:rsidRPr="00EA3C27">
              <w:rPr>
                <w:lang w:val="fr-FR"/>
              </w:rPr>
              <w:t>/ Subvention</w:t>
            </w:r>
            <w:r w:rsidR="006C15D5" w:rsidRPr="00EA3C27">
              <w:rPr>
                <w:lang w:val="fr-FR"/>
              </w:rPr>
              <w:t xml:space="preserve">, </w:t>
            </w:r>
            <w:r w:rsidR="004E35D0" w:rsidRPr="00EA3C27">
              <w:rPr>
                <w:lang w:val="fr-FR"/>
              </w:rPr>
              <w:t>Contrat de S</w:t>
            </w:r>
            <w:r w:rsidR="00825434" w:rsidRPr="00EA3C27">
              <w:rPr>
                <w:lang w:val="fr-FR"/>
              </w:rPr>
              <w:t>ervices</w:t>
            </w:r>
          </w:p>
          <w:p w:rsidR="002662BF" w:rsidRPr="00EA3C27" w:rsidRDefault="002662BF" w:rsidP="00693C63">
            <w:pPr>
              <w:pStyle w:val="Text1"/>
              <w:snapToGrid w:val="0"/>
              <w:spacing w:before="60" w:after="60"/>
              <w:ind w:left="0"/>
              <w:rPr>
                <w:lang w:val="fr-FR"/>
              </w:rPr>
            </w:pPr>
            <w:r w:rsidRPr="00EA3C27">
              <w:rPr>
                <w:lang w:val="fr-FR"/>
              </w:rPr>
              <w:t>Gestion indirect</w:t>
            </w:r>
            <w:r w:rsidR="00FD0EDA" w:rsidRPr="00EA3C27">
              <w:rPr>
                <w:lang w:val="fr-FR"/>
              </w:rPr>
              <w:t>e</w:t>
            </w:r>
            <w:r w:rsidRPr="00EA3C27">
              <w:rPr>
                <w:lang w:val="fr-FR"/>
              </w:rPr>
              <w:t xml:space="preserve"> / Convention de Délégation</w:t>
            </w:r>
          </w:p>
        </w:tc>
      </w:tr>
      <w:tr w:rsidR="00487E5A" w:rsidRPr="00EA3C27" w:rsidTr="00863609">
        <w:tc>
          <w:tcPr>
            <w:tcW w:w="1661" w:type="pct"/>
            <w:shd w:val="clear" w:color="auto" w:fill="EAF1DD"/>
          </w:tcPr>
          <w:p w:rsidR="00487E5A" w:rsidRPr="00EA3C27" w:rsidRDefault="00487E5A" w:rsidP="001B6E7B">
            <w:pPr>
              <w:pStyle w:val="Text1"/>
              <w:spacing w:before="60" w:after="60"/>
              <w:ind w:left="0"/>
              <w:rPr>
                <w:i/>
                <w:lang w:val="fr-FR" w:eastAsia="de-DE"/>
              </w:rPr>
            </w:pPr>
            <w:r w:rsidRPr="00EA3C27">
              <w:rPr>
                <w:i/>
                <w:lang w:val="fr-FR"/>
              </w:rPr>
              <w:t>Code CAD</w:t>
            </w:r>
          </w:p>
        </w:tc>
        <w:tc>
          <w:tcPr>
            <w:tcW w:w="839" w:type="pct"/>
            <w:shd w:val="clear" w:color="auto" w:fill="auto"/>
          </w:tcPr>
          <w:p w:rsidR="00487E5A" w:rsidRPr="00EA3C27" w:rsidRDefault="002662BF" w:rsidP="001B6E7B">
            <w:pPr>
              <w:pStyle w:val="Text1"/>
              <w:spacing w:before="60" w:after="60"/>
              <w:ind w:left="0"/>
              <w:rPr>
                <w:lang w:val="fr-FR"/>
              </w:rPr>
            </w:pPr>
            <w:r w:rsidRPr="00EA3C27">
              <w:rPr>
                <w:lang w:val="fr-FR"/>
              </w:rPr>
              <w:t>151</w:t>
            </w:r>
          </w:p>
        </w:tc>
        <w:tc>
          <w:tcPr>
            <w:tcW w:w="1221" w:type="pct"/>
            <w:shd w:val="clear" w:color="auto" w:fill="auto"/>
          </w:tcPr>
          <w:p w:rsidR="00487E5A" w:rsidRPr="00EA3C27" w:rsidRDefault="00487E5A" w:rsidP="001B6E7B">
            <w:pPr>
              <w:pStyle w:val="Text1"/>
              <w:spacing w:before="60" w:after="60"/>
              <w:ind w:left="0"/>
              <w:rPr>
                <w:i/>
                <w:lang w:val="fr-FR" w:eastAsia="de-DE"/>
              </w:rPr>
            </w:pPr>
            <w:r w:rsidRPr="00EA3C27">
              <w:rPr>
                <w:i/>
                <w:lang w:val="fr-FR"/>
              </w:rPr>
              <w:t>Secteur</w:t>
            </w:r>
          </w:p>
        </w:tc>
        <w:tc>
          <w:tcPr>
            <w:tcW w:w="1279" w:type="pct"/>
            <w:shd w:val="clear" w:color="auto" w:fill="auto"/>
          </w:tcPr>
          <w:p w:rsidR="00487E5A" w:rsidRPr="00EA3C27" w:rsidRDefault="002662BF" w:rsidP="002662BF">
            <w:pPr>
              <w:pStyle w:val="Text1"/>
              <w:snapToGrid w:val="0"/>
              <w:spacing w:before="60" w:after="60"/>
              <w:ind w:left="0"/>
              <w:jc w:val="left"/>
              <w:rPr>
                <w:lang w:val="fr-FR" w:eastAsia="de-DE"/>
              </w:rPr>
            </w:pPr>
            <w:r w:rsidRPr="00EA3C27">
              <w:rPr>
                <w:lang w:val="fr-FR" w:eastAsia="de-DE"/>
              </w:rPr>
              <w:t>Gouvernement et société civile</w:t>
            </w:r>
          </w:p>
        </w:tc>
      </w:tr>
    </w:tbl>
    <w:p w:rsidR="00E46E45" w:rsidRPr="00EA3C27" w:rsidRDefault="00EB58B8" w:rsidP="00F9332F">
      <w:pPr>
        <w:pStyle w:val="Heading1"/>
        <w:spacing w:before="240"/>
        <w:ind w:left="851" w:hanging="851"/>
        <w:rPr>
          <w:szCs w:val="24"/>
          <w:lang w:val="fr-FR"/>
        </w:rPr>
      </w:pPr>
      <w:r w:rsidRPr="00EA3C27">
        <w:rPr>
          <w:szCs w:val="24"/>
          <w:lang w:val="fr-FR"/>
        </w:rPr>
        <w:t xml:space="preserve">Justification et </w:t>
      </w:r>
      <w:r w:rsidR="00E46E45" w:rsidRPr="00EA3C27">
        <w:rPr>
          <w:szCs w:val="24"/>
          <w:lang w:val="fr-FR"/>
        </w:rPr>
        <w:t>contexte</w:t>
      </w:r>
    </w:p>
    <w:p w:rsidR="0013222A" w:rsidRPr="00EA3C27" w:rsidRDefault="00E46E45" w:rsidP="00F9332F">
      <w:pPr>
        <w:pStyle w:val="Heading2"/>
        <w:tabs>
          <w:tab w:val="clear" w:pos="850"/>
          <w:tab w:val="left" w:pos="840"/>
        </w:tabs>
        <w:spacing w:before="240"/>
        <w:ind w:left="851" w:hanging="851"/>
        <w:rPr>
          <w:szCs w:val="24"/>
          <w:lang w:val="fr-FR"/>
        </w:rPr>
      </w:pPr>
      <w:r w:rsidRPr="00EA3C27">
        <w:rPr>
          <w:szCs w:val="24"/>
          <w:lang w:val="fr-FR"/>
        </w:rPr>
        <w:t xml:space="preserve">Résumé de l’action et </w:t>
      </w:r>
      <w:r w:rsidR="00B344B0" w:rsidRPr="00EA3C27">
        <w:rPr>
          <w:szCs w:val="24"/>
          <w:lang w:val="fr-FR"/>
        </w:rPr>
        <w:t xml:space="preserve">de </w:t>
      </w:r>
      <w:r w:rsidRPr="00EA3C27">
        <w:rPr>
          <w:szCs w:val="24"/>
          <w:lang w:val="fr-FR"/>
        </w:rPr>
        <w:t>ses objectifs</w:t>
      </w:r>
      <w:r w:rsidR="00740A96">
        <w:rPr>
          <w:szCs w:val="24"/>
          <w:lang w:val="fr-FR"/>
        </w:rPr>
        <w:t xml:space="preserve">  </w:t>
      </w:r>
    </w:p>
    <w:p w:rsidR="00F75EBB" w:rsidRPr="00EA3C27" w:rsidRDefault="004F3167" w:rsidP="00872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after="120"/>
        <w:jc w:val="both"/>
        <w:rPr>
          <w:lang w:val="fr-FR" w:eastAsia="en-GB"/>
        </w:rPr>
      </w:pPr>
      <w:r w:rsidRPr="00EA3C27">
        <w:rPr>
          <w:lang w:val="fr-FR" w:eastAsia="en-GB"/>
        </w:rPr>
        <w:t>Ma</w:t>
      </w:r>
      <w:r w:rsidR="0040024B" w:rsidRPr="00EA3C27">
        <w:rPr>
          <w:lang w:val="fr-FR" w:eastAsia="en-GB"/>
        </w:rPr>
        <w:t>lgré le succès de l'organisation d</w:t>
      </w:r>
      <w:r w:rsidR="00EA24F3" w:rsidRPr="00EA3C27">
        <w:rPr>
          <w:lang w:val="fr-FR" w:eastAsia="en-GB"/>
        </w:rPr>
        <w:t>es élections présidentielles et législatives en février 2016</w:t>
      </w:r>
      <w:r w:rsidRPr="00EA3C27">
        <w:rPr>
          <w:lang w:val="fr-FR" w:eastAsia="en-GB"/>
        </w:rPr>
        <w:t>, l</w:t>
      </w:r>
      <w:r w:rsidR="00F75EBB" w:rsidRPr="00EA3C27">
        <w:rPr>
          <w:lang w:val="fr-FR" w:eastAsia="en-GB"/>
        </w:rPr>
        <w:t xml:space="preserve">a République </w:t>
      </w:r>
      <w:r w:rsidR="008D3CD1" w:rsidRPr="00EA3C27">
        <w:rPr>
          <w:lang w:val="fr-FR" w:eastAsia="en-GB"/>
        </w:rPr>
        <w:t>c</w:t>
      </w:r>
      <w:r w:rsidR="00F75EBB" w:rsidRPr="00EA3C27">
        <w:rPr>
          <w:lang w:val="fr-FR" w:eastAsia="en-GB"/>
        </w:rPr>
        <w:t>entrafricaine con</w:t>
      </w:r>
      <w:r w:rsidR="00474978" w:rsidRPr="00EA3C27">
        <w:rPr>
          <w:lang w:val="fr-FR" w:eastAsia="en-GB"/>
        </w:rPr>
        <w:t>tinue d'affronter</w:t>
      </w:r>
      <w:r w:rsidR="00F75EBB" w:rsidRPr="00EA3C27">
        <w:rPr>
          <w:lang w:val="fr-FR" w:eastAsia="en-GB"/>
        </w:rPr>
        <w:t xml:space="preserve"> une situation d'instabilité</w:t>
      </w:r>
      <w:r w:rsidRPr="00EA3C27">
        <w:rPr>
          <w:lang w:val="fr-FR" w:eastAsia="en-GB"/>
        </w:rPr>
        <w:t xml:space="preserve"> localisée</w:t>
      </w:r>
      <w:r w:rsidR="00F75EBB" w:rsidRPr="00EA3C27">
        <w:rPr>
          <w:lang w:val="fr-FR" w:eastAsia="en-GB"/>
        </w:rPr>
        <w:t xml:space="preserve"> en raison notamment de tension</w:t>
      </w:r>
      <w:r w:rsidR="005A2558" w:rsidRPr="00EA3C27">
        <w:rPr>
          <w:lang w:val="fr-FR" w:eastAsia="en-GB"/>
        </w:rPr>
        <w:t>s</w:t>
      </w:r>
      <w:r w:rsidR="00F75EBB" w:rsidRPr="00EA3C27">
        <w:rPr>
          <w:lang w:val="fr-FR" w:eastAsia="en-GB"/>
        </w:rPr>
        <w:t xml:space="preserve"> intercommunautaire</w:t>
      </w:r>
      <w:r w:rsidR="005A2558" w:rsidRPr="00EA3C27">
        <w:rPr>
          <w:lang w:val="fr-FR" w:eastAsia="en-GB"/>
        </w:rPr>
        <w:t>s</w:t>
      </w:r>
      <w:r w:rsidR="00F75EBB" w:rsidRPr="00EA3C27">
        <w:rPr>
          <w:lang w:val="fr-FR" w:eastAsia="en-GB"/>
        </w:rPr>
        <w:t xml:space="preserve"> et d'un contexte politique post-crise fragile. </w:t>
      </w:r>
    </w:p>
    <w:p w:rsidR="00E04D9C" w:rsidRPr="00EA3C27" w:rsidRDefault="00E04D9C" w:rsidP="0087297E">
      <w:pPr>
        <w:suppressAutoHyphens w:val="0"/>
        <w:spacing w:before="100" w:beforeAutospacing="1" w:after="120"/>
        <w:jc w:val="both"/>
        <w:rPr>
          <w:rFonts w:eastAsia="Calibri"/>
          <w:lang w:val="fr-FR" w:eastAsia="en-US"/>
        </w:rPr>
      </w:pPr>
      <w:r w:rsidRPr="00EA3C27">
        <w:rPr>
          <w:rFonts w:eastAsia="Calibri"/>
          <w:lang w:val="fr-FR" w:eastAsia="en-US"/>
        </w:rPr>
        <w:t>Les violences perpétrées au plus fort de la crise</w:t>
      </w:r>
      <w:r w:rsidR="0040024B" w:rsidRPr="00EA3C27">
        <w:rPr>
          <w:rFonts w:eastAsia="Calibri"/>
          <w:lang w:val="fr-FR" w:eastAsia="en-US"/>
        </w:rPr>
        <w:t>,</w:t>
      </w:r>
      <w:r w:rsidRPr="00EA3C27">
        <w:rPr>
          <w:rFonts w:eastAsia="Calibri"/>
          <w:lang w:val="fr-FR" w:eastAsia="en-US"/>
        </w:rPr>
        <w:t xml:space="preserve"> et les heurts en</w:t>
      </w:r>
      <w:r w:rsidR="00D1343B" w:rsidRPr="00EA3C27">
        <w:rPr>
          <w:rFonts w:eastAsia="Calibri"/>
          <w:lang w:val="fr-FR" w:eastAsia="en-US"/>
        </w:rPr>
        <w:t xml:space="preserve">tre communautés qui continuent </w:t>
      </w:r>
      <w:r w:rsidRPr="00EA3C27">
        <w:rPr>
          <w:rFonts w:eastAsia="Calibri"/>
          <w:lang w:val="fr-FR" w:eastAsia="en-US"/>
        </w:rPr>
        <w:t>jusqu'à présent, ainsi que des facteurs socio-économiques</w:t>
      </w:r>
      <w:r w:rsidR="005A2558" w:rsidRPr="00EA3C27">
        <w:rPr>
          <w:rFonts w:eastAsia="Calibri"/>
          <w:lang w:val="fr-FR" w:eastAsia="en-US"/>
        </w:rPr>
        <w:t xml:space="preserve"> défavorables</w:t>
      </w:r>
      <w:r w:rsidR="00BA2217" w:rsidRPr="00EA3C27">
        <w:rPr>
          <w:rFonts w:eastAsia="Calibri"/>
          <w:lang w:val="fr-FR" w:eastAsia="en-US"/>
        </w:rPr>
        <w:t>,</w:t>
      </w:r>
      <w:r w:rsidRPr="00EA3C27">
        <w:rPr>
          <w:rFonts w:eastAsia="Calibri"/>
          <w:lang w:val="fr-FR" w:eastAsia="en-US"/>
        </w:rPr>
        <w:t xml:space="preserve"> appellent des actions concrètes de dialogue, médiation</w:t>
      </w:r>
      <w:r w:rsidR="00BA2217" w:rsidRPr="00EA3C27">
        <w:rPr>
          <w:rFonts w:eastAsia="Calibri"/>
          <w:lang w:val="fr-FR" w:eastAsia="en-US"/>
        </w:rPr>
        <w:t xml:space="preserve"> et</w:t>
      </w:r>
      <w:r w:rsidRPr="00EA3C27">
        <w:rPr>
          <w:rFonts w:eastAsia="Calibri"/>
          <w:lang w:val="fr-FR" w:eastAsia="en-US"/>
        </w:rPr>
        <w:t xml:space="preserve"> réconciliation tant au niveau national que local</w:t>
      </w:r>
      <w:r w:rsidR="00BA2217" w:rsidRPr="00EA3C27">
        <w:rPr>
          <w:rFonts w:eastAsia="Calibri"/>
          <w:lang w:val="fr-FR" w:eastAsia="en-US"/>
        </w:rPr>
        <w:t>,</w:t>
      </w:r>
      <w:r w:rsidRPr="00EA3C27">
        <w:rPr>
          <w:rFonts w:eastAsia="Calibri"/>
          <w:lang w:val="fr-FR" w:eastAsia="en-US"/>
        </w:rPr>
        <w:t xml:space="preserve"> en recourant à des initiatives politiques, symboliques, administratives, sociales et économiques.</w:t>
      </w:r>
    </w:p>
    <w:p w:rsidR="0019123F" w:rsidRPr="00EA3C27" w:rsidRDefault="00E04D9C" w:rsidP="003B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after="120"/>
        <w:jc w:val="both"/>
        <w:rPr>
          <w:lang w:val="fr-FR" w:eastAsia="en-GB"/>
        </w:rPr>
      </w:pPr>
      <w:r w:rsidRPr="00EA3C27">
        <w:rPr>
          <w:lang w:val="fr-FR" w:eastAsia="en-GB"/>
        </w:rPr>
        <w:t xml:space="preserve">La fragilité de l'État et </w:t>
      </w:r>
      <w:r w:rsidR="005A2558" w:rsidRPr="00EA3C27">
        <w:rPr>
          <w:lang w:val="fr-FR" w:eastAsia="en-GB"/>
        </w:rPr>
        <w:t xml:space="preserve">son </w:t>
      </w:r>
      <w:r w:rsidRPr="00EA3C27">
        <w:rPr>
          <w:lang w:val="fr-FR" w:eastAsia="en-GB"/>
        </w:rPr>
        <w:t xml:space="preserve">incapacité </w:t>
      </w:r>
      <w:r w:rsidR="00BA2217" w:rsidRPr="00EA3C27">
        <w:rPr>
          <w:lang w:val="fr-FR" w:eastAsia="en-GB"/>
        </w:rPr>
        <w:t xml:space="preserve">à </w:t>
      </w:r>
      <w:r w:rsidR="005A2558" w:rsidRPr="00EA3C27">
        <w:rPr>
          <w:lang w:val="fr-FR" w:eastAsia="en-GB"/>
        </w:rPr>
        <w:t xml:space="preserve">assurer la protection de </w:t>
      </w:r>
      <w:r w:rsidRPr="00EA3C27">
        <w:rPr>
          <w:lang w:val="fr-FR" w:eastAsia="en-GB"/>
        </w:rPr>
        <w:t>la population et</w:t>
      </w:r>
      <w:r w:rsidR="005A2558" w:rsidRPr="00EA3C27">
        <w:rPr>
          <w:lang w:val="fr-FR" w:eastAsia="en-GB"/>
        </w:rPr>
        <w:t xml:space="preserve"> à</w:t>
      </w:r>
      <w:r w:rsidRPr="00EA3C27">
        <w:rPr>
          <w:lang w:val="fr-FR" w:eastAsia="en-GB"/>
        </w:rPr>
        <w:t xml:space="preserve"> maintenir l'ordre ont joué </w:t>
      </w:r>
      <w:r w:rsidR="00BA2217" w:rsidRPr="00EA3C27">
        <w:rPr>
          <w:lang w:val="fr-FR" w:eastAsia="en-GB"/>
        </w:rPr>
        <w:t>en faveur</w:t>
      </w:r>
      <w:r w:rsidRPr="00EA3C27">
        <w:rPr>
          <w:lang w:val="fr-FR" w:eastAsia="en-GB"/>
        </w:rPr>
        <w:t xml:space="preserve"> de</w:t>
      </w:r>
      <w:r w:rsidR="00BA2217" w:rsidRPr="00EA3C27">
        <w:rPr>
          <w:lang w:val="fr-FR" w:eastAsia="en-GB"/>
        </w:rPr>
        <w:t>s</w:t>
      </w:r>
      <w:r w:rsidRPr="00EA3C27">
        <w:rPr>
          <w:lang w:val="fr-FR" w:eastAsia="en-GB"/>
        </w:rPr>
        <w:t xml:space="preserve"> groupes rebelles. Cette situation a exacerbé les conflits locaux </w:t>
      </w:r>
      <w:r w:rsidR="005A2558" w:rsidRPr="00EA3C27">
        <w:rPr>
          <w:lang w:val="fr-FR" w:eastAsia="en-GB"/>
        </w:rPr>
        <w:t xml:space="preserve">laissant ainsi </w:t>
      </w:r>
      <w:r w:rsidRPr="00EA3C27">
        <w:rPr>
          <w:lang w:val="fr-FR" w:eastAsia="en-GB"/>
        </w:rPr>
        <w:t>les communautés locales de plus en plus vulnérables et impuissantes.</w:t>
      </w:r>
      <w:r w:rsidR="003F3CB5" w:rsidRPr="00EA3C27">
        <w:rPr>
          <w:lang w:val="fr-FR" w:eastAsia="en-GB"/>
        </w:rPr>
        <w:t xml:space="preserve"> </w:t>
      </w:r>
    </w:p>
    <w:p w:rsidR="00E04D9C" w:rsidRPr="00EA3C27" w:rsidRDefault="00D1343B" w:rsidP="00F4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after="120"/>
        <w:jc w:val="both"/>
        <w:rPr>
          <w:lang w:val="fr-FR" w:eastAsia="en-GB"/>
        </w:rPr>
      </w:pPr>
      <w:r w:rsidRPr="00EA3C27">
        <w:rPr>
          <w:lang w:val="fr-FR" w:eastAsia="en-GB"/>
        </w:rPr>
        <w:t>Plusieurs</w:t>
      </w:r>
      <w:r w:rsidR="00E04D9C" w:rsidRPr="00EA3C27">
        <w:rPr>
          <w:lang w:val="fr-FR" w:eastAsia="en-GB"/>
        </w:rPr>
        <w:t xml:space="preserve"> facteurs </w:t>
      </w:r>
      <w:r w:rsidR="00EA60EF" w:rsidRPr="00EA3C27">
        <w:rPr>
          <w:lang w:val="fr-FR" w:eastAsia="en-GB"/>
        </w:rPr>
        <w:t>contribuent à l'affaiblissement des</w:t>
      </w:r>
      <w:r w:rsidR="00E04D9C" w:rsidRPr="00EA3C27">
        <w:rPr>
          <w:lang w:val="fr-FR" w:eastAsia="en-GB"/>
        </w:rPr>
        <w:t xml:space="preserve"> capacités des communautés à répondre aux conflits, promouvoir la cohabitation pacifique</w:t>
      </w:r>
      <w:r w:rsidR="00BA2217" w:rsidRPr="00EA3C27">
        <w:rPr>
          <w:lang w:val="fr-FR" w:eastAsia="en-GB"/>
        </w:rPr>
        <w:t>,</w:t>
      </w:r>
      <w:r w:rsidR="00E04D9C" w:rsidRPr="00EA3C27">
        <w:rPr>
          <w:lang w:val="fr-FR" w:eastAsia="en-GB"/>
        </w:rPr>
        <w:t xml:space="preserve"> et entrer dans un dialogue constructif avec les </w:t>
      </w:r>
      <w:r w:rsidR="00EA60EF" w:rsidRPr="00EA3C27">
        <w:rPr>
          <w:lang w:val="fr-FR" w:eastAsia="en-GB"/>
        </w:rPr>
        <w:t>autorités: tensions</w:t>
      </w:r>
      <w:r w:rsidR="00E04D9C" w:rsidRPr="00EA3C27">
        <w:rPr>
          <w:lang w:val="fr-FR" w:eastAsia="en-GB"/>
        </w:rPr>
        <w:t xml:space="preserve"> au sein et entre les communautés, destructio</w:t>
      </w:r>
      <w:r w:rsidR="009E47D0" w:rsidRPr="00EA3C27">
        <w:rPr>
          <w:lang w:val="fr-FR" w:eastAsia="en-GB"/>
        </w:rPr>
        <w:t>n des liens traditionnels</w:t>
      </w:r>
      <w:r w:rsidR="00BA2217" w:rsidRPr="00EA3C27">
        <w:rPr>
          <w:lang w:val="fr-FR" w:eastAsia="en-GB"/>
        </w:rPr>
        <w:t>,</w:t>
      </w:r>
      <w:r w:rsidR="009E47D0" w:rsidRPr="00EA3C27">
        <w:rPr>
          <w:lang w:val="fr-FR" w:eastAsia="en-GB"/>
        </w:rPr>
        <w:t xml:space="preserve"> et </w:t>
      </w:r>
      <w:r w:rsidR="00E04D9C" w:rsidRPr="00EA3C27">
        <w:rPr>
          <w:lang w:val="fr-FR" w:eastAsia="en-GB"/>
        </w:rPr>
        <w:t>manque de confiance dans les autorités.</w:t>
      </w:r>
    </w:p>
    <w:p w:rsidR="0013222A" w:rsidRPr="00EA3C27" w:rsidRDefault="003528F4" w:rsidP="00B41C75">
      <w:pPr>
        <w:spacing w:before="100" w:beforeAutospacing="1" w:after="120"/>
        <w:jc w:val="both"/>
        <w:rPr>
          <w:b/>
          <w:lang w:val="fr-FR"/>
        </w:rPr>
      </w:pPr>
      <w:r w:rsidRPr="00EA3C27">
        <w:rPr>
          <w:lang w:val="fr-FR"/>
        </w:rPr>
        <w:t xml:space="preserve">Ce programme a pour objectif général </w:t>
      </w:r>
      <w:r w:rsidRPr="00EA3C27">
        <w:rPr>
          <w:b/>
          <w:lang w:val="fr-FR"/>
        </w:rPr>
        <w:t xml:space="preserve">de favoriser la stabilisation et le relèvement de la société centrafricaine en renforçant les capacités locales et le dialogue à court et moyen terme. </w:t>
      </w:r>
      <w:r w:rsidRPr="00EA3C27">
        <w:rPr>
          <w:lang w:val="fr-FR"/>
        </w:rPr>
        <w:t>A cette fin,</w:t>
      </w:r>
      <w:r w:rsidRPr="00EA3C27">
        <w:rPr>
          <w:b/>
          <w:lang w:val="fr-FR"/>
        </w:rPr>
        <w:t xml:space="preserve"> </w:t>
      </w:r>
      <w:r w:rsidRPr="00EA3C27">
        <w:rPr>
          <w:rFonts w:eastAsia="Calibri"/>
          <w:lang w:val="fr-FR" w:eastAsia="en-US"/>
        </w:rPr>
        <w:t>c</w:t>
      </w:r>
      <w:r w:rsidR="0013222A" w:rsidRPr="00EA3C27">
        <w:rPr>
          <w:rFonts w:eastAsia="Calibri"/>
          <w:lang w:val="fr-FR" w:eastAsia="en-US"/>
        </w:rPr>
        <w:t xml:space="preserve">ette fiche d'action s'appuie sur </w:t>
      </w:r>
      <w:r w:rsidR="00391EE2" w:rsidRPr="00EA3C27">
        <w:rPr>
          <w:rFonts w:eastAsia="Calibri"/>
          <w:lang w:val="fr-FR" w:eastAsia="en-US"/>
        </w:rPr>
        <w:t xml:space="preserve">quatre </w:t>
      </w:r>
      <w:r w:rsidR="0013222A" w:rsidRPr="00EA3C27">
        <w:rPr>
          <w:rFonts w:eastAsia="Calibri"/>
          <w:lang w:val="fr-FR" w:eastAsia="en-US"/>
        </w:rPr>
        <w:t>composantes destinées à répondre au défi de la réconciliation et d</w:t>
      </w:r>
      <w:r w:rsidR="009E47D0" w:rsidRPr="00EA3C27">
        <w:rPr>
          <w:rFonts w:eastAsia="Calibri"/>
          <w:lang w:val="fr-FR" w:eastAsia="en-US"/>
        </w:rPr>
        <w:t xml:space="preserve">e la cohésion sociale aux niveaux </w:t>
      </w:r>
      <w:r w:rsidR="0013222A" w:rsidRPr="00EA3C27">
        <w:rPr>
          <w:rFonts w:eastAsia="Calibri"/>
          <w:lang w:val="fr-FR" w:eastAsia="en-US"/>
        </w:rPr>
        <w:t>les plus appropriés</w:t>
      </w:r>
      <w:r w:rsidRPr="00EA3C27">
        <w:rPr>
          <w:rFonts w:eastAsia="Calibri"/>
          <w:lang w:val="fr-FR" w:eastAsia="en-US"/>
        </w:rPr>
        <w:t>:</w:t>
      </w:r>
      <w:r w:rsidR="00740A96">
        <w:rPr>
          <w:rFonts w:eastAsia="Calibri"/>
          <w:lang w:val="fr-FR" w:eastAsia="en-US"/>
        </w:rPr>
        <w:t xml:space="preserve"> </w:t>
      </w:r>
    </w:p>
    <w:p w:rsidR="002A5664" w:rsidRPr="00EA3C27" w:rsidRDefault="001C4DCB" w:rsidP="00B41C75">
      <w:pPr>
        <w:suppressAutoHyphens w:val="0"/>
        <w:spacing w:before="100" w:beforeAutospacing="1" w:after="120"/>
        <w:jc w:val="both"/>
        <w:rPr>
          <w:rFonts w:eastAsia="Calibri"/>
          <w:b/>
          <w:lang w:val="fr-FR" w:eastAsia="en-US"/>
        </w:rPr>
      </w:pPr>
      <w:r w:rsidRPr="00EA3C27">
        <w:rPr>
          <w:rFonts w:eastAsia="Calibri"/>
          <w:b/>
          <w:lang w:val="fr-FR" w:eastAsia="en-US"/>
        </w:rPr>
        <w:t xml:space="preserve">Composante 1 : </w:t>
      </w:r>
      <w:r w:rsidR="00731E71" w:rsidRPr="00EA3C27">
        <w:rPr>
          <w:rFonts w:eastAsia="Calibri"/>
          <w:b/>
          <w:lang w:val="fr-FR" w:eastAsia="en-US"/>
        </w:rPr>
        <w:t xml:space="preserve">renforcement des capacités </w:t>
      </w:r>
      <w:r w:rsidR="00C66AE7" w:rsidRPr="00EA3C27">
        <w:rPr>
          <w:rFonts w:eastAsia="Calibri"/>
          <w:b/>
          <w:lang w:val="fr-FR" w:eastAsia="en-US"/>
        </w:rPr>
        <w:t>de la société civile centrafricaine</w:t>
      </w:r>
      <w:r w:rsidR="00731E71" w:rsidRPr="00EA3C27">
        <w:rPr>
          <w:rFonts w:eastAsia="Calibri"/>
          <w:b/>
          <w:lang w:val="fr-FR" w:eastAsia="en-US"/>
        </w:rPr>
        <w:t xml:space="preserve"> </w:t>
      </w:r>
    </w:p>
    <w:p w:rsidR="001C4DCB" w:rsidRPr="00EA3C27" w:rsidRDefault="001C4DCB" w:rsidP="00B41C75">
      <w:pPr>
        <w:suppressAutoHyphens w:val="0"/>
        <w:spacing w:before="100" w:beforeAutospacing="1" w:after="120"/>
        <w:jc w:val="both"/>
        <w:rPr>
          <w:rFonts w:eastAsia="Calibri"/>
          <w:b/>
          <w:lang w:val="fr-FR" w:eastAsia="en-US"/>
        </w:rPr>
      </w:pPr>
      <w:r w:rsidRPr="00EA3C27">
        <w:rPr>
          <w:rFonts w:eastAsia="Calibri"/>
          <w:b/>
          <w:lang w:val="fr-FR" w:eastAsia="en-US"/>
        </w:rPr>
        <w:t xml:space="preserve">Composante 2 : </w:t>
      </w:r>
      <w:r w:rsidR="008A22D9" w:rsidRPr="00EA3C27">
        <w:rPr>
          <w:rFonts w:eastAsia="Calibri"/>
          <w:b/>
          <w:lang w:val="fr-FR" w:eastAsia="en-US"/>
        </w:rPr>
        <w:t>appui au redé</w:t>
      </w:r>
      <w:r w:rsidR="00731E71" w:rsidRPr="00EA3C27">
        <w:rPr>
          <w:rFonts w:eastAsia="Calibri"/>
          <w:b/>
          <w:lang w:val="fr-FR" w:eastAsia="en-US"/>
        </w:rPr>
        <w:t xml:space="preserve">ploiement des </w:t>
      </w:r>
      <w:r w:rsidRPr="00EA3C27">
        <w:rPr>
          <w:rFonts w:eastAsia="Calibri"/>
          <w:b/>
          <w:lang w:val="fr-FR" w:eastAsia="en-US"/>
        </w:rPr>
        <w:t>autorités locales</w:t>
      </w:r>
      <w:r w:rsidR="008A22D9" w:rsidRPr="00EA3C27">
        <w:rPr>
          <w:rFonts w:eastAsia="Calibri"/>
          <w:b/>
          <w:lang w:val="fr-FR" w:eastAsia="en-US"/>
        </w:rPr>
        <w:t xml:space="preserve"> et promotion de la cohé</w:t>
      </w:r>
      <w:r w:rsidR="002A5664" w:rsidRPr="00EA3C27">
        <w:rPr>
          <w:rFonts w:eastAsia="Calibri"/>
          <w:b/>
          <w:lang w:val="fr-FR" w:eastAsia="en-US"/>
        </w:rPr>
        <w:t>sion sociale</w:t>
      </w:r>
      <w:r w:rsidRPr="00EA3C27">
        <w:rPr>
          <w:rFonts w:eastAsia="Calibri"/>
          <w:b/>
          <w:lang w:val="fr-FR" w:eastAsia="en-US"/>
        </w:rPr>
        <w:t xml:space="preserve"> </w:t>
      </w:r>
    </w:p>
    <w:p w:rsidR="001C4DCB" w:rsidRPr="00EA3C27" w:rsidRDefault="001C4DCB" w:rsidP="00B41C75">
      <w:pPr>
        <w:suppressAutoHyphens w:val="0"/>
        <w:spacing w:before="100" w:beforeAutospacing="1" w:after="120"/>
        <w:jc w:val="both"/>
        <w:rPr>
          <w:rFonts w:eastAsia="Calibri"/>
          <w:b/>
          <w:lang w:val="fr-FR" w:eastAsia="en-US"/>
        </w:rPr>
      </w:pPr>
      <w:r w:rsidRPr="00EA3C27">
        <w:rPr>
          <w:rFonts w:eastAsia="Calibri"/>
          <w:b/>
          <w:lang w:val="fr-FR" w:eastAsia="en-US"/>
        </w:rPr>
        <w:lastRenderedPageBreak/>
        <w:t xml:space="preserve">Composante 3 : </w:t>
      </w:r>
      <w:r w:rsidR="00731E71" w:rsidRPr="00EA3C27">
        <w:rPr>
          <w:rFonts w:eastAsia="Calibri"/>
          <w:b/>
          <w:lang w:val="fr-FR" w:eastAsia="en-US"/>
        </w:rPr>
        <w:t>appui au retour</w:t>
      </w:r>
      <w:r w:rsidR="00293E7F" w:rsidRPr="00EA3C27">
        <w:rPr>
          <w:b/>
          <w:lang w:val="fr-FR"/>
        </w:rPr>
        <w:t xml:space="preserve"> </w:t>
      </w:r>
      <w:r w:rsidR="00293E7F" w:rsidRPr="00EA3C27">
        <w:rPr>
          <w:rFonts w:eastAsia="Calibri"/>
          <w:b/>
          <w:lang w:val="fr-FR" w:eastAsia="en-US"/>
        </w:rPr>
        <w:t xml:space="preserve">des PDI et réfugiés centrafricains </w:t>
      </w:r>
    </w:p>
    <w:p w:rsidR="001C4DCB" w:rsidRPr="00EA3C27" w:rsidRDefault="001C4DCB" w:rsidP="00B41C75">
      <w:pPr>
        <w:suppressAutoHyphens w:val="0"/>
        <w:spacing w:before="100" w:beforeAutospacing="1" w:after="120"/>
        <w:jc w:val="both"/>
        <w:rPr>
          <w:rFonts w:eastAsia="Calibri"/>
          <w:b/>
          <w:lang w:val="fr-FR" w:eastAsia="en-US"/>
        </w:rPr>
      </w:pPr>
      <w:r w:rsidRPr="00EA3C27">
        <w:rPr>
          <w:rFonts w:eastAsia="Calibri"/>
          <w:b/>
          <w:lang w:val="fr-FR" w:eastAsia="en-US"/>
        </w:rPr>
        <w:t xml:space="preserve">Composante 4 : </w:t>
      </w:r>
      <w:r w:rsidR="00731E71" w:rsidRPr="00EA3C27">
        <w:rPr>
          <w:rFonts w:eastAsia="Calibri"/>
          <w:b/>
          <w:lang w:val="fr-FR" w:eastAsia="en-US"/>
        </w:rPr>
        <w:t>appui aux medias centrafricains</w:t>
      </w:r>
      <w:r w:rsidR="00740A96">
        <w:rPr>
          <w:rFonts w:eastAsia="Calibri"/>
          <w:b/>
          <w:lang w:val="fr-FR" w:eastAsia="en-US"/>
        </w:rPr>
        <w:t xml:space="preserve"> </w:t>
      </w:r>
    </w:p>
    <w:p w:rsidR="00B96B9C" w:rsidRPr="00EA3C27" w:rsidRDefault="00E23FAA" w:rsidP="00F9332F">
      <w:pPr>
        <w:suppressAutoHyphens w:val="0"/>
        <w:spacing w:before="100" w:beforeAutospacing="1" w:after="120"/>
        <w:jc w:val="both"/>
        <w:rPr>
          <w:rFonts w:eastAsia="Calibri"/>
          <w:lang w:val="fr-FR" w:eastAsia="en-US"/>
        </w:rPr>
      </w:pPr>
      <w:r w:rsidRPr="00EA3C27">
        <w:rPr>
          <w:rFonts w:eastAsia="Calibri"/>
          <w:lang w:val="fr-FR" w:eastAsia="en-US"/>
        </w:rPr>
        <w:t>Le programme</w:t>
      </w:r>
      <w:r w:rsidR="00B96B9C" w:rsidRPr="00EA3C27">
        <w:rPr>
          <w:rFonts w:eastAsia="Calibri"/>
          <w:lang w:val="fr-FR" w:eastAsia="en-US"/>
        </w:rPr>
        <w:t xml:space="preserve"> prévoit d'appuyer les acteurs clés dans le processus de stabilisation de la paix et cohésion sociale, afin que ceux-ci puissent pleinement jouer leur rôle dans la société centrafricaine. Ainsi, les autorités locales</w:t>
      </w:r>
      <w:r w:rsidR="00017286" w:rsidRPr="00EA3C27">
        <w:rPr>
          <w:rFonts w:eastAsia="Calibri"/>
          <w:lang w:val="fr-FR" w:eastAsia="en-US"/>
        </w:rPr>
        <w:t xml:space="preserve"> et nationales</w:t>
      </w:r>
      <w:r w:rsidR="00B96B9C" w:rsidRPr="00EA3C27">
        <w:rPr>
          <w:rFonts w:eastAsia="Calibri"/>
          <w:lang w:val="fr-FR" w:eastAsia="en-US"/>
        </w:rPr>
        <w:t xml:space="preserve">, les </w:t>
      </w:r>
      <w:r w:rsidR="00FB2539" w:rsidRPr="00EA3C27">
        <w:rPr>
          <w:rFonts w:eastAsia="Calibri"/>
          <w:lang w:val="fr-FR" w:eastAsia="en-US"/>
        </w:rPr>
        <w:t>personnes déplacées</w:t>
      </w:r>
      <w:r w:rsidR="00B96B9C" w:rsidRPr="00EA3C27">
        <w:rPr>
          <w:rFonts w:eastAsia="Calibri"/>
          <w:lang w:val="fr-FR" w:eastAsia="en-US"/>
        </w:rPr>
        <w:t>, la société civile centrafricaine,</w:t>
      </w:r>
      <w:r w:rsidR="00017286" w:rsidRPr="00EA3C27">
        <w:rPr>
          <w:rFonts w:eastAsia="Calibri"/>
          <w:lang w:val="fr-FR" w:eastAsia="en-US"/>
        </w:rPr>
        <w:t xml:space="preserve"> et</w:t>
      </w:r>
      <w:r w:rsidR="00FB2539" w:rsidRPr="00EA3C27">
        <w:rPr>
          <w:rFonts w:eastAsia="Calibri"/>
          <w:lang w:val="fr-FR" w:eastAsia="en-US"/>
        </w:rPr>
        <w:t xml:space="preserve"> le</w:t>
      </w:r>
      <w:r w:rsidR="00017286" w:rsidRPr="00EA3C27">
        <w:rPr>
          <w:rFonts w:eastAsia="Calibri"/>
          <w:lang w:val="fr-FR" w:eastAsia="en-US"/>
        </w:rPr>
        <w:t>s médias sont au cœur de l'action.</w:t>
      </w:r>
      <w:r w:rsidRPr="00EA3C27">
        <w:rPr>
          <w:rFonts w:eastAsia="Calibri"/>
          <w:lang w:val="fr-FR" w:eastAsia="en-US"/>
        </w:rPr>
        <w:t xml:space="preserve"> Les réponses aux défis identifiés sont proposées notamment sous un angle</w:t>
      </w:r>
      <w:r w:rsidR="00455E94" w:rsidRPr="00EA3C27">
        <w:rPr>
          <w:rFonts w:eastAsia="Calibri"/>
          <w:lang w:val="fr-FR" w:eastAsia="en-US"/>
        </w:rPr>
        <w:t xml:space="preserve"> </w:t>
      </w:r>
      <w:r w:rsidR="001260C1" w:rsidRPr="00EA3C27">
        <w:rPr>
          <w:rFonts w:eastAsia="Calibri"/>
          <w:lang w:val="fr-FR" w:eastAsia="en-US"/>
        </w:rPr>
        <w:t>de renforcement de la résilience communautaire</w:t>
      </w:r>
      <w:r w:rsidRPr="00EA3C27">
        <w:rPr>
          <w:rFonts w:eastAsia="Calibri"/>
          <w:lang w:val="fr-FR" w:eastAsia="en-US"/>
        </w:rPr>
        <w:t xml:space="preserve"> </w:t>
      </w:r>
      <w:r w:rsidR="001260C1" w:rsidRPr="00EA3C27">
        <w:rPr>
          <w:rFonts w:eastAsia="Calibri"/>
          <w:lang w:val="fr-FR" w:eastAsia="en-US"/>
        </w:rPr>
        <w:t xml:space="preserve">et </w:t>
      </w:r>
      <w:r w:rsidRPr="00EA3C27">
        <w:rPr>
          <w:rFonts w:eastAsia="Calibri"/>
          <w:lang w:val="fr-FR" w:eastAsia="en-US"/>
        </w:rPr>
        <w:t>des capacités des forces vives en RCA, basées sur le constat que le retour de l'action publique, le dialogue</w:t>
      </w:r>
      <w:r w:rsidR="001260C1" w:rsidRPr="00EA3C27">
        <w:rPr>
          <w:rFonts w:eastAsia="Calibri"/>
          <w:lang w:val="fr-FR" w:eastAsia="en-US"/>
        </w:rPr>
        <w:t xml:space="preserve"> inclusif</w:t>
      </w:r>
      <w:r w:rsidRPr="00EA3C27">
        <w:rPr>
          <w:rFonts w:eastAsia="Calibri"/>
          <w:lang w:val="fr-FR" w:eastAsia="en-US"/>
        </w:rPr>
        <w:t xml:space="preserve"> et la création d'opportunités pour les Centrafricains sont des conditions indispensables à une paix durable en RCA.</w:t>
      </w:r>
    </w:p>
    <w:p w:rsidR="00B344B0" w:rsidRPr="00EA3C27" w:rsidRDefault="00B344B0" w:rsidP="00F9332F">
      <w:pPr>
        <w:pStyle w:val="Heading3"/>
        <w:spacing w:before="240"/>
        <w:rPr>
          <w:b/>
          <w:i w:val="0"/>
          <w:iCs/>
          <w:szCs w:val="24"/>
          <w:lang w:val="fr-FR"/>
        </w:rPr>
      </w:pPr>
      <w:r w:rsidRPr="00EA3C27">
        <w:rPr>
          <w:b/>
          <w:i w:val="0"/>
          <w:iCs/>
          <w:szCs w:val="24"/>
          <w:lang w:val="fr-FR"/>
        </w:rPr>
        <w:t>2.2</w:t>
      </w:r>
      <w:r w:rsidRPr="00EA3C27">
        <w:rPr>
          <w:b/>
          <w:i w:val="0"/>
          <w:iCs/>
          <w:szCs w:val="24"/>
          <w:lang w:val="fr-FR"/>
        </w:rPr>
        <w:tab/>
        <w:t xml:space="preserve">Contexte </w:t>
      </w:r>
    </w:p>
    <w:p w:rsidR="004C2E76" w:rsidRPr="00EA3C27" w:rsidRDefault="00B344B0" w:rsidP="00F9332F">
      <w:pPr>
        <w:pStyle w:val="Heading3"/>
        <w:spacing w:before="100" w:beforeAutospacing="1"/>
        <w:rPr>
          <w:b/>
          <w:i w:val="0"/>
          <w:iCs/>
          <w:szCs w:val="24"/>
          <w:lang w:val="fr-FR"/>
        </w:rPr>
      </w:pPr>
      <w:r w:rsidRPr="00EA3C27">
        <w:rPr>
          <w:b/>
          <w:i w:val="0"/>
          <w:iCs/>
          <w:szCs w:val="24"/>
          <w:lang w:val="fr-FR"/>
        </w:rPr>
        <w:t xml:space="preserve">2.2.1 </w:t>
      </w:r>
      <w:r w:rsidRPr="00EA3C27">
        <w:rPr>
          <w:b/>
          <w:i w:val="0"/>
          <w:iCs/>
          <w:szCs w:val="24"/>
          <w:lang w:val="fr-FR"/>
        </w:rPr>
        <w:tab/>
      </w:r>
      <w:r w:rsidR="00E46E45" w:rsidRPr="00EA3C27">
        <w:rPr>
          <w:b/>
          <w:i w:val="0"/>
          <w:iCs/>
          <w:szCs w:val="24"/>
          <w:lang w:val="fr-FR"/>
        </w:rPr>
        <w:t>Contexte national</w:t>
      </w:r>
      <w:r w:rsidR="00487E5A" w:rsidRPr="00EA3C27">
        <w:rPr>
          <w:b/>
          <w:i w:val="0"/>
          <w:iCs/>
          <w:szCs w:val="24"/>
          <w:lang w:val="fr-FR"/>
        </w:rPr>
        <w:t xml:space="preserve"> </w:t>
      </w:r>
    </w:p>
    <w:p w:rsidR="008C74E2" w:rsidRPr="00EA3C27" w:rsidRDefault="008C74E2" w:rsidP="003B033B">
      <w:pPr>
        <w:suppressAutoHyphens w:val="0"/>
        <w:spacing w:before="100" w:beforeAutospacing="1" w:after="120"/>
        <w:jc w:val="both"/>
        <w:rPr>
          <w:i/>
          <w:lang w:val="fr-FR"/>
        </w:rPr>
      </w:pPr>
      <w:r w:rsidRPr="00EA3C27">
        <w:rPr>
          <w:i/>
          <w:lang w:val="fr-FR"/>
        </w:rPr>
        <w:t>Facteurs socio-économiques</w:t>
      </w:r>
    </w:p>
    <w:p w:rsidR="00425649" w:rsidRPr="00EA3C27" w:rsidRDefault="00425649" w:rsidP="00567DAB">
      <w:pPr>
        <w:suppressAutoHyphens w:val="0"/>
        <w:spacing w:before="100" w:beforeAutospacing="1" w:after="120"/>
        <w:jc w:val="both"/>
        <w:rPr>
          <w:rFonts w:eastAsia="Calibri"/>
          <w:lang w:val="fr-FR" w:eastAsia="en-US"/>
        </w:rPr>
      </w:pPr>
      <w:r w:rsidRPr="00EA3C27">
        <w:rPr>
          <w:lang w:val="fr-FR"/>
        </w:rPr>
        <w:t>La République centrafricaine (RCA)</w:t>
      </w:r>
      <w:r w:rsidR="00740A96">
        <w:rPr>
          <w:lang w:val="fr-FR"/>
        </w:rPr>
        <w:t xml:space="preserve"> </w:t>
      </w:r>
      <w:r w:rsidRPr="00EA3C27">
        <w:rPr>
          <w:lang w:val="fr-FR"/>
        </w:rPr>
        <w:t>est un pays enclavé d’Afrique centrale à faible rev</w:t>
      </w:r>
      <w:r w:rsidR="006C513A" w:rsidRPr="00EA3C27">
        <w:rPr>
          <w:lang w:val="fr-FR"/>
        </w:rPr>
        <w:t>enu et avec une population de 4.</w:t>
      </w:r>
      <w:r w:rsidR="008D3CD1" w:rsidRPr="00EA3C27">
        <w:rPr>
          <w:lang w:val="fr-FR"/>
        </w:rPr>
        <w:t>9</w:t>
      </w:r>
      <w:r w:rsidRPr="00EA3C27">
        <w:rPr>
          <w:lang w:val="fr-FR"/>
        </w:rPr>
        <w:t xml:space="preserve"> millions d’habitants. Le pays </w:t>
      </w:r>
      <w:r w:rsidR="00C20597" w:rsidRPr="00EA3C27">
        <w:rPr>
          <w:lang w:val="fr-FR"/>
        </w:rPr>
        <w:t xml:space="preserve">a </w:t>
      </w:r>
      <w:r w:rsidRPr="00EA3C27">
        <w:rPr>
          <w:lang w:val="fr-FR"/>
        </w:rPr>
        <w:t>conn</w:t>
      </w:r>
      <w:r w:rsidR="00C20597" w:rsidRPr="00EA3C27">
        <w:rPr>
          <w:lang w:val="fr-FR"/>
        </w:rPr>
        <w:t>u</w:t>
      </w:r>
      <w:r w:rsidRPr="00EA3C27">
        <w:rPr>
          <w:lang w:val="fr-FR"/>
        </w:rPr>
        <w:t xml:space="preserve"> un conflit armé et une crise politique et humanitaire majeure </w:t>
      </w:r>
      <w:r w:rsidR="00C20597" w:rsidRPr="00EA3C27">
        <w:rPr>
          <w:lang w:val="fr-FR"/>
        </w:rPr>
        <w:t>en 2012/2013</w:t>
      </w:r>
      <w:r w:rsidRPr="00EA3C27">
        <w:rPr>
          <w:lang w:val="fr-FR"/>
        </w:rPr>
        <w:t>. La crise a touché la plupart de la population</w:t>
      </w:r>
      <w:r w:rsidR="000629F8" w:rsidRPr="00EA3C27">
        <w:rPr>
          <w:lang w:val="fr-FR"/>
        </w:rPr>
        <w:t xml:space="preserve"> et 25% des Centrafricains ont été déplacés par le conflit</w:t>
      </w:r>
      <w:r w:rsidRPr="00EA3C27">
        <w:rPr>
          <w:lang w:val="fr-FR"/>
        </w:rPr>
        <w:t>. Des mois de violence ont précipité l’effondrement des institutions de l’État</w:t>
      </w:r>
      <w:r w:rsidR="0000708C" w:rsidRPr="00EA3C27">
        <w:rPr>
          <w:lang w:val="fr-FR"/>
        </w:rPr>
        <w:t>,</w:t>
      </w:r>
      <w:r w:rsidRPr="00EA3C27">
        <w:rPr>
          <w:lang w:val="fr-FR"/>
        </w:rPr>
        <w:t xml:space="preserve"> paralysé les activités économiques</w:t>
      </w:r>
      <w:r w:rsidR="0040024B" w:rsidRPr="00EA3C27">
        <w:rPr>
          <w:lang w:val="fr-FR"/>
        </w:rPr>
        <w:t xml:space="preserve"> et le délitement du</w:t>
      </w:r>
      <w:r w:rsidR="0000708C" w:rsidRPr="00EA3C27">
        <w:rPr>
          <w:lang w:val="fr-FR"/>
        </w:rPr>
        <w:t xml:space="preserve"> tissu social</w:t>
      </w:r>
      <w:r w:rsidRPr="00EA3C27">
        <w:rPr>
          <w:lang w:val="fr-FR"/>
        </w:rPr>
        <w:t xml:space="preserve">. </w:t>
      </w:r>
    </w:p>
    <w:p w:rsidR="00425649" w:rsidRPr="00EA3C27" w:rsidRDefault="00425649" w:rsidP="00567DAB">
      <w:pPr>
        <w:spacing w:before="100" w:beforeAutospacing="1" w:after="120"/>
        <w:jc w:val="both"/>
        <w:rPr>
          <w:lang w:val="fr-FR"/>
        </w:rPr>
      </w:pPr>
      <w:r w:rsidRPr="00EA3C27">
        <w:rPr>
          <w:lang w:val="fr-FR"/>
        </w:rPr>
        <w:t xml:space="preserve">Les indicateurs sociaux de la République centrafricaine sont parmi les plus bas au monde. L’indice de développement humain (IDH) classe </w:t>
      </w:r>
      <w:r w:rsidR="00BA2217" w:rsidRPr="00EA3C27">
        <w:rPr>
          <w:lang w:val="fr-FR"/>
        </w:rPr>
        <w:t>en 201</w:t>
      </w:r>
      <w:r w:rsidR="00BB2B13" w:rsidRPr="00EA3C27">
        <w:rPr>
          <w:lang w:val="fr-FR"/>
        </w:rPr>
        <w:t>5</w:t>
      </w:r>
      <w:r w:rsidR="00BA2217" w:rsidRPr="00EA3C27">
        <w:rPr>
          <w:lang w:val="fr-FR"/>
        </w:rPr>
        <w:t xml:space="preserve"> </w:t>
      </w:r>
      <w:r w:rsidRPr="00EA3C27">
        <w:rPr>
          <w:lang w:val="fr-FR"/>
        </w:rPr>
        <w:t>le pays au 18</w:t>
      </w:r>
      <w:r w:rsidR="00BB2B13" w:rsidRPr="00EA3C27">
        <w:rPr>
          <w:lang w:val="fr-FR"/>
        </w:rPr>
        <w:t>7</w:t>
      </w:r>
      <w:r w:rsidR="006C513A" w:rsidRPr="00EA3C27">
        <w:rPr>
          <w:vertAlign w:val="superscript"/>
          <w:lang w:val="fr-FR"/>
        </w:rPr>
        <w:t>e</w:t>
      </w:r>
      <w:r w:rsidRPr="00EA3C27">
        <w:rPr>
          <w:lang w:val="fr-FR"/>
        </w:rPr>
        <w:t xml:space="preserve"> rang sur 18</w:t>
      </w:r>
      <w:r w:rsidR="00BB2B13" w:rsidRPr="00EA3C27">
        <w:rPr>
          <w:lang w:val="fr-FR"/>
        </w:rPr>
        <w:t>8</w:t>
      </w:r>
      <w:r w:rsidRPr="00EA3C27">
        <w:rPr>
          <w:lang w:val="fr-FR"/>
        </w:rPr>
        <w:t xml:space="preserve"> pays, avec 76% de la population souffrant de pauvreté multidimensionnelle. </w:t>
      </w:r>
    </w:p>
    <w:p w:rsidR="00B344B0" w:rsidRPr="00EA3C27" w:rsidRDefault="00425649" w:rsidP="003B033B">
      <w:pPr>
        <w:spacing w:before="100" w:beforeAutospacing="1" w:after="120"/>
        <w:jc w:val="both"/>
        <w:rPr>
          <w:lang w:val="fr-FR"/>
        </w:rPr>
      </w:pPr>
      <w:r w:rsidRPr="00EA3C27">
        <w:rPr>
          <w:lang w:val="fr-FR"/>
        </w:rPr>
        <w:t xml:space="preserve">Les perspectives économiques du pays </w:t>
      </w:r>
      <w:r w:rsidR="001D1BC5" w:rsidRPr="00EA3C27">
        <w:rPr>
          <w:lang w:val="fr-FR"/>
        </w:rPr>
        <w:t>restent</w:t>
      </w:r>
      <w:r w:rsidRPr="00EA3C27">
        <w:rPr>
          <w:lang w:val="fr-FR"/>
        </w:rPr>
        <w:t xml:space="preserve"> incertaines</w:t>
      </w:r>
      <w:r w:rsidR="00066951" w:rsidRPr="00EA3C27">
        <w:rPr>
          <w:lang w:val="fr-FR"/>
        </w:rPr>
        <w:t>.</w:t>
      </w:r>
      <w:r w:rsidRPr="00EA3C27">
        <w:rPr>
          <w:lang w:val="fr-FR"/>
        </w:rPr>
        <w:t xml:space="preserve"> </w:t>
      </w:r>
      <w:r w:rsidR="00066951" w:rsidRPr="00EA3C27">
        <w:rPr>
          <w:lang w:val="fr-FR"/>
        </w:rPr>
        <w:t>Bien qu'en dessous de la prévision initiale de 5.5%, l</w:t>
      </w:r>
      <w:r w:rsidR="008178A2" w:rsidRPr="00EA3C27">
        <w:rPr>
          <w:lang w:val="fr-FR"/>
        </w:rPr>
        <w:t xml:space="preserve">a </w:t>
      </w:r>
      <w:r w:rsidR="001D1BC5" w:rsidRPr="00EA3C27">
        <w:rPr>
          <w:lang w:val="fr-FR"/>
        </w:rPr>
        <w:t xml:space="preserve">croissance réelle a atteint </w:t>
      </w:r>
      <w:r w:rsidR="00066951" w:rsidRPr="00EA3C27">
        <w:rPr>
          <w:lang w:val="fr-FR"/>
        </w:rPr>
        <w:t>environ 4.1</w:t>
      </w:r>
      <w:r w:rsidR="001D1BC5" w:rsidRPr="00EA3C27">
        <w:rPr>
          <w:lang w:val="fr-FR"/>
        </w:rPr>
        <w:t>% en 2015</w:t>
      </w:r>
      <w:r w:rsidR="002F0EDC" w:rsidRPr="00EA3C27">
        <w:rPr>
          <w:lang w:val="fr-FR"/>
        </w:rPr>
        <w:t>,</w:t>
      </w:r>
      <w:r w:rsidR="008178A2" w:rsidRPr="00EA3C27">
        <w:rPr>
          <w:lang w:val="fr-FR"/>
        </w:rPr>
        <w:t xml:space="preserve"> après une chute du PIB réel de 36% lors du pic de la crise en 2013. </w:t>
      </w:r>
      <w:r w:rsidRPr="00EA3C27">
        <w:rPr>
          <w:lang w:val="fr-FR"/>
        </w:rPr>
        <w:t xml:space="preserve">Les recettes fiscales de l’État représentent moins de </w:t>
      </w:r>
      <w:r w:rsidR="00066951" w:rsidRPr="00EA3C27">
        <w:rPr>
          <w:lang w:val="fr-FR"/>
        </w:rPr>
        <w:t>5</w:t>
      </w:r>
      <w:r w:rsidRPr="00EA3C27">
        <w:rPr>
          <w:lang w:val="fr-FR"/>
        </w:rPr>
        <w:t>% du PIB et ne permettent pas de financer les services publics de base. Le budget public est donc soutenu à plus de 80% par des financements extérieurs.</w:t>
      </w:r>
    </w:p>
    <w:p w:rsidR="004C2E76" w:rsidRPr="00EA3C27" w:rsidRDefault="00B344B0" w:rsidP="00F9332F">
      <w:pPr>
        <w:pStyle w:val="Heading3"/>
        <w:spacing w:before="240"/>
        <w:rPr>
          <w:b/>
          <w:i w:val="0"/>
          <w:iCs/>
          <w:szCs w:val="24"/>
          <w:lang w:val="fr-FR"/>
        </w:rPr>
      </w:pPr>
      <w:r w:rsidRPr="00EA3C27">
        <w:rPr>
          <w:b/>
          <w:i w:val="0"/>
          <w:iCs/>
          <w:szCs w:val="24"/>
          <w:lang w:val="fr-FR"/>
        </w:rPr>
        <w:t>2.2.2</w:t>
      </w:r>
      <w:r w:rsidRPr="00EA3C27">
        <w:rPr>
          <w:b/>
          <w:i w:val="0"/>
          <w:iCs/>
          <w:szCs w:val="24"/>
          <w:lang w:val="fr-FR"/>
        </w:rPr>
        <w:tab/>
      </w:r>
      <w:r w:rsidR="00E46E45" w:rsidRPr="00EA3C27">
        <w:rPr>
          <w:b/>
          <w:i w:val="0"/>
          <w:iCs/>
          <w:szCs w:val="24"/>
          <w:lang w:val="fr-FR"/>
        </w:rPr>
        <w:t>Contexte s</w:t>
      </w:r>
      <w:r w:rsidR="000F3C0C" w:rsidRPr="00EA3C27">
        <w:rPr>
          <w:b/>
          <w:i w:val="0"/>
          <w:iCs/>
          <w:szCs w:val="24"/>
          <w:lang w:val="fr-FR"/>
        </w:rPr>
        <w:t xml:space="preserve">ectoriel: Politiques et enjeux </w:t>
      </w:r>
    </w:p>
    <w:p w:rsidR="00604335" w:rsidRPr="00EA3C27" w:rsidRDefault="00A7545C" w:rsidP="00C76FB8">
      <w:pPr>
        <w:spacing w:before="100" w:beforeAutospacing="1" w:after="120"/>
        <w:jc w:val="both"/>
        <w:rPr>
          <w:lang w:val="fr-FR"/>
        </w:rPr>
      </w:pPr>
      <w:r w:rsidRPr="00EA3C27">
        <w:rPr>
          <w:lang w:val="fr-FR"/>
        </w:rPr>
        <w:t xml:space="preserve">Face aux fortes tensions communautaires et à la remise en cause de la cohésion nationale, le </w:t>
      </w:r>
      <w:r w:rsidRPr="00EA3C27">
        <w:rPr>
          <w:b/>
          <w:lang w:val="fr-FR"/>
        </w:rPr>
        <w:t>forum de Bangui</w:t>
      </w:r>
      <w:r w:rsidRPr="00EA3C27">
        <w:rPr>
          <w:lang w:val="fr-FR"/>
        </w:rPr>
        <w:t>, organisé en mai 2015, a été la première étape d'un processus de réconciliation.</w:t>
      </w:r>
    </w:p>
    <w:p w:rsidR="002C519E" w:rsidRPr="00EA3C27" w:rsidRDefault="002C519E" w:rsidP="00C76FB8">
      <w:pPr>
        <w:spacing w:before="100" w:beforeAutospacing="1" w:after="120"/>
        <w:jc w:val="both"/>
        <w:rPr>
          <w:lang w:val="fr-FR"/>
        </w:rPr>
      </w:pPr>
      <w:r w:rsidRPr="00EA3C27">
        <w:rPr>
          <w:lang w:val="fr-FR"/>
        </w:rPr>
        <w:t>L'objectif du forum était</w:t>
      </w:r>
      <w:r w:rsidR="00D720C9" w:rsidRPr="00EA3C27">
        <w:rPr>
          <w:lang w:val="fr-FR"/>
        </w:rPr>
        <w:t xml:space="preserve"> de finaliser une série de recommandations fondées sur la paix et la sécurité, la justice et la réconciliation</w:t>
      </w:r>
      <w:r w:rsidRPr="00EA3C27">
        <w:rPr>
          <w:lang w:val="fr-FR"/>
        </w:rPr>
        <w:t>,</w:t>
      </w:r>
      <w:r w:rsidR="00740A96">
        <w:rPr>
          <w:lang w:val="fr-FR"/>
        </w:rPr>
        <w:t xml:space="preserve"> </w:t>
      </w:r>
      <w:r w:rsidR="00D720C9" w:rsidRPr="00EA3C27">
        <w:rPr>
          <w:lang w:val="fr-FR"/>
        </w:rPr>
        <w:t xml:space="preserve">le développement économique </w:t>
      </w:r>
      <w:r w:rsidRPr="00EA3C27">
        <w:rPr>
          <w:lang w:val="fr-FR"/>
        </w:rPr>
        <w:t>et social</w:t>
      </w:r>
      <w:r w:rsidR="00D720C9" w:rsidRPr="00EA3C27">
        <w:rPr>
          <w:lang w:val="fr-FR"/>
        </w:rPr>
        <w:t xml:space="preserve">. Près de 600 </w:t>
      </w:r>
      <w:r w:rsidRPr="00EA3C27">
        <w:rPr>
          <w:lang w:val="fr-FR"/>
        </w:rPr>
        <w:t xml:space="preserve">participants </w:t>
      </w:r>
      <w:r w:rsidR="00D1343B" w:rsidRPr="00EA3C27">
        <w:rPr>
          <w:lang w:val="fr-FR"/>
        </w:rPr>
        <w:t>issus</w:t>
      </w:r>
      <w:r w:rsidR="009E47D0" w:rsidRPr="00EA3C27">
        <w:rPr>
          <w:lang w:val="fr-FR"/>
        </w:rPr>
        <w:t xml:space="preserve"> de tout le </w:t>
      </w:r>
      <w:r w:rsidRPr="00EA3C27">
        <w:rPr>
          <w:lang w:val="fr-FR"/>
        </w:rPr>
        <w:t>pays</w:t>
      </w:r>
      <w:r w:rsidR="00D720C9" w:rsidRPr="00EA3C27">
        <w:rPr>
          <w:lang w:val="fr-FR"/>
        </w:rPr>
        <w:t xml:space="preserve">, </w:t>
      </w:r>
      <w:r w:rsidR="00D1343B" w:rsidRPr="00EA3C27">
        <w:rPr>
          <w:lang w:val="fr-FR"/>
        </w:rPr>
        <w:t>dont</w:t>
      </w:r>
      <w:r w:rsidR="00D720C9" w:rsidRPr="00EA3C27">
        <w:rPr>
          <w:lang w:val="fr-FR"/>
        </w:rPr>
        <w:t xml:space="preserve"> </w:t>
      </w:r>
      <w:r w:rsidR="00BA2217" w:rsidRPr="00EA3C27">
        <w:rPr>
          <w:lang w:val="fr-FR"/>
        </w:rPr>
        <w:t>d</w:t>
      </w:r>
      <w:r w:rsidRPr="00EA3C27">
        <w:rPr>
          <w:lang w:val="fr-FR"/>
        </w:rPr>
        <w:t xml:space="preserve">es acteurs de la société civile, </w:t>
      </w:r>
      <w:r w:rsidR="00BA2217" w:rsidRPr="00EA3C27">
        <w:rPr>
          <w:lang w:val="fr-FR"/>
        </w:rPr>
        <w:t>d</w:t>
      </w:r>
      <w:r w:rsidR="00D720C9" w:rsidRPr="00EA3C27">
        <w:rPr>
          <w:lang w:val="fr-FR"/>
        </w:rPr>
        <w:t xml:space="preserve">es représentants gouvernementaux et </w:t>
      </w:r>
      <w:r w:rsidR="009E47D0" w:rsidRPr="00EA3C27">
        <w:rPr>
          <w:lang w:val="fr-FR"/>
        </w:rPr>
        <w:t>d</w:t>
      </w:r>
      <w:r w:rsidRPr="00EA3C27">
        <w:rPr>
          <w:lang w:val="fr-FR"/>
        </w:rPr>
        <w:t>es représentants de groupes armés</w:t>
      </w:r>
      <w:r w:rsidR="009E47D0" w:rsidRPr="00EA3C27">
        <w:rPr>
          <w:lang w:val="fr-FR"/>
        </w:rPr>
        <w:t xml:space="preserve"> ont été engagé</w:t>
      </w:r>
      <w:r w:rsidR="00D720C9" w:rsidRPr="00EA3C27">
        <w:rPr>
          <w:lang w:val="fr-FR"/>
        </w:rPr>
        <w:t xml:space="preserve">s dans un dialogue au cours de cette </w:t>
      </w:r>
      <w:r w:rsidRPr="00EA3C27">
        <w:rPr>
          <w:lang w:val="fr-FR"/>
        </w:rPr>
        <w:t xml:space="preserve">rencontre. </w:t>
      </w:r>
      <w:r w:rsidR="00D720C9" w:rsidRPr="00EA3C27">
        <w:rPr>
          <w:lang w:val="fr-FR"/>
        </w:rPr>
        <w:t xml:space="preserve">En outre, des centaines de Centrafricains à travers </w:t>
      </w:r>
      <w:r w:rsidRPr="00EA3C27">
        <w:rPr>
          <w:lang w:val="fr-FR"/>
        </w:rPr>
        <w:t>le pays</w:t>
      </w:r>
      <w:r w:rsidR="00BA2217" w:rsidRPr="00EA3C27">
        <w:rPr>
          <w:lang w:val="fr-FR"/>
        </w:rPr>
        <w:t>,</w:t>
      </w:r>
      <w:r w:rsidRPr="00EA3C27">
        <w:rPr>
          <w:lang w:val="fr-FR"/>
        </w:rPr>
        <w:t xml:space="preserve"> de tous les segments de la société</w:t>
      </w:r>
      <w:r w:rsidR="00BA2217" w:rsidRPr="00EA3C27">
        <w:rPr>
          <w:lang w:val="fr-FR"/>
        </w:rPr>
        <w:t>,</w:t>
      </w:r>
      <w:r w:rsidRPr="00EA3C27">
        <w:rPr>
          <w:lang w:val="fr-FR"/>
        </w:rPr>
        <w:t xml:space="preserve"> </w:t>
      </w:r>
      <w:r w:rsidR="00D720C9" w:rsidRPr="00EA3C27">
        <w:rPr>
          <w:lang w:val="fr-FR"/>
        </w:rPr>
        <w:t>ont pris part à cet événement</w:t>
      </w:r>
      <w:r w:rsidR="00BA2217" w:rsidRPr="00EA3C27">
        <w:rPr>
          <w:lang w:val="fr-FR"/>
        </w:rPr>
        <w:t xml:space="preserve">. </w:t>
      </w:r>
    </w:p>
    <w:p w:rsidR="009E47D0" w:rsidRPr="00EA3C27" w:rsidRDefault="002C519E" w:rsidP="00C76FB8">
      <w:pPr>
        <w:suppressAutoHyphens w:val="0"/>
        <w:spacing w:before="100" w:beforeAutospacing="1" w:after="120"/>
        <w:jc w:val="both"/>
        <w:rPr>
          <w:lang w:val="fr-FR" w:eastAsia="en-GB"/>
        </w:rPr>
      </w:pPr>
      <w:r w:rsidRPr="00EA3C27">
        <w:rPr>
          <w:lang w:val="fr-FR" w:eastAsia="en-GB"/>
        </w:rPr>
        <w:t xml:space="preserve">Au-delà du pacte signé </w:t>
      </w:r>
      <w:r w:rsidR="009E47D0" w:rsidRPr="00EA3C27">
        <w:rPr>
          <w:lang w:val="fr-FR" w:eastAsia="en-GB"/>
        </w:rPr>
        <w:t>à l'issue</w:t>
      </w:r>
      <w:r w:rsidR="00EE351F" w:rsidRPr="00EA3C27">
        <w:rPr>
          <w:lang w:val="fr-FR" w:eastAsia="en-GB"/>
        </w:rPr>
        <w:t xml:space="preserve"> du forum </w:t>
      </w:r>
      <w:r w:rsidR="00B871EB" w:rsidRPr="00EA3C27">
        <w:rPr>
          <w:lang w:val="fr-FR" w:eastAsia="en-GB"/>
        </w:rPr>
        <w:t>entre le gouvernement de transition et les groupes armés</w:t>
      </w:r>
      <w:r w:rsidR="00BA2217" w:rsidRPr="00EA3C27">
        <w:rPr>
          <w:lang w:val="fr-FR" w:eastAsia="en-GB"/>
        </w:rPr>
        <w:t>, lequel</w:t>
      </w:r>
      <w:r w:rsidR="00B871EB" w:rsidRPr="00EA3C27">
        <w:rPr>
          <w:lang w:val="fr-FR" w:eastAsia="en-GB"/>
        </w:rPr>
        <w:t xml:space="preserve"> vise au désarmement des membres des groupes armés </w:t>
      </w:r>
      <w:r w:rsidRPr="00EA3C27">
        <w:rPr>
          <w:lang w:val="fr-FR" w:eastAsia="en-GB"/>
        </w:rPr>
        <w:t>et</w:t>
      </w:r>
      <w:r w:rsidR="00B871EB" w:rsidRPr="00EA3C27">
        <w:rPr>
          <w:lang w:val="fr-FR" w:eastAsia="en-GB"/>
        </w:rPr>
        <w:t xml:space="preserve"> à leur</w:t>
      </w:r>
      <w:r w:rsidRPr="00EA3C27">
        <w:rPr>
          <w:lang w:val="fr-FR" w:eastAsia="en-GB"/>
        </w:rPr>
        <w:t xml:space="preserve"> </w:t>
      </w:r>
      <w:r w:rsidR="00B871EB" w:rsidRPr="00EA3C27">
        <w:rPr>
          <w:lang w:val="fr-FR" w:eastAsia="en-GB"/>
        </w:rPr>
        <w:t xml:space="preserve">réintégration </w:t>
      </w:r>
      <w:r w:rsidR="00EE351F" w:rsidRPr="00EA3C27">
        <w:rPr>
          <w:lang w:val="fr-FR" w:eastAsia="en-GB"/>
        </w:rPr>
        <w:t>dans leurs communautés</w:t>
      </w:r>
      <w:r w:rsidR="00B871EB" w:rsidRPr="00EA3C27">
        <w:rPr>
          <w:lang w:val="fr-FR" w:eastAsia="en-GB"/>
        </w:rPr>
        <w:t>,</w:t>
      </w:r>
      <w:r w:rsidR="00740A96">
        <w:rPr>
          <w:lang w:val="fr-FR" w:eastAsia="en-GB"/>
        </w:rPr>
        <w:t xml:space="preserve"> </w:t>
      </w:r>
      <w:r w:rsidR="00EE351F" w:rsidRPr="00EA3C27">
        <w:rPr>
          <w:lang w:val="fr-FR" w:eastAsia="en-GB"/>
        </w:rPr>
        <w:t xml:space="preserve">le résultat majeur du forum de Bangui a été la rédaction du Pacte </w:t>
      </w:r>
      <w:r w:rsidR="00EE351F" w:rsidRPr="00EA3C27">
        <w:rPr>
          <w:lang w:val="fr-FR" w:eastAsia="en-GB"/>
        </w:rPr>
        <w:lastRenderedPageBreak/>
        <w:t>républicain pour la paix, la réconciliation nationale et la reconstruction</w:t>
      </w:r>
      <w:r w:rsidR="00E22AC6" w:rsidRPr="00EA3C27">
        <w:rPr>
          <w:lang w:val="fr-FR" w:eastAsia="en-GB"/>
        </w:rPr>
        <w:t xml:space="preserve"> ("la roadmap")</w:t>
      </w:r>
      <w:r w:rsidR="00BA2217" w:rsidRPr="00EA3C27">
        <w:rPr>
          <w:lang w:val="fr-FR" w:eastAsia="en-GB"/>
        </w:rPr>
        <w:t>,</w:t>
      </w:r>
      <w:r w:rsidR="00EE351F" w:rsidRPr="00EA3C27">
        <w:rPr>
          <w:lang w:val="fr-FR" w:eastAsia="en-GB"/>
        </w:rPr>
        <w:t xml:space="preserve"> dans lequel on identifie certains </w:t>
      </w:r>
      <w:r w:rsidR="00D633C5" w:rsidRPr="00EA3C27">
        <w:rPr>
          <w:lang w:val="fr-FR" w:eastAsia="en-GB"/>
        </w:rPr>
        <w:t>objectifs à poursuivre pour relancer un processus de réconciliation comme, entre autres, les suivants:</w:t>
      </w:r>
      <w:r w:rsidR="00EE351F" w:rsidRPr="00EA3C27">
        <w:rPr>
          <w:lang w:val="fr-FR" w:eastAsia="en-GB"/>
        </w:rPr>
        <w:t xml:space="preserve"> </w:t>
      </w:r>
    </w:p>
    <w:p w:rsidR="006F3E15" w:rsidRPr="00EA3C27" w:rsidRDefault="00CB0571" w:rsidP="00B97539">
      <w:pPr>
        <w:numPr>
          <w:ilvl w:val="0"/>
          <w:numId w:val="18"/>
        </w:numPr>
        <w:suppressAutoHyphens w:val="0"/>
        <w:spacing w:before="100" w:beforeAutospacing="1" w:after="120"/>
        <w:jc w:val="both"/>
        <w:rPr>
          <w:lang w:val="fr-FR" w:eastAsia="en-GB"/>
        </w:rPr>
      </w:pPr>
      <w:r w:rsidRPr="00EA3C27">
        <w:rPr>
          <w:lang w:val="fr-FR" w:eastAsia="en-GB"/>
        </w:rPr>
        <w:t xml:space="preserve">le </w:t>
      </w:r>
      <w:r w:rsidRPr="00EA3C27">
        <w:rPr>
          <w:b/>
          <w:lang w:val="fr-FR" w:eastAsia="en-GB"/>
        </w:rPr>
        <w:t xml:space="preserve">redéploiement et le renforcement graduels </w:t>
      </w:r>
      <w:r w:rsidR="00D1343B" w:rsidRPr="00EA3C27">
        <w:rPr>
          <w:b/>
          <w:lang w:val="fr-FR" w:eastAsia="en-GB"/>
        </w:rPr>
        <w:t>de l'</w:t>
      </w:r>
      <w:r w:rsidRPr="00EA3C27">
        <w:rPr>
          <w:b/>
          <w:lang w:val="fr-FR" w:eastAsia="en-GB"/>
        </w:rPr>
        <w:t>administration au niveau local</w:t>
      </w:r>
      <w:r w:rsidRPr="00EA3C27">
        <w:rPr>
          <w:lang w:val="fr-FR" w:eastAsia="en-GB"/>
        </w:rPr>
        <w:t xml:space="preserve"> afin d'assurer une présence effective de l'État sur toute l'étendue du territoire, notamment avant, pendant et après les élections générales; </w:t>
      </w:r>
    </w:p>
    <w:p w:rsidR="006F3E15" w:rsidRPr="00EA3C27" w:rsidRDefault="00CB0571" w:rsidP="00B97539">
      <w:pPr>
        <w:numPr>
          <w:ilvl w:val="0"/>
          <w:numId w:val="18"/>
        </w:numPr>
        <w:suppressAutoHyphens w:val="0"/>
        <w:spacing w:before="100" w:beforeAutospacing="1" w:after="120"/>
        <w:jc w:val="both"/>
        <w:rPr>
          <w:lang w:val="fr-FR" w:eastAsia="en-GB"/>
        </w:rPr>
      </w:pPr>
      <w:r w:rsidRPr="00EA3C27">
        <w:rPr>
          <w:lang w:val="fr-FR" w:eastAsia="en-GB"/>
        </w:rPr>
        <w:t xml:space="preserve">le soutien </w:t>
      </w:r>
      <w:r w:rsidR="009E47D0" w:rsidRPr="00EA3C27">
        <w:rPr>
          <w:lang w:val="fr-FR" w:eastAsia="en-GB"/>
        </w:rPr>
        <w:t>aux</w:t>
      </w:r>
      <w:r w:rsidRPr="00EA3C27">
        <w:rPr>
          <w:lang w:val="fr-FR" w:eastAsia="en-GB"/>
        </w:rPr>
        <w:t xml:space="preserve"> </w:t>
      </w:r>
      <w:r w:rsidRPr="00EA3C27">
        <w:rPr>
          <w:b/>
          <w:lang w:val="fr-FR" w:eastAsia="en-GB"/>
        </w:rPr>
        <w:t>autorités locales</w:t>
      </w:r>
      <w:r w:rsidRPr="00EA3C27">
        <w:rPr>
          <w:lang w:val="fr-FR" w:eastAsia="en-GB"/>
        </w:rPr>
        <w:t xml:space="preserve"> </w:t>
      </w:r>
      <w:r w:rsidR="009E47D0" w:rsidRPr="00EA3C27">
        <w:rPr>
          <w:lang w:val="fr-FR" w:eastAsia="en-GB"/>
        </w:rPr>
        <w:t>pour</w:t>
      </w:r>
      <w:r w:rsidRPr="00EA3C27">
        <w:rPr>
          <w:lang w:val="fr-FR" w:eastAsia="en-GB"/>
        </w:rPr>
        <w:t xml:space="preserve"> mettre en œuvre les</w:t>
      </w:r>
      <w:r w:rsidR="00EC45F2" w:rsidRPr="00EA3C27">
        <w:rPr>
          <w:lang w:val="fr-FR" w:eastAsia="en-GB"/>
        </w:rPr>
        <w:t xml:space="preserve"> priorités et les</w:t>
      </w:r>
      <w:r w:rsidRPr="00EA3C27">
        <w:rPr>
          <w:lang w:val="fr-FR" w:eastAsia="en-GB"/>
        </w:rPr>
        <w:t xml:space="preserve"> projets de développement choisis par les communautés qu’</w:t>
      </w:r>
      <w:r w:rsidR="00BA2217" w:rsidRPr="00EA3C27">
        <w:rPr>
          <w:lang w:val="fr-FR" w:eastAsia="en-GB"/>
        </w:rPr>
        <w:t>elle</w:t>
      </w:r>
      <w:r w:rsidRPr="00EA3C27">
        <w:rPr>
          <w:lang w:val="fr-FR" w:eastAsia="en-GB"/>
        </w:rPr>
        <w:t>s représentent. C’est ainsi que les besoins prioritaires des communautés sont satisfaits et que ces communautés</w:t>
      </w:r>
      <w:r w:rsidR="00C26E47" w:rsidRPr="00EA3C27">
        <w:rPr>
          <w:rStyle w:val="FootnoteReference"/>
          <w:lang w:val="fr-FR" w:eastAsia="en-GB"/>
        </w:rPr>
        <w:footnoteReference w:id="2"/>
      </w:r>
      <w:r w:rsidRPr="00EA3C27">
        <w:rPr>
          <w:lang w:val="fr-FR" w:eastAsia="en-GB"/>
        </w:rPr>
        <w:t xml:space="preserve"> peuvent acquérir les compétences nécessaires pour opérer des changements et traiter leurs problèmes locaux. En outre, un travail conjoint dans la prise de décisions et la mise en œuvre des projets contribue au rétablissement des rapports sociaux détériorés par la guerre;</w:t>
      </w:r>
    </w:p>
    <w:p w:rsidR="006F3E15" w:rsidRPr="00EA3C27" w:rsidRDefault="00D633C5" w:rsidP="00B97539">
      <w:pPr>
        <w:numPr>
          <w:ilvl w:val="0"/>
          <w:numId w:val="18"/>
        </w:numPr>
        <w:suppressAutoHyphens w:val="0"/>
        <w:spacing w:before="100" w:beforeAutospacing="1" w:after="120"/>
        <w:jc w:val="both"/>
        <w:rPr>
          <w:lang w:val="fr-FR" w:eastAsia="en-GB"/>
        </w:rPr>
      </w:pPr>
      <w:r w:rsidRPr="00EA3C27">
        <w:rPr>
          <w:lang w:val="fr-FR" w:eastAsia="en-GB"/>
        </w:rPr>
        <w:t xml:space="preserve">le </w:t>
      </w:r>
      <w:r w:rsidR="00D1343B" w:rsidRPr="00EA3C27">
        <w:rPr>
          <w:b/>
          <w:lang w:val="fr-FR" w:eastAsia="en-GB"/>
        </w:rPr>
        <w:t xml:space="preserve">renforcement des capacités de </w:t>
      </w:r>
      <w:r w:rsidRPr="00EA3C27">
        <w:rPr>
          <w:b/>
          <w:lang w:val="fr-FR" w:eastAsia="en-GB"/>
        </w:rPr>
        <w:t xml:space="preserve">la </w:t>
      </w:r>
      <w:r w:rsidR="002C519E" w:rsidRPr="00EA3C27">
        <w:rPr>
          <w:b/>
          <w:lang w:val="fr-FR" w:eastAsia="en-GB"/>
        </w:rPr>
        <w:t>société civile</w:t>
      </w:r>
      <w:r w:rsidR="002C519E" w:rsidRPr="00EA3C27">
        <w:rPr>
          <w:lang w:val="fr-FR" w:eastAsia="en-GB"/>
        </w:rPr>
        <w:t xml:space="preserve"> </w:t>
      </w:r>
      <w:r w:rsidR="00D1343B" w:rsidRPr="00EA3C27">
        <w:rPr>
          <w:lang w:val="fr-FR" w:eastAsia="en-GB"/>
        </w:rPr>
        <w:t>dans la conduite d'initiatives en faveur de la réconciliation et de la cohésion</w:t>
      </w:r>
      <w:r w:rsidR="00BA2217" w:rsidRPr="00EA3C27">
        <w:rPr>
          <w:lang w:val="fr-FR" w:eastAsia="en-GB"/>
        </w:rPr>
        <w:t>,</w:t>
      </w:r>
      <w:r w:rsidR="00D1343B" w:rsidRPr="00EA3C27">
        <w:rPr>
          <w:lang w:val="fr-FR" w:eastAsia="en-GB"/>
        </w:rPr>
        <w:t xml:space="preserve"> </w:t>
      </w:r>
      <w:r w:rsidR="002C519E" w:rsidRPr="00EA3C27">
        <w:rPr>
          <w:lang w:val="fr-FR" w:eastAsia="en-GB"/>
        </w:rPr>
        <w:t xml:space="preserve">et </w:t>
      </w:r>
      <w:r w:rsidRPr="00EA3C27">
        <w:rPr>
          <w:lang w:val="fr-FR" w:eastAsia="en-GB"/>
        </w:rPr>
        <w:t>la</w:t>
      </w:r>
      <w:r w:rsidRPr="00EA3C27">
        <w:rPr>
          <w:b/>
          <w:lang w:val="fr-FR" w:eastAsia="en-GB"/>
        </w:rPr>
        <w:t xml:space="preserve"> promotion de l'accès aux services de base</w:t>
      </w:r>
      <w:r w:rsidR="00BA2217" w:rsidRPr="00EA3C27">
        <w:rPr>
          <w:b/>
          <w:lang w:val="fr-FR" w:eastAsia="en-GB"/>
        </w:rPr>
        <w:t xml:space="preserve"> pour les communautés</w:t>
      </w:r>
      <w:r w:rsidR="00F248C8" w:rsidRPr="00EA3C27">
        <w:rPr>
          <w:lang w:val="fr-FR" w:eastAsia="en-GB"/>
        </w:rPr>
        <w:t>.</w:t>
      </w:r>
      <w:r w:rsidR="00740A96">
        <w:rPr>
          <w:lang w:val="fr-FR" w:eastAsia="en-GB"/>
        </w:rPr>
        <w:t xml:space="preserve"> </w:t>
      </w:r>
    </w:p>
    <w:p w:rsidR="001A2B08" w:rsidRPr="00EA3C27" w:rsidRDefault="0017388F" w:rsidP="00C76FB8">
      <w:pPr>
        <w:spacing w:before="100" w:beforeAutospacing="1" w:after="120"/>
        <w:jc w:val="both"/>
        <w:rPr>
          <w:lang w:val="fr-FR"/>
        </w:rPr>
      </w:pPr>
      <w:r w:rsidRPr="00EA3C27">
        <w:rPr>
          <w:lang w:val="fr-FR"/>
        </w:rPr>
        <w:t>Par la suite, l</w:t>
      </w:r>
      <w:r w:rsidR="001A2B08" w:rsidRPr="00EA3C27">
        <w:rPr>
          <w:lang w:val="fr-FR"/>
        </w:rPr>
        <w:t>a tenue des élections démocratiques en début 2016 a été un élément clef dans le processus de stabilisation de la RCA et le retour à l'ordre constitutionnel. Un Plan National de Relèvement et de Consolidation de la Paix (RCPCA) a été élaboré par le Gouvernement centrafricain avec le soutien de l'UE, de l'ONU et du Groupe de la Banque mondiale. Ce plan, validé par l'Assemblée nationale, a été présenté à la communauté internationale lors de la Conférence de Bruxelles le 19 novembre 2016; ce qui a permis de mobiliser des promesses de financement</w:t>
      </w:r>
      <w:r w:rsidRPr="00EA3C27">
        <w:rPr>
          <w:lang w:val="fr-FR"/>
        </w:rPr>
        <w:t>s</w:t>
      </w:r>
      <w:r w:rsidR="001A2B08" w:rsidRPr="00EA3C27">
        <w:rPr>
          <w:lang w:val="fr-FR"/>
        </w:rPr>
        <w:t xml:space="preserve"> </w:t>
      </w:r>
      <w:r w:rsidRPr="00EA3C27">
        <w:rPr>
          <w:lang w:val="fr-FR"/>
        </w:rPr>
        <w:t>atteignant</w:t>
      </w:r>
      <w:r w:rsidR="001A2B08" w:rsidRPr="00EA3C27">
        <w:rPr>
          <w:lang w:val="fr-FR"/>
        </w:rPr>
        <w:t xml:space="preserve"> 2.</w:t>
      </w:r>
      <w:r w:rsidR="003B033B" w:rsidRPr="00EA3C27">
        <w:rPr>
          <w:lang w:val="fr-FR"/>
        </w:rPr>
        <w:t>2 milliards de dollars.</w:t>
      </w:r>
    </w:p>
    <w:p w:rsidR="00E56ACD" w:rsidRPr="00EA3C27" w:rsidRDefault="001A2B08" w:rsidP="00C76FB8">
      <w:pPr>
        <w:pStyle w:val="Default"/>
        <w:spacing w:before="100" w:beforeAutospacing="1" w:after="120"/>
        <w:jc w:val="both"/>
        <w:rPr>
          <w:rFonts w:ascii="Times New Roman" w:hAnsi="Times New Roman" w:cs="Times New Roman"/>
          <w:lang w:val="fr-FR"/>
        </w:rPr>
      </w:pPr>
      <w:r w:rsidRPr="00EA3C27">
        <w:rPr>
          <w:rFonts w:ascii="Times New Roman" w:hAnsi="Times New Roman" w:cs="Times New Roman"/>
          <w:lang w:val="fr-FR"/>
        </w:rPr>
        <w:t xml:space="preserve">Cette Fiche d'Action </w:t>
      </w:r>
      <w:r w:rsidR="005A2558" w:rsidRPr="00EA3C27">
        <w:rPr>
          <w:rFonts w:ascii="Times New Roman" w:hAnsi="Times New Roman" w:cs="Times New Roman"/>
          <w:lang w:val="fr-FR"/>
        </w:rPr>
        <w:t>s'ins</w:t>
      </w:r>
      <w:r w:rsidR="00EC45F2" w:rsidRPr="00EA3C27">
        <w:rPr>
          <w:rFonts w:ascii="Times New Roman" w:hAnsi="Times New Roman" w:cs="Times New Roman"/>
          <w:lang w:val="fr-FR"/>
        </w:rPr>
        <w:t>crit</w:t>
      </w:r>
      <w:r w:rsidR="005A2558" w:rsidRPr="00EA3C27">
        <w:rPr>
          <w:rFonts w:ascii="Times New Roman" w:hAnsi="Times New Roman" w:cs="Times New Roman"/>
          <w:lang w:val="fr-FR"/>
        </w:rPr>
        <w:t xml:space="preserve"> dans</w:t>
      </w:r>
      <w:r w:rsidRPr="00EA3C27">
        <w:rPr>
          <w:rFonts w:ascii="Times New Roman" w:hAnsi="Times New Roman" w:cs="Times New Roman"/>
          <w:lang w:val="fr-FR"/>
        </w:rPr>
        <w:t xml:space="preserve"> les orientations stra</w:t>
      </w:r>
      <w:r w:rsidR="0017388F" w:rsidRPr="00EA3C27">
        <w:rPr>
          <w:rFonts w:ascii="Times New Roman" w:hAnsi="Times New Roman" w:cs="Times New Roman"/>
          <w:lang w:val="fr-FR"/>
        </w:rPr>
        <w:t>tégiques du RCPCA et contribue</w:t>
      </w:r>
      <w:r w:rsidRPr="00EA3C27">
        <w:rPr>
          <w:rFonts w:ascii="Times New Roman" w:hAnsi="Times New Roman" w:cs="Times New Roman"/>
          <w:lang w:val="fr-FR"/>
        </w:rPr>
        <w:t xml:space="preserve"> notamment au </w:t>
      </w:r>
      <w:r w:rsidR="00031F77" w:rsidRPr="00EA3C27">
        <w:rPr>
          <w:rFonts w:ascii="Times New Roman" w:hAnsi="Times New Roman" w:cs="Times New Roman"/>
          <w:lang w:val="fr-FR"/>
        </w:rPr>
        <w:t>"</w:t>
      </w:r>
      <w:r w:rsidRPr="00EA3C27">
        <w:rPr>
          <w:rFonts w:ascii="Times New Roman" w:hAnsi="Times New Roman" w:cs="Times New Roman"/>
          <w:lang w:val="fr-FR"/>
        </w:rPr>
        <w:t>Pilier 1: Restaurer la paix, la sécurité et la réconciliation</w:t>
      </w:r>
      <w:r w:rsidR="004248D2" w:rsidRPr="00EA3C27">
        <w:rPr>
          <w:rFonts w:ascii="Times New Roman" w:hAnsi="Times New Roman" w:cs="Times New Roman"/>
          <w:lang w:val="fr-FR"/>
        </w:rPr>
        <w:t>"</w:t>
      </w:r>
      <w:r w:rsidRPr="00EA3C27">
        <w:rPr>
          <w:rFonts w:ascii="Times New Roman" w:hAnsi="Times New Roman" w:cs="Times New Roman"/>
          <w:lang w:val="fr-FR"/>
        </w:rPr>
        <w:t xml:space="preserve"> et au </w:t>
      </w:r>
      <w:r w:rsidR="00031F77" w:rsidRPr="00EA3C27">
        <w:rPr>
          <w:rFonts w:ascii="Times New Roman" w:hAnsi="Times New Roman" w:cs="Times New Roman"/>
          <w:lang w:val="fr-FR"/>
        </w:rPr>
        <w:t>"</w:t>
      </w:r>
      <w:r w:rsidRPr="00EA3C27">
        <w:rPr>
          <w:rFonts w:ascii="Times New Roman" w:hAnsi="Times New Roman" w:cs="Times New Roman"/>
          <w:lang w:val="fr-FR"/>
        </w:rPr>
        <w:t>Pilier 2: Renouveler le contrat social entre l'Etat et la population</w:t>
      </w:r>
      <w:r w:rsidR="00031F77" w:rsidRPr="00EA3C27">
        <w:rPr>
          <w:rFonts w:ascii="Times New Roman" w:hAnsi="Times New Roman" w:cs="Times New Roman"/>
          <w:lang w:val="fr-FR"/>
        </w:rPr>
        <w:t>"</w:t>
      </w:r>
      <w:r w:rsidR="000607BC" w:rsidRPr="00EA3C27">
        <w:rPr>
          <w:rFonts w:ascii="Times New Roman" w:hAnsi="Times New Roman" w:cs="Times New Roman"/>
          <w:lang w:val="fr-FR"/>
        </w:rPr>
        <w:t xml:space="preserve"> </w:t>
      </w:r>
      <w:r w:rsidR="00747010" w:rsidRPr="00EA3C27">
        <w:rPr>
          <w:rFonts w:ascii="Times New Roman" w:hAnsi="Times New Roman" w:cs="Times New Roman"/>
          <w:lang w:val="fr-FR"/>
        </w:rPr>
        <w:t>(</w:t>
      </w:r>
      <w:r w:rsidR="000607BC" w:rsidRPr="00EA3C27">
        <w:rPr>
          <w:rFonts w:ascii="Times New Roman" w:hAnsi="Times New Roman" w:cs="Times New Roman"/>
          <w:lang w:val="fr-FR"/>
        </w:rPr>
        <w:t>composantes 2 et 3</w:t>
      </w:r>
      <w:r w:rsidR="00747010" w:rsidRPr="00EA3C27">
        <w:rPr>
          <w:rFonts w:ascii="Times New Roman" w:hAnsi="Times New Roman" w:cs="Times New Roman"/>
          <w:lang w:val="fr-FR"/>
        </w:rPr>
        <w:t>)</w:t>
      </w:r>
      <w:r w:rsidR="00031F77" w:rsidRPr="00EA3C27">
        <w:rPr>
          <w:rFonts w:ascii="Times New Roman" w:hAnsi="Times New Roman" w:cs="Times New Roman"/>
          <w:lang w:val="fr-FR"/>
        </w:rPr>
        <w:t>. E</w:t>
      </w:r>
      <w:r w:rsidR="00E4552B" w:rsidRPr="00EA3C27">
        <w:rPr>
          <w:rFonts w:ascii="Times New Roman" w:hAnsi="Times New Roman" w:cs="Times New Roman"/>
          <w:lang w:val="fr-FR"/>
        </w:rPr>
        <w:t>lle concourt</w:t>
      </w:r>
      <w:r w:rsidR="00031F77" w:rsidRPr="00EA3C27">
        <w:rPr>
          <w:rFonts w:ascii="Times New Roman" w:hAnsi="Times New Roman" w:cs="Times New Roman"/>
          <w:lang w:val="fr-FR"/>
        </w:rPr>
        <w:t xml:space="preserve"> également aux objectifs </w:t>
      </w:r>
      <w:r w:rsidR="00E4552B" w:rsidRPr="00EA3C27">
        <w:rPr>
          <w:rFonts w:ascii="Times New Roman" w:hAnsi="Times New Roman" w:cs="Times New Roman"/>
          <w:lang w:val="fr-FR"/>
        </w:rPr>
        <w:t>transversaux du RCPCA visant l'amélioration</w:t>
      </w:r>
      <w:r w:rsidR="00031F77" w:rsidRPr="00EA3C27">
        <w:rPr>
          <w:rFonts w:ascii="Times New Roman" w:hAnsi="Times New Roman" w:cs="Times New Roman"/>
          <w:lang w:val="fr-FR"/>
        </w:rPr>
        <w:t xml:space="preserve"> de la transparence et de la redevabilité à tous les échelons, ainsi que </w:t>
      </w:r>
      <w:r w:rsidR="0017388F" w:rsidRPr="00EA3C27">
        <w:rPr>
          <w:rFonts w:ascii="Times New Roman" w:hAnsi="Times New Roman" w:cs="Times New Roman"/>
          <w:lang w:val="fr-FR"/>
        </w:rPr>
        <w:t xml:space="preserve">le renforcement </w:t>
      </w:r>
      <w:r w:rsidR="00031F77" w:rsidRPr="00EA3C27">
        <w:rPr>
          <w:rFonts w:ascii="Times New Roman" w:hAnsi="Times New Roman" w:cs="Times New Roman"/>
          <w:lang w:val="fr-FR"/>
        </w:rPr>
        <w:t>des capacités nationales</w:t>
      </w:r>
      <w:r w:rsidR="00E4552B" w:rsidRPr="00EA3C27">
        <w:rPr>
          <w:rFonts w:ascii="Times New Roman" w:hAnsi="Times New Roman" w:cs="Times New Roman"/>
          <w:lang w:val="fr-FR"/>
        </w:rPr>
        <w:t>, afin de promouvoir</w:t>
      </w:r>
      <w:r w:rsidR="00031F77" w:rsidRPr="00EA3C27">
        <w:rPr>
          <w:rFonts w:ascii="Times New Roman" w:hAnsi="Times New Roman" w:cs="Times New Roman"/>
          <w:lang w:val="fr-FR"/>
        </w:rPr>
        <w:t xml:space="preserve"> l'appropriation et la réactivité des institutions économiques, sociales et politiques aux besoins de la population</w:t>
      </w:r>
      <w:r w:rsidR="000607BC" w:rsidRPr="00EA3C27">
        <w:rPr>
          <w:rFonts w:ascii="Times New Roman" w:hAnsi="Times New Roman" w:cs="Times New Roman"/>
          <w:lang w:val="fr-FR"/>
        </w:rPr>
        <w:t xml:space="preserve"> </w:t>
      </w:r>
      <w:r w:rsidR="00747010" w:rsidRPr="00EA3C27">
        <w:rPr>
          <w:rFonts w:ascii="Times New Roman" w:hAnsi="Times New Roman" w:cs="Times New Roman"/>
          <w:lang w:val="fr-FR"/>
        </w:rPr>
        <w:t>(</w:t>
      </w:r>
      <w:r w:rsidR="000607BC" w:rsidRPr="00EA3C27">
        <w:rPr>
          <w:rFonts w:ascii="Times New Roman" w:hAnsi="Times New Roman" w:cs="Times New Roman"/>
          <w:lang w:val="fr-FR"/>
        </w:rPr>
        <w:t>composantes 1 et 4</w:t>
      </w:r>
      <w:r w:rsidR="00747010" w:rsidRPr="00EA3C27">
        <w:rPr>
          <w:rFonts w:ascii="Times New Roman" w:hAnsi="Times New Roman" w:cs="Times New Roman"/>
          <w:lang w:val="fr-FR"/>
        </w:rPr>
        <w:t>)</w:t>
      </w:r>
      <w:r w:rsidR="00031F77" w:rsidRPr="00EA3C27">
        <w:rPr>
          <w:rFonts w:ascii="Times New Roman" w:hAnsi="Times New Roman" w:cs="Times New Roman"/>
          <w:lang w:val="fr-FR"/>
        </w:rPr>
        <w:t>.</w:t>
      </w:r>
      <w:r w:rsidR="00195688" w:rsidRPr="00EA3C27">
        <w:rPr>
          <w:rFonts w:ascii="Times New Roman" w:hAnsi="Times New Roman" w:cs="Times New Roman"/>
          <w:lang w:val="fr-FR"/>
        </w:rPr>
        <w:t xml:space="preserve"> </w:t>
      </w:r>
    </w:p>
    <w:p w:rsidR="009D6895" w:rsidRPr="00EA3C27" w:rsidRDefault="00E46E45" w:rsidP="00B97539">
      <w:pPr>
        <w:pStyle w:val="Heading2"/>
        <w:numPr>
          <w:ilvl w:val="1"/>
          <w:numId w:val="16"/>
        </w:numPr>
        <w:tabs>
          <w:tab w:val="clear" w:pos="850"/>
          <w:tab w:val="left" w:pos="840"/>
        </w:tabs>
        <w:spacing w:before="240"/>
        <w:ind w:left="851" w:hanging="851"/>
        <w:rPr>
          <w:szCs w:val="24"/>
          <w:lang w:val="fr-FR"/>
        </w:rPr>
      </w:pPr>
      <w:r w:rsidRPr="00EA3C27">
        <w:rPr>
          <w:szCs w:val="24"/>
          <w:lang w:val="fr-FR"/>
        </w:rPr>
        <w:t>Enseignements tirés</w:t>
      </w:r>
      <w:r w:rsidR="003B6758" w:rsidRPr="00EA3C27">
        <w:rPr>
          <w:szCs w:val="24"/>
          <w:lang w:val="fr-FR"/>
        </w:rPr>
        <w:t xml:space="preserve"> </w:t>
      </w:r>
    </w:p>
    <w:p w:rsidR="009D6895" w:rsidRPr="00EA3C27" w:rsidRDefault="009D6895" w:rsidP="00323D99">
      <w:pPr>
        <w:spacing w:before="100" w:beforeAutospacing="1" w:after="120"/>
        <w:jc w:val="both"/>
        <w:rPr>
          <w:iCs/>
          <w:lang w:val="fr-FR"/>
        </w:rPr>
      </w:pPr>
      <w:r w:rsidRPr="00EA3C27">
        <w:rPr>
          <w:iCs/>
          <w:lang w:val="fr-FR"/>
        </w:rPr>
        <w:t>Les enseignements tirés sur la base du contexte et des</w:t>
      </w:r>
      <w:r w:rsidR="00F9332F" w:rsidRPr="00EA3C27">
        <w:rPr>
          <w:iCs/>
          <w:lang w:val="fr-FR"/>
        </w:rPr>
        <w:t xml:space="preserve"> projets financés par le Fonds f</w:t>
      </w:r>
      <w:r w:rsidRPr="00EA3C27">
        <w:rPr>
          <w:iCs/>
          <w:lang w:val="fr-FR"/>
        </w:rPr>
        <w:t>iduciaire</w:t>
      </w:r>
      <w:r w:rsidR="00EC45F2" w:rsidRPr="00EA3C27">
        <w:rPr>
          <w:iCs/>
          <w:lang w:val="fr-FR"/>
        </w:rPr>
        <w:t>,</w:t>
      </w:r>
      <w:r w:rsidRPr="00EA3C27">
        <w:rPr>
          <w:iCs/>
          <w:lang w:val="fr-FR"/>
        </w:rPr>
        <w:t xml:space="preserve"> </w:t>
      </w:r>
      <w:r w:rsidR="00EC45F2" w:rsidRPr="00EA3C27">
        <w:rPr>
          <w:iCs/>
          <w:lang w:val="fr-FR"/>
        </w:rPr>
        <w:t>depuis sa cr</w:t>
      </w:r>
      <w:r w:rsidR="00904763" w:rsidRPr="00EA3C27">
        <w:rPr>
          <w:iCs/>
          <w:lang w:val="fr-FR"/>
        </w:rPr>
        <w:t>é</w:t>
      </w:r>
      <w:r w:rsidR="00EC45F2" w:rsidRPr="00EA3C27">
        <w:rPr>
          <w:iCs/>
          <w:lang w:val="fr-FR"/>
        </w:rPr>
        <w:t xml:space="preserve">ation en juillet 2014, </w:t>
      </w:r>
      <w:r w:rsidR="004A1298" w:rsidRPr="00EA3C27">
        <w:rPr>
          <w:iCs/>
          <w:lang w:val="fr-FR"/>
        </w:rPr>
        <w:t>mènent à la conclusion qu'il faut</w:t>
      </w:r>
      <w:r w:rsidR="004A20DA" w:rsidRPr="00EA3C27">
        <w:rPr>
          <w:iCs/>
          <w:lang w:val="fr-FR"/>
        </w:rPr>
        <w:t xml:space="preserve"> davantage</w:t>
      </w:r>
      <w:r w:rsidRPr="00EA3C27">
        <w:rPr>
          <w:iCs/>
          <w:lang w:val="fr-FR"/>
        </w:rPr>
        <w:t>:</w:t>
      </w:r>
    </w:p>
    <w:p w:rsidR="006F3E15" w:rsidRPr="00EA3C27" w:rsidRDefault="009D6895" w:rsidP="00B97539">
      <w:pPr>
        <w:pStyle w:val="ListParagraph"/>
        <w:numPr>
          <w:ilvl w:val="0"/>
          <w:numId w:val="19"/>
        </w:numPr>
        <w:suppressAutoHyphens w:val="0"/>
        <w:spacing w:before="100" w:beforeAutospacing="1" w:after="120"/>
        <w:jc w:val="both"/>
        <w:rPr>
          <w:rFonts w:ascii="Times New Roman" w:hAnsi="Times New Roman" w:cs="Times New Roman"/>
          <w:bCs/>
          <w:iCs/>
          <w:sz w:val="24"/>
          <w:szCs w:val="24"/>
          <w:lang w:val="fr-FR"/>
        </w:rPr>
      </w:pPr>
      <w:r w:rsidRPr="00EA3C27">
        <w:rPr>
          <w:rFonts w:ascii="Times New Roman" w:hAnsi="Times New Roman" w:cs="Times New Roman"/>
          <w:bCs/>
          <w:iCs/>
          <w:sz w:val="24"/>
          <w:szCs w:val="24"/>
          <w:lang w:val="fr-FR"/>
        </w:rPr>
        <w:t xml:space="preserve">Ancrer les initiatives </w:t>
      </w:r>
      <w:r w:rsidR="00E50A65" w:rsidRPr="00EA3C27">
        <w:rPr>
          <w:rFonts w:ascii="Times New Roman" w:hAnsi="Times New Roman" w:cs="Times New Roman"/>
          <w:bCs/>
          <w:iCs/>
          <w:sz w:val="24"/>
          <w:szCs w:val="24"/>
          <w:lang w:val="fr-FR"/>
        </w:rPr>
        <w:t xml:space="preserve">de </w:t>
      </w:r>
      <w:r w:rsidRPr="00EA3C27">
        <w:rPr>
          <w:rFonts w:ascii="Times New Roman" w:hAnsi="Times New Roman" w:cs="Times New Roman"/>
          <w:bCs/>
          <w:iCs/>
          <w:sz w:val="24"/>
          <w:szCs w:val="24"/>
          <w:lang w:val="fr-FR"/>
        </w:rPr>
        <w:t>développement du territoire dans un renforcement de la cohésion sociale et de la réconciliation;</w:t>
      </w:r>
    </w:p>
    <w:p w:rsidR="006F3E15" w:rsidRPr="00EA3C27" w:rsidRDefault="009D6895" w:rsidP="00B97539">
      <w:pPr>
        <w:pStyle w:val="ListParagraph"/>
        <w:numPr>
          <w:ilvl w:val="0"/>
          <w:numId w:val="19"/>
        </w:numPr>
        <w:suppressAutoHyphens w:val="0"/>
        <w:spacing w:before="100" w:beforeAutospacing="1" w:after="120"/>
        <w:jc w:val="both"/>
        <w:rPr>
          <w:rFonts w:ascii="Times New Roman" w:hAnsi="Times New Roman" w:cs="Times New Roman"/>
          <w:bCs/>
          <w:iCs/>
          <w:sz w:val="24"/>
          <w:szCs w:val="24"/>
          <w:lang w:val="fr-FR"/>
        </w:rPr>
      </w:pPr>
      <w:r w:rsidRPr="00EA3C27">
        <w:rPr>
          <w:rFonts w:ascii="Times New Roman" w:hAnsi="Times New Roman" w:cs="Times New Roman"/>
          <w:bCs/>
          <w:iCs/>
          <w:sz w:val="24"/>
          <w:szCs w:val="24"/>
          <w:lang w:val="fr-FR"/>
        </w:rPr>
        <w:t>Ad</w:t>
      </w:r>
      <w:r w:rsidR="00D1343B" w:rsidRPr="00EA3C27">
        <w:rPr>
          <w:rFonts w:ascii="Times New Roman" w:hAnsi="Times New Roman" w:cs="Times New Roman"/>
          <w:bCs/>
          <w:iCs/>
          <w:sz w:val="24"/>
          <w:szCs w:val="24"/>
          <w:lang w:val="fr-FR"/>
        </w:rPr>
        <w:t xml:space="preserve">opter une approche </w:t>
      </w:r>
      <w:r w:rsidR="004A1298" w:rsidRPr="00EA3C27">
        <w:rPr>
          <w:rFonts w:ascii="Times New Roman" w:hAnsi="Times New Roman" w:cs="Times New Roman"/>
          <w:bCs/>
          <w:iCs/>
          <w:sz w:val="24"/>
          <w:szCs w:val="24"/>
          <w:lang w:val="fr-FR"/>
        </w:rPr>
        <w:t>intégrée</w:t>
      </w:r>
      <w:r w:rsidRPr="00EA3C27">
        <w:rPr>
          <w:rFonts w:ascii="Times New Roman" w:hAnsi="Times New Roman" w:cs="Times New Roman"/>
          <w:bCs/>
          <w:iCs/>
          <w:sz w:val="24"/>
          <w:szCs w:val="24"/>
          <w:lang w:val="fr-FR"/>
        </w:rPr>
        <w:t>, participative et plurisectorielle de l’appui à la cohésion sociale et à la réconciliation;</w:t>
      </w:r>
    </w:p>
    <w:p w:rsidR="006F3E15" w:rsidRPr="00EA3C27" w:rsidRDefault="009D6895" w:rsidP="00B97539">
      <w:pPr>
        <w:pStyle w:val="ListParagraph"/>
        <w:numPr>
          <w:ilvl w:val="0"/>
          <w:numId w:val="19"/>
        </w:numPr>
        <w:suppressAutoHyphens w:val="0"/>
        <w:spacing w:before="100" w:beforeAutospacing="1" w:after="120"/>
        <w:jc w:val="both"/>
        <w:rPr>
          <w:rFonts w:ascii="Times New Roman" w:hAnsi="Times New Roman" w:cs="Times New Roman"/>
          <w:bCs/>
          <w:iCs/>
          <w:sz w:val="24"/>
          <w:szCs w:val="24"/>
          <w:lang w:val="fr-FR"/>
        </w:rPr>
      </w:pPr>
      <w:r w:rsidRPr="00EA3C27">
        <w:rPr>
          <w:rFonts w:ascii="Times New Roman" w:hAnsi="Times New Roman" w:cs="Times New Roman"/>
          <w:bCs/>
          <w:iCs/>
          <w:sz w:val="24"/>
          <w:szCs w:val="24"/>
          <w:lang w:val="fr-FR"/>
        </w:rPr>
        <w:lastRenderedPageBreak/>
        <w:t>Crédibiliser les services de l’Etat et les autorités locales en rétablissant le lien avec les populations et en leur permettant de délivrer des services de base et d’être associé</w:t>
      </w:r>
      <w:r w:rsidR="00E50A65" w:rsidRPr="00EA3C27">
        <w:rPr>
          <w:rFonts w:ascii="Times New Roman" w:hAnsi="Times New Roman" w:cs="Times New Roman"/>
          <w:bCs/>
          <w:iCs/>
          <w:sz w:val="24"/>
          <w:szCs w:val="24"/>
          <w:lang w:val="fr-FR"/>
        </w:rPr>
        <w:t>s</w:t>
      </w:r>
      <w:r w:rsidRPr="00EA3C27">
        <w:rPr>
          <w:rFonts w:ascii="Times New Roman" w:hAnsi="Times New Roman" w:cs="Times New Roman"/>
          <w:bCs/>
          <w:iCs/>
          <w:sz w:val="24"/>
          <w:szCs w:val="24"/>
          <w:lang w:val="fr-FR"/>
        </w:rPr>
        <w:t xml:space="preserve"> à la </w:t>
      </w:r>
      <w:r w:rsidR="00EC45F2" w:rsidRPr="00EA3C27">
        <w:rPr>
          <w:rFonts w:ascii="Times New Roman" w:hAnsi="Times New Roman" w:cs="Times New Roman"/>
          <w:bCs/>
          <w:iCs/>
          <w:sz w:val="24"/>
          <w:szCs w:val="24"/>
          <w:lang w:val="fr-FR"/>
        </w:rPr>
        <w:t xml:space="preserve">redynamisation </w:t>
      </w:r>
      <w:r w:rsidRPr="00EA3C27">
        <w:rPr>
          <w:rFonts w:ascii="Times New Roman" w:hAnsi="Times New Roman" w:cs="Times New Roman"/>
          <w:bCs/>
          <w:iCs/>
          <w:sz w:val="24"/>
          <w:szCs w:val="24"/>
          <w:lang w:val="fr-FR"/>
        </w:rPr>
        <w:t>des territoires;</w:t>
      </w:r>
    </w:p>
    <w:p w:rsidR="000607BC" w:rsidRPr="00EA3C27" w:rsidRDefault="00323D99" w:rsidP="00B97539">
      <w:pPr>
        <w:pStyle w:val="ListParagraph"/>
        <w:numPr>
          <w:ilvl w:val="0"/>
          <w:numId w:val="19"/>
        </w:numPr>
        <w:suppressAutoHyphens w:val="0"/>
        <w:spacing w:before="100" w:beforeAutospacing="1" w:after="120"/>
        <w:jc w:val="both"/>
        <w:rPr>
          <w:rFonts w:ascii="Times New Roman" w:hAnsi="Times New Roman" w:cs="Times New Roman"/>
          <w:bCs/>
          <w:iCs/>
          <w:sz w:val="24"/>
          <w:szCs w:val="24"/>
          <w:lang w:val="fr-FR"/>
        </w:rPr>
      </w:pPr>
      <w:r w:rsidRPr="00EA3C27">
        <w:rPr>
          <w:rFonts w:ascii="Times New Roman" w:hAnsi="Times New Roman" w:cs="Times New Roman"/>
          <w:bCs/>
          <w:iCs/>
          <w:sz w:val="24"/>
          <w:szCs w:val="24"/>
          <w:lang w:val="fr-FR"/>
        </w:rPr>
        <w:t>Compléter les efforts du g</w:t>
      </w:r>
      <w:r w:rsidR="000607BC" w:rsidRPr="00EA3C27">
        <w:rPr>
          <w:rFonts w:ascii="Times New Roman" w:hAnsi="Times New Roman" w:cs="Times New Roman"/>
          <w:bCs/>
          <w:iCs/>
          <w:sz w:val="24"/>
          <w:szCs w:val="24"/>
          <w:lang w:val="fr-FR"/>
        </w:rPr>
        <w:t xml:space="preserve">ouvernement </w:t>
      </w:r>
      <w:r w:rsidRPr="00EA3C27">
        <w:rPr>
          <w:rFonts w:ascii="Times New Roman" w:hAnsi="Times New Roman" w:cs="Times New Roman"/>
          <w:bCs/>
          <w:iCs/>
          <w:sz w:val="24"/>
          <w:szCs w:val="24"/>
          <w:lang w:val="fr-FR"/>
        </w:rPr>
        <w:t>centrafricain</w:t>
      </w:r>
      <w:r w:rsidR="00747010" w:rsidRPr="00EA3C27">
        <w:rPr>
          <w:rFonts w:ascii="Times New Roman" w:hAnsi="Times New Roman" w:cs="Times New Roman"/>
          <w:bCs/>
          <w:iCs/>
          <w:sz w:val="24"/>
          <w:szCs w:val="24"/>
          <w:lang w:val="fr-FR"/>
        </w:rPr>
        <w:t xml:space="preserve"> </w:t>
      </w:r>
      <w:r w:rsidRPr="00EA3C27">
        <w:rPr>
          <w:rFonts w:ascii="Times New Roman" w:hAnsi="Times New Roman" w:cs="Times New Roman"/>
          <w:bCs/>
          <w:iCs/>
          <w:sz w:val="24"/>
          <w:szCs w:val="24"/>
          <w:lang w:val="fr-FR"/>
        </w:rPr>
        <w:t>et des autres partenaires techniques et financiers</w:t>
      </w:r>
      <w:r w:rsidR="000607BC" w:rsidRPr="00EA3C27">
        <w:rPr>
          <w:rFonts w:ascii="Times New Roman" w:hAnsi="Times New Roman" w:cs="Times New Roman"/>
          <w:bCs/>
          <w:iCs/>
          <w:sz w:val="24"/>
          <w:szCs w:val="24"/>
          <w:lang w:val="fr-FR"/>
        </w:rPr>
        <w:t xml:space="preserve"> (OCHA, ECHO, BM, USAID, etc</w:t>
      </w:r>
      <w:r w:rsidRPr="00EA3C27">
        <w:rPr>
          <w:rFonts w:ascii="Times New Roman" w:hAnsi="Times New Roman" w:cs="Times New Roman"/>
          <w:bCs/>
          <w:iCs/>
          <w:sz w:val="24"/>
          <w:szCs w:val="24"/>
          <w:lang w:val="fr-FR"/>
        </w:rPr>
        <w:t>.</w:t>
      </w:r>
      <w:r w:rsidR="000607BC" w:rsidRPr="00EA3C27">
        <w:rPr>
          <w:rFonts w:ascii="Times New Roman" w:hAnsi="Times New Roman" w:cs="Times New Roman"/>
          <w:bCs/>
          <w:iCs/>
          <w:sz w:val="24"/>
          <w:szCs w:val="24"/>
          <w:lang w:val="fr-FR"/>
        </w:rPr>
        <w:t xml:space="preserve">) dans le soutien au processus de retour et de stabilisation; </w:t>
      </w:r>
    </w:p>
    <w:p w:rsidR="006F3E15" w:rsidRPr="00EA3C27" w:rsidRDefault="009D6895" w:rsidP="00B97539">
      <w:pPr>
        <w:pStyle w:val="ListParagraph"/>
        <w:numPr>
          <w:ilvl w:val="0"/>
          <w:numId w:val="19"/>
        </w:numPr>
        <w:suppressAutoHyphens w:val="0"/>
        <w:spacing w:before="100" w:beforeAutospacing="1" w:after="120"/>
        <w:jc w:val="both"/>
        <w:rPr>
          <w:rFonts w:ascii="Times New Roman" w:hAnsi="Times New Roman" w:cs="Times New Roman"/>
          <w:bCs/>
          <w:iCs/>
          <w:sz w:val="24"/>
          <w:szCs w:val="24"/>
          <w:lang w:val="fr-FR"/>
        </w:rPr>
      </w:pPr>
      <w:r w:rsidRPr="00EA3C27">
        <w:rPr>
          <w:rFonts w:ascii="Times New Roman" w:hAnsi="Times New Roman" w:cs="Times New Roman"/>
          <w:bCs/>
          <w:iCs/>
          <w:sz w:val="24"/>
          <w:szCs w:val="24"/>
          <w:lang w:val="fr-FR"/>
        </w:rPr>
        <w:t>Renforcer les capacités de l’ensemble des acteurs d</w:t>
      </w:r>
      <w:r w:rsidR="009E47D0" w:rsidRPr="00EA3C27">
        <w:rPr>
          <w:rFonts w:ascii="Times New Roman" w:hAnsi="Times New Roman" w:cs="Times New Roman"/>
          <w:bCs/>
          <w:iCs/>
          <w:sz w:val="24"/>
          <w:szCs w:val="24"/>
          <w:lang w:val="fr-FR"/>
        </w:rPr>
        <w:t>u terrain</w:t>
      </w:r>
      <w:r w:rsidRPr="00EA3C27">
        <w:rPr>
          <w:rFonts w:ascii="Times New Roman" w:hAnsi="Times New Roman" w:cs="Times New Roman"/>
          <w:bCs/>
          <w:iCs/>
          <w:sz w:val="24"/>
          <w:szCs w:val="24"/>
          <w:lang w:val="fr-FR"/>
        </w:rPr>
        <w:t>;</w:t>
      </w:r>
    </w:p>
    <w:p w:rsidR="006F3E15" w:rsidRPr="00EA3C27" w:rsidRDefault="009D6895" w:rsidP="00B97539">
      <w:pPr>
        <w:pStyle w:val="ListParagraph"/>
        <w:numPr>
          <w:ilvl w:val="0"/>
          <w:numId w:val="19"/>
        </w:numPr>
        <w:suppressAutoHyphens w:val="0"/>
        <w:spacing w:before="100" w:beforeAutospacing="1" w:after="120"/>
        <w:jc w:val="both"/>
        <w:rPr>
          <w:rFonts w:ascii="Times New Roman" w:hAnsi="Times New Roman" w:cs="Times New Roman"/>
          <w:bCs/>
          <w:iCs/>
          <w:sz w:val="24"/>
          <w:szCs w:val="24"/>
          <w:lang w:val="fr-FR"/>
        </w:rPr>
      </w:pPr>
      <w:r w:rsidRPr="00EA3C27">
        <w:rPr>
          <w:rFonts w:ascii="Times New Roman" w:hAnsi="Times New Roman" w:cs="Times New Roman"/>
          <w:bCs/>
          <w:iCs/>
          <w:sz w:val="24"/>
          <w:szCs w:val="24"/>
          <w:lang w:val="fr-FR"/>
        </w:rPr>
        <w:t>Développer des dispositifs de justice de proximité et de résolution des conflits;</w:t>
      </w:r>
    </w:p>
    <w:p w:rsidR="006F3E15" w:rsidRPr="00EA3C27" w:rsidRDefault="009D6895" w:rsidP="00B97539">
      <w:pPr>
        <w:pStyle w:val="ListParagraph"/>
        <w:numPr>
          <w:ilvl w:val="0"/>
          <w:numId w:val="19"/>
        </w:numPr>
        <w:suppressAutoHyphens w:val="0"/>
        <w:spacing w:before="100" w:beforeAutospacing="1" w:after="120"/>
        <w:jc w:val="both"/>
        <w:rPr>
          <w:rFonts w:ascii="Times New Roman" w:hAnsi="Times New Roman" w:cs="Times New Roman"/>
          <w:bCs/>
          <w:sz w:val="24"/>
          <w:szCs w:val="24"/>
          <w:lang w:val="fr-FR"/>
        </w:rPr>
      </w:pPr>
      <w:r w:rsidRPr="00EA3C27">
        <w:rPr>
          <w:rFonts w:ascii="Times New Roman" w:hAnsi="Times New Roman" w:cs="Times New Roman"/>
          <w:bCs/>
          <w:sz w:val="24"/>
          <w:szCs w:val="24"/>
          <w:lang w:val="fr-FR"/>
        </w:rPr>
        <w:t>Prendre en compte l’équilibre géographique et les enjeux propres à la crise</w:t>
      </w:r>
      <w:r w:rsidR="00C26E47" w:rsidRPr="00EA3C27">
        <w:rPr>
          <w:rFonts w:ascii="Times New Roman" w:hAnsi="Times New Roman" w:cs="Times New Roman"/>
          <w:bCs/>
          <w:sz w:val="24"/>
          <w:szCs w:val="24"/>
          <w:lang w:val="fr-FR"/>
        </w:rPr>
        <w:t xml:space="preserve"> </w:t>
      </w:r>
      <w:r w:rsidRPr="00EA3C27">
        <w:rPr>
          <w:rFonts w:ascii="Times New Roman" w:hAnsi="Times New Roman" w:cs="Times New Roman"/>
          <w:bCs/>
          <w:sz w:val="24"/>
          <w:szCs w:val="24"/>
          <w:lang w:val="fr-FR"/>
        </w:rPr>
        <w:t xml:space="preserve">dans la sélection des </w:t>
      </w:r>
      <w:r w:rsidR="00323D99" w:rsidRPr="00EA3C27">
        <w:rPr>
          <w:rFonts w:ascii="Times New Roman" w:hAnsi="Times New Roman" w:cs="Times New Roman"/>
          <w:bCs/>
          <w:sz w:val="24"/>
          <w:szCs w:val="24"/>
          <w:lang w:val="fr-FR"/>
        </w:rPr>
        <w:t>localités d’intervention</w:t>
      </w:r>
      <w:r w:rsidR="00DC21ED" w:rsidRPr="00EA3C27">
        <w:rPr>
          <w:rFonts w:ascii="Times New Roman" w:hAnsi="Times New Roman" w:cs="Times New Roman"/>
          <w:bCs/>
          <w:sz w:val="24"/>
          <w:szCs w:val="24"/>
          <w:lang w:val="fr-FR"/>
        </w:rPr>
        <w:t>;</w:t>
      </w:r>
    </w:p>
    <w:p w:rsidR="00DC21ED" w:rsidRPr="00EA3C27" w:rsidRDefault="00DC21ED" w:rsidP="00B97539">
      <w:pPr>
        <w:pStyle w:val="ListParagraph"/>
        <w:numPr>
          <w:ilvl w:val="0"/>
          <w:numId w:val="19"/>
        </w:numPr>
        <w:suppressAutoHyphens w:val="0"/>
        <w:spacing w:before="100" w:beforeAutospacing="1" w:after="120"/>
        <w:ind w:left="714" w:hanging="357"/>
        <w:jc w:val="both"/>
        <w:rPr>
          <w:rFonts w:ascii="Times New Roman" w:hAnsi="Times New Roman" w:cs="Times New Roman"/>
          <w:bCs/>
          <w:sz w:val="24"/>
          <w:szCs w:val="24"/>
          <w:lang w:val="fr-FR"/>
        </w:rPr>
      </w:pPr>
      <w:r w:rsidRPr="00EA3C27">
        <w:rPr>
          <w:rFonts w:ascii="Times New Roman" w:hAnsi="Times New Roman" w:cs="Times New Roman"/>
          <w:bCs/>
          <w:sz w:val="24"/>
          <w:szCs w:val="24"/>
          <w:lang w:val="fr-FR"/>
        </w:rPr>
        <w:t xml:space="preserve">Assurer un espace d'expression </w:t>
      </w:r>
      <w:r w:rsidR="00EC45F2" w:rsidRPr="00EA3C27">
        <w:rPr>
          <w:rFonts w:ascii="Times New Roman" w:hAnsi="Times New Roman" w:cs="Times New Roman"/>
          <w:bCs/>
          <w:sz w:val="24"/>
          <w:szCs w:val="24"/>
          <w:lang w:val="fr-FR"/>
        </w:rPr>
        <w:t>au plus pr</w:t>
      </w:r>
      <w:r w:rsidR="00904763" w:rsidRPr="00EA3C27">
        <w:rPr>
          <w:rFonts w:ascii="Times New Roman" w:hAnsi="Times New Roman" w:cs="Times New Roman"/>
          <w:bCs/>
          <w:sz w:val="24"/>
          <w:szCs w:val="24"/>
          <w:lang w:val="fr-FR"/>
        </w:rPr>
        <w:t>è</w:t>
      </w:r>
      <w:r w:rsidR="00EC45F2" w:rsidRPr="00EA3C27">
        <w:rPr>
          <w:rFonts w:ascii="Times New Roman" w:hAnsi="Times New Roman" w:cs="Times New Roman"/>
          <w:bCs/>
          <w:sz w:val="24"/>
          <w:szCs w:val="24"/>
          <w:lang w:val="fr-FR"/>
        </w:rPr>
        <w:t>s</w:t>
      </w:r>
      <w:r w:rsidRPr="00EA3C27">
        <w:rPr>
          <w:rFonts w:ascii="Times New Roman" w:hAnsi="Times New Roman" w:cs="Times New Roman"/>
          <w:bCs/>
          <w:sz w:val="24"/>
          <w:szCs w:val="24"/>
          <w:lang w:val="fr-FR"/>
        </w:rPr>
        <w:t xml:space="preserve"> des communautés. </w:t>
      </w:r>
    </w:p>
    <w:p w:rsidR="000055B9" w:rsidRPr="00EA3C27" w:rsidRDefault="00E46E45" w:rsidP="00F9332F">
      <w:pPr>
        <w:pStyle w:val="Heading2"/>
        <w:tabs>
          <w:tab w:val="clear" w:pos="850"/>
          <w:tab w:val="left" w:pos="840"/>
        </w:tabs>
        <w:spacing w:before="240"/>
        <w:ind w:left="851" w:hanging="851"/>
        <w:rPr>
          <w:szCs w:val="24"/>
          <w:lang w:val="fr-FR"/>
        </w:rPr>
      </w:pPr>
      <w:r w:rsidRPr="00EA3C27">
        <w:rPr>
          <w:szCs w:val="24"/>
          <w:lang w:val="fr-FR"/>
        </w:rPr>
        <w:t>Actions complémentaires</w:t>
      </w:r>
      <w:r w:rsidR="00937582" w:rsidRPr="00EA3C27">
        <w:rPr>
          <w:szCs w:val="24"/>
          <w:lang w:val="fr-FR"/>
        </w:rPr>
        <w:t xml:space="preserve"> </w:t>
      </w:r>
    </w:p>
    <w:p w:rsidR="004D1F67" w:rsidRPr="00EA3C27" w:rsidRDefault="004D1F67" w:rsidP="00597DD7">
      <w:pPr>
        <w:pStyle w:val="Text2"/>
        <w:spacing w:before="100" w:beforeAutospacing="1"/>
        <w:ind w:left="0"/>
        <w:rPr>
          <w:lang w:val="fr-FR"/>
        </w:rPr>
      </w:pPr>
      <w:r w:rsidRPr="00EA3C27">
        <w:rPr>
          <w:lang w:val="fr-FR"/>
        </w:rPr>
        <w:t xml:space="preserve">Une partie des actions à mettre en œuvre dans le cadre de ce programme </w:t>
      </w:r>
      <w:r w:rsidR="00001303" w:rsidRPr="00EA3C27">
        <w:rPr>
          <w:lang w:val="fr-FR"/>
        </w:rPr>
        <w:t>trouvera une complémentarité naturelle</w:t>
      </w:r>
      <w:r w:rsidR="00D1225A" w:rsidRPr="00EA3C27">
        <w:rPr>
          <w:lang w:val="fr-FR"/>
        </w:rPr>
        <w:t>,</w:t>
      </w:r>
      <w:r w:rsidRPr="00EA3C27">
        <w:rPr>
          <w:lang w:val="fr-FR"/>
        </w:rPr>
        <w:t xml:space="preserve"> à différents niveaux</w:t>
      </w:r>
      <w:r w:rsidR="00D1225A" w:rsidRPr="00EA3C27">
        <w:rPr>
          <w:lang w:val="fr-FR"/>
        </w:rPr>
        <w:t>,</w:t>
      </w:r>
      <w:r w:rsidR="00001303" w:rsidRPr="00EA3C27">
        <w:rPr>
          <w:lang w:val="fr-FR"/>
        </w:rPr>
        <w:t xml:space="preserve"> avec certains projets de développement local/</w:t>
      </w:r>
      <w:r w:rsidRPr="00EA3C27">
        <w:rPr>
          <w:lang w:val="fr-FR"/>
        </w:rPr>
        <w:t xml:space="preserve"> </w:t>
      </w:r>
      <w:r w:rsidR="00001303" w:rsidRPr="00EA3C27">
        <w:rPr>
          <w:lang w:val="fr-FR"/>
        </w:rPr>
        <w:t xml:space="preserve">renforcement des capacités des </w:t>
      </w:r>
      <w:r w:rsidR="00D1225A" w:rsidRPr="00EA3C27">
        <w:rPr>
          <w:lang w:val="fr-FR"/>
        </w:rPr>
        <w:t xml:space="preserve">autorités locales </w:t>
      </w:r>
      <w:r w:rsidR="000B30D9" w:rsidRPr="00EA3C27">
        <w:rPr>
          <w:lang w:val="fr-FR"/>
        </w:rPr>
        <w:t>déjà en cours ou à venir, notamment</w:t>
      </w:r>
      <w:r w:rsidR="00D1225A" w:rsidRPr="00EA3C27">
        <w:rPr>
          <w:lang w:val="fr-FR"/>
        </w:rPr>
        <w:t xml:space="preserve">: </w:t>
      </w:r>
    </w:p>
    <w:p w:rsidR="004D1F67" w:rsidRPr="00EA3C27" w:rsidRDefault="004D1F67" w:rsidP="00B97539">
      <w:pPr>
        <w:pStyle w:val="Text2"/>
        <w:numPr>
          <w:ilvl w:val="0"/>
          <w:numId w:val="13"/>
        </w:numPr>
        <w:spacing w:before="100" w:beforeAutospacing="1"/>
        <w:rPr>
          <w:lang w:val="fr-FR"/>
        </w:rPr>
      </w:pPr>
      <w:r w:rsidRPr="00EA3C27">
        <w:rPr>
          <w:lang w:val="fr-FR"/>
        </w:rPr>
        <w:t>les Pôles de développem</w:t>
      </w:r>
      <w:r w:rsidR="00597DD7" w:rsidRPr="00EA3C27">
        <w:rPr>
          <w:lang w:val="fr-FR"/>
        </w:rPr>
        <w:t>ent (PDD) de l’Union Européenne;</w:t>
      </w:r>
      <w:r w:rsidRPr="00EA3C27">
        <w:rPr>
          <w:lang w:val="fr-FR"/>
        </w:rPr>
        <w:t xml:space="preserve"> </w:t>
      </w:r>
    </w:p>
    <w:p w:rsidR="004D1F67" w:rsidRPr="00EA3C27" w:rsidRDefault="004D1F67" w:rsidP="00B97539">
      <w:pPr>
        <w:pStyle w:val="Text2"/>
        <w:numPr>
          <w:ilvl w:val="0"/>
          <w:numId w:val="13"/>
        </w:numPr>
        <w:spacing w:before="100" w:beforeAutospacing="1"/>
        <w:rPr>
          <w:lang w:val="fr-FR"/>
        </w:rPr>
      </w:pPr>
      <w:r w:rsidRPr="00EA3C27">
        <w:rPr>
          <w:lang w:val="fr-FR"/>
        </w:rPr>
        <w:t xml:space="preserve">le projet RAFAT du PNUD qui contribuera au redéploiement des services déconcentrés de l’Etat et au renforcement de la police et de la gendarmerie (à Bambari, Bria, Bossangoa, </w:t>
      </w:r>
      <w:proofErr w:type="spellStart"/>
      <w:r w:rsidRPr="00EA3C27">
        <w:rPr>
          <w:lang w:val="fr-FR"/>
        </w:rPr>
        <w:t>Ka</w:t>
      </w:r>
      <w:r w:rsidR="00597DD7" w:rsidRPr="00EA3C27">
        <w:rPr>
          <w:lang w:val="fr-FR"/>
        </w:rPr>
        <w:t>ga</w:t>
      </w:r>
      <w:proofErr w:type="spellEnd"/>
      <w:r w:rsidR="00597DD7" w:rsidRPr="00EA3C27">
        <w:rPr>
          <w:lang w:val="fr-FR"/>
        </w:rPr>
        <w:t xml:space="preserve"> </w:t>
      </w:r>
      <w:proofErr w:type="spellStart"/>
      <w:r w:rsidR="00597DD7" w:rsidRPr="00EA3C27">
        <w:rPr>
          <w:lang w:val="fr-FR"/>
        </w:rPr>
        <w:t>Bandoro</w:t>
      </w:r>
      <w:proofErr w:type="spellEnd"/>
      <w:r w:rsidR="00597DD7" w:rsidRPr="00EA3C27">
        <w:rPr>
          <w:lang w:val="fr-FR"/>
        </w:rPr>
        <w:t xml:space="preserve"> et Bouar ou Carnot); </w:t>
      </w:r>
    </w:p>
    <w:p w:rsidR="00F51819" w:rsidRPr="00EA3C27" w:rsidRDefault="00001303" w:rsidP="00B97539">
      <w:pPr>
        <w:pStyle w:val="Text2"/>
        <w:numPr>
          <w:ilvl w:val="0"/>
          <w:numId w:val="13"/>
        </w:numPr>
        <w:spacing w:before="100" w:beforeAutospacing="1"/>
        <w:rPr>
          <w:lang w:val="fr-FR"/>
        </w:rPr>
      </w:pPr>
      <w:r w:rsidRPr="00EA3C27">
        <w:rPr>
          <w:lang w:val="fr-FR"/>
        </w:rPr>
        <w:t>le</w:t>
      </w:r>
      <w:r w:rsidR="004D1F67" w:rsidRPr="00EA3C27">
        <w:rPr>
          <w:lang w:val="fr-FR"/>
        </w:rPr>
        <w:t>s</w:t>
      </w:r>
      <w:r w:rsidRPr="00EA3C27">
        <w:rPr>
          <w:lang w:val="fr-FR"/>
        </w:rPr>
        <w:t xml:space="preserve"> projet</w:t>
      </w:r>
      <w:r w:rsidR="004D1F67" w:rsidRPr="00EA3C27">
        <w:rPr>
          <w:lang w:val="fr-FR"/>
        </w:rPr>
        <w:t>s</w:t>
      </w:r>
      <w:r w:rsidRPr="00EA3C27">
        <w:rPr>
          <w:lang w:val="fr-FR"/>
        </w:rPr>
        <w:t xml:space="preserve"> </w:t>
      </w:r>
      <w:r w:rsidR="00597DD7" w:rsidRPr="00EA3C27">
        <w:rPr>
          <w:lang w:val="fr-FR"/>
        </w:rPr>
        <w:t>PARC (Projet d’Appui au Renforcement des C</w:t>
      </w:r>
      <w:r w:rsidRPr="00EA3C27">
        <w:rPr>
          <w:lang w:val="fr-FR"/>
        </w:rPr>
        <w:t xml:space="preserve">apacités) au niveau central </w:t>
      </w:r>
      <w:r w:rsidR="004D1F67" w:rsidRPr="00EA3C27">
        <w:rPr>
          <w:lang w:val="fr-FR"/>
        </w:rPr>
        <w:t>et</w:t>
      </w:r>
      <w:r w:rsidR="00740A96">
        <w:rPr>
          <w:lang w:val="fr-FR"/>
        </w:rPr>
        <w:t xml:space="preserve"> </w:t>
      </w:r>
      <w:r w:rsidR="00597DD7" w:rsidRPr="00EA3C27">
        <w:rPr>
          <w:lang w:val="fr-FR"/>
        </w:rPr>
        <w:t>PDRSO (Projet de Développement R</w:t>
      </w:r>
      <w:r w:rsidR="004D1F67" w:rsidRPr="00EA3C27">
        <w:rPr>
          <w:lang w:val="fr-FR"/>
        </w:rPr>
        <w:t>égional dans le Sud-Ouest)</w:t>
      </w:r>
      <w:r w:rsidR="00597DD7" w:rsidRPr="00EA3C27">
        <w:rPr>
          <w:lang w:val="fr-FR"/>
        </w:rPr>
        <w:t xml:space="preserve"> de l'AFD</w:t>
      </w:r>
      <w:r w:rsidR="004D1F67" w:rsidRPr="00EA3C27">
        <w:rPr>
          <w:lang w:val="fr-FR"/>
        </w:rPr>
        <w:t xml:space="preserve"> qui développe</w:t>
      </w:r>
      <w:r w:rsidR="00597DD7" w:rsidRPr="00EA3C27">
        <w:rPr>
          <w:lang w:val="fr-FR"/>
        </w:rPr>
        <w:t>nt</w:t>
      </w:r>
      <w:r w:rsidR="004D1F67" w:rsidRPr="00EA3C27">
        <w:rPr>
          <w:lang w:val="fr-FR"/>
        </w:rPr>
        <w:t xml:space="preserve"> aussi une approche territoriale et participative mais sur des zones distinctes</w:t>
      </w:r>
      <w:r w:rsidR="00597DD7" w:rsidRPr="00EA3C27">
        <w:rPr>
          <w:lang w:val="fr-FR"/>
        </w:rPr>
        <w:t xml:space="preserve">; </w:t>
      </w:r>
    </w:p>
    <w:p w:rsidR="00F51819" w:rsidRPr="00EA3C27" w:rsidRDefault="00F51819" w:rsidP="00B97539">
      <w:pPr>
        <w:pStyle w:val="Text2"/>
        <w:numPr>
          <w:ilvl w:val="0"/>
          <w:numId w:val="13"/>
        </w:numPr>
        <w:spacing w:before="100" w:beforeAutospacing="1"/>
        <w:rPr>
          <w:lang w:val="fr-FR"/>
        </w:rPr>
      </w:pPr>
      <w:r w:rsidRPr="00EA3C27">
        <w:rPr>
          <w:lang w:val="fr-FR"/>
        </w:rPr>
        <w:t>les p</w:t>
      </w:r>
      <w:r w:rsidR="007D6513" w:rsidRPr="00EA3C27">
        <w:rPr>
          <w:lang w:val="fr-FR"/>
        </w:rPr>
        <w:t xml:space="preserve">rojets d'urgence </w:t>
      </w:r>
      <w:r w:rsidRPr="00EA3C27">
        <w:rPr>
          <w:lang w:val="fr-FR"/>
        </w:rPr>
        <w:t>financés par ECHO dans</w:t>
      </w:r>
      <w:r w:rsidR="00597DD7" w:rsidRPr="00EA3C27">
        <w:rPr>
          <w:lang w:val="fr-FR"/>
        </w:rPr>
        <w:t xml:space="preserve"> les zones de retour sur Bangui; </w:t>
      </w:r>
    </w:p>
    <w:p w:rsidR="007D6513" w:rsidRDefault="00E56ACD" w:rsidP="00B97539">
      <w:pPr>
        <w:pStyle w:val="Text2"/>
        <w:numPr>
          <w:ilvl w:val="0"/>
          <w:numId w:val="13"/>
        </w:numPr>
        <w:spacing w:before="100" w:beforeAutospacing="1"/>
        <w:rPr>
          <w:lang w:val="fr-FR"/>
        </w:rPr>
      </w:pPr>
      <w:r w:rsidRPr="00EA3C27">
        <w:rPr>
          <w:lang w:val="fr-FR"/>
        </w:rPr>
        <w:t xml:space="preserve">Le </w:t>
      </w:r>
      <w:r w:rsidR="00597DD7" w:rsidRPr="00EA3C27">
        <w:rPr>
          <w:lang w:val="fr-FR"/>
        </w:rPr>
        <w:t>PARET/RCA (</w:t>
      </w:r>
      <w:r w:rsidRPr="00EA3C27">
        <w:rPr>
          <w:lang w:val="fr-FR"/>
        </w:rPr>
        <w:t>Projet d’Appui au Retour et à la Ré</w:t>
      </w:r>
      <w:r w:rsidR="00597DD7" w:rsidRPr="00EA3C27">
        <w:rPr>
          <w:lang w:val="fr-FR"/>
        </w:rPr>
        <w:t>intégration en RCA)</w:t>
      </w:r>
      <w:r w:rsidRPr="00EA3C27">
        <w:rPr>
          <w:lang w:val="fr-FR"/>
        </w:rPr>
        <w:t>,</w:t>
      </w:r>
      <w:r w:rsidR="00F9332F" w:rsidRPr="00EA3C27">
        <w:rPr>
          <w:lang w:val="fr-FR"/>
        </w:rPr>
        <w:t xml:space="preserve"> une initiative du g</w:t>
      </w:r>
      <w:r w:rsidRPr="00EA3C27">
        <w:rPr>
          <w:lang w:val="fr-FR"/>
        </w:rPr>
        <w:t xml:space="preserve">ouvernement, avec l’appui de l’UNHCR pour la gestion des opérations </w:t>
      </w:r>
      <w:r w:rsidRPr="00CF0F91">
        <w:rPr>
          <w:lang w:val="fr-FR"/>
        </w:rPr>
        <w:t>relatives</w:t>
      </w:r>
      <w:r w:rsidRPr="00EA3C27">
        <w:rPr>
          <w:lang w:val="fr-FR"/>
        </w:rPr>
        <w:t xml:space="preserve"> au retour et à la réintégration de nombreux Centrafricains déplacés à l'extérieur et à l'intérieur du pays</w:t>
      </w:r>
      <w:r w:rsidR="004C74F3" w:rsidRPr="00EA3C27">
        <w:rPr>
          <w:lang w:val="fr-FR"/>
        </w:rPr>
        <w:t xml:space="preserve">. </w:t>
      </w:r>
    </w:p>
    <w:p w:rsidR="00FD7B3D" w:rsidRPr="00CF0F91" w:rsidRDefault="00C6226E" w:rsidP="008F7209">
      <w:pPr>
        <w:pStyle w:val="Text2"/>
        <w:numPr>
          <w:ilvl w:val="0"/>
          <w:numId w:val="13"/>
        </w:numPr>
        <w:spacing w:before="100" w:beforeAutospacing="1"/>
        <w:rPr>
          <w:lang w:val="fr-BE"/>
        </w:rPr>
      </w:pPr>
      <w:r w:rsidRPr="00CF0F91">
        <w:rPr>
          <w:lang w:val="fr-FR"/>
        </w:rPr>
        <w:t>le</w:t>
      </w:r>
      <w:r w:rsidRPr="00CF0F91">
        <w:rPr>
          <w:lang w:val="fr-BE"/>
        </w:rPr>
        <w:t xml:space="preserve"> projet pilote </w:t>
      </w:r>
      <w:proofErr w:type="spellStart"/>
      <w:r w:rsidRPr="00CF0F91">
        <w:rPr>
          <w:lang w:val="fr-BE"/>
        </w:rPr>
        <w:t>IcSP</w:t>
      </w:r>
      <w:proofErr w:type="spellEnd"/>
      <w:r w:rsidR="008F7209" w:rsidRPr="00CF0F91">
        <w:rPr>
          <w:rStyle w:val="FootnoteReference"/>
          <w:lang w:val="fr-BE"/>
        </w:rPr>
        <w:footnoteReference w:id="3"/>
      </w:r>
      <w:r w:rsidRPr="00CF0F91">
        <w:rPr>
          <w:lang w:val="fr-BE"/>
        </w:rPr>
        <w:t xml:space="preserve"> </w:t>
      </w:r>
      <w:r w:rsidR="00EC0436" w:rsidRPr="00CF0F91">
        <w:rPr>
          <w:lang w:val="fr-BE"/>
        </w:rPr>
        <w:t>(en préparation)</w:t>
      </w:r>
      <w:r w:rsidRPr="00CF0F91">
        <w:rPr>
          <w:lang w:val="fr-BE"/>
        </w:rPr>
        <w:t xml:space="preserve"> </w:t>
      </w:r>
      <w:r w:rsidR="00207DEF" w:rsidRPr="00CF0F91">
        <w:rPr>
          <w:lang w:val="fr-BE"/>
        </w:rPr>
        <w:t xml:space="preserve">pour un soutien </w:t>
      </w:r>
      <w:r w:rsidR="008F7209" w:rsidRPr="00CF0F91">
        <w:rPr>
          <w:lang w:val="fr-BE"/>
        </w:rPr>
        <w:t xml:space="preserve">à court terme </w:t>
      </w:r>
      <w:r w:rsidR="00863205" w:rsidRPr="00CF0F91">
        <w:rPr>
          <w:lang w:val="fr-BE"/>
        </w:rPr>
        <w:t xml:space="preserve">en 2018 </w:t>
      </w:r>
      <w:r w:rsidR="00207DEF" w:rsidRPr="00CF0F91">
        <w:rPr>
          <w:lang w:val="fr-BE"/>
        </w:rPr>
        <w:t xml:space="preserve">au </w:t>
      </w:r>
      <w:r w:rsidR="00F9583B" w:rsidRPr="00CF0F91">
        <w:rPr>
          <w:shd w:val="clear" w:color="auto" w:fill="FFFFFF" w:themeFill="background1"/>
          <w:lang w:val="fr-BE"/>
        </w:rPr>
        <w:t>redéploiement et</w:t>
      </w:r>
      <w:r w:rsidR="008529A8" w:rsidRPr="00CF0F91">
        <w:rPr>
          <w:shd w:val="clear" w:color="auto" w:fill="FFFFFF" w:themeFill="background1"/>
          <w:lang w:val="fr-BE"/>
        </w:rPr>
        <w:t xml:space="preserve"> au</w:t>
      </w:r>
      <w:r w:rsidR="00863205" w:rsidRPr="00CF0F91">
        <w:rPr>
          <w:shd w:val="clear" w:color="auto" w:fill="FFFFFF" w:themeFill="background1"/>
          <w:lang w:val="fr-BE"/>
        </w:rPr>
        <w:t xml:space="preserve"> renforcement des </w:t>
      </w:r>
      <w:r w:rsidR="007574F9" w:rsidRPr="00CF0F91">
        <w:rPr>
          <w:lang w:val="fr-BE"/>
        </w:rPr>
        <w:t>forces de sécurité intérieure</w:t>
      </w:r>
      <w:r w:rsidR="00863205" w:rsidRPr="00CF0F91">
        <w:rPr>
          <w:shd w:val="clear" w:color="auto" w:fill="FFFFFF" w:themeFill="background1"/>
          <w:lang w:val="fr-BE"/>
        </w:rPr>
        <w:t xml:space="preserve">, de la justice et des services de l'Etat </w:t>
      </w:r>
      <w:r w:rsidR="007574F9" w:rsidRPr="00CF0F91">
        <w:rPr>
          <w:lang w:val="fr-BE"/>
        </w:rPr>
        <w:t>dans une ou deux préfectures prioritaires</w:t>
      </w:r>
      <w:r w:rsidR="00863205" w:rsidRPr="00CF0F91">
        <w:rPr>
          <w:shd w:val="clear" w:color="auto" w:fill="FFFFFF" w:themeFill="background1"/>
          <w:lang w:val="fr-BE"/>
        </w:rPr>
        <w:t xml:space="preserve"> </w:t>
      </w:r>
      <w:r w:rsidR="007574F9" w:rsidRPr="00CF0F91">
        <w:rPr>
          <w:shd w:val="clear" w:color="auto" w:fill="FFFFFF" w:themeFill="background1"/>
          <w:lang w:val="fr-BE"/>
        </w:rPr>
        <w:t xml:space="preserve">(possiblement </w:t>
      </w:r>
      <w:r w:rsidR="00863205" w:rsidRPr="00CF0F91">
        <w:rPr>
          <w:shd w:val="clear" w:color="auto" w:fill="FFFFFF" w:themeFill="background1"/>
          <w:lang w:val="fr-BE"/>
        </w:rPr>
        <w:t>Bouar et Bambari</w:t>
      </w:r>
      <w:r w:rsidR="007574F9" w:rsidRPr="00CF0F91">
        <w:rPr>
          <w:shd w:val="clear" w:color="auto" w:fill="FFFFFF" w:themeFill="background1"/>
          <w:lang w:val="fr-BE"/>
        </w:rPr>
        <w:t>)</w:t>
      </w:r>
      <w:r w:rsidR="00F9583B" w:rsidRPr="00CF0F91">
        <w:rPr>
          <w:shd w:val="clear" w:color="auto" w:fill="FFFFFF" w:themeFill="background1"/>
          <w:lang w:val="fr-BE"/>
        </w:rPr>
        <w:t xml:space="preserve">. </w:t>
      </w:r>
      <w:r w:rsidR="00863205" w:rsidRPr="00CF0F91">
        <w:rPr>
          <w:lang w:val="fr-BE"/>
        </w:rPr>
        <w:t>Ces actions seraient ainsi complémentaires aux actions</w:t>
      </w:r>
      <w:r w:rsidRPr="00CF0F91">
        <w:rPr>
          <w:lang w:val="fr-BE"/>
        </w:rPr>
        <w:t xml:space="preserve"> à long terme du </w:t>
      </w:r>
      <w:r w:rsidR="001E4C34" w:rsidRPr="00CF0F91">
        <w:rPr>
          <w:lang w:val="fr-BE"/>
        </w:rPr>
        <w:t>programme FED</w:t>
      </w:r>
      <w:r w:rsidR="00757A5B" w:rsidRPr="00CF0F91">
        <w:rPr>
          <w:lang w:val="fr-BE"/>
        </w:rPr>
        <w:t xml:space="preserve"> </w:t>
      </w:r>
      <w:r w:rsidR="001E4C34" w:rsidRPr="00CF0F91">
        <w:rPr>
          <w:lang w:val="fr-BE"/>
        </w:rPr>
        <w:t xml:space="preserve">dans le cadre </w:t>
      </w:r>
      <w:r w:rsidRPr="00CF0F91">
        <w:rPr>
          <w:lang w:val="fr-BE"/>
        </w:rPr>
        <w:t xml:space="preserve">de </w:t>
      </w:r>
      <w:r w:rsidR="001E4C34" w:rsidRPr="00CF0F91">
        <w:rPr>
          <w:lang w:val="fr-BE"/>
        </w:rPr>
        <w:t xml:space="preserve">la </w:t>
      </w:r>
      <w:r w:rsidR="00A72DE4" w:rsidRPr="00CF0F91">
        <w:rPr>
          <w:lang w:val="fr-BE"/>
        </w:rPr>
        <w:t>r</w:t>
      </w:r>
      <w:r w:rsidRPr="00CF0F91">
        <w:rPr>
          <w:lang w:val="fr-BE"/>
        </w:rPr>
        <w:t xml:space="preserve">éhabilitation de la justice et de </w:t>
      </w:r>
      <w:r w:rsidR="001E4C34" w:rsidRPr="00CF0F91">
        <w:rPr>
          <w:lang w:val="fr-BE"/>
        </w:rPr>
        <w:t>la polic</w:t>
      </w:r>
      <w:r w:rsidR="002D730F" w:rsidRPr="00CF0F91">
        <w:rPr>
          <w:lang w:val="fr-BE"/>
        </w:rPr>
        <w:t>e</w:t>
      </w:r>
      <w:r w:rsidR="00863205" w:rsidRPr="00CF0F91">
        <w:rPr>
          <w:lang w:val="fr-BE"/>
        </w:rPr>
        <w:t>.</w:t>
      </w:r>
    </w:p>
    <w:p w:rsidR="00960197" w:rsidRDefault="00960197" w:rsidP="004C74F3">
      <w:pPr>
        <w:pStyle w:val="Text2"/>
        <w:spacing w:before="100" w:beforeAutospacing="1"/>
        <w:ind w:left="0"/>
        <w:rPr>
          <w:lang w:val="fr-BE"/>
        </w:rPr>
      </w:pPr>
    </w:p>
    <w:p w:rsidR="00C915A8" w:rsidRPr="00EA3C27" w:rsidRDefault="00107C73" w:rsidP="004C74F3">
      <w:pPr>
        <w:pStyle w:val="Text2"/>
        <w:spacing w:before="100" w:beforeAutospacing="1"/>
        <w:ind w:left="0"/>
        <w:rPr>
          <w:lang w:val="fr-FR"/>
        </w:rPr>
      </w:pPr>
      <w:r w:rsidRPr="00EA3C27">
        <w:rPr>
          <w:lang w:val="fr-FR"/>
        </w:rPr>
        <w:lastRenderedPageBreak/>
        <w:t>Une synergie sera recherchée avec les projets de réconciliation/dialogue/médiation mis en</w:t>
      </w:r>
      <w:r w:rsidR="00C915A8" w:rsidRPr="00EA3C27">
        <w:rPr>
          <w:lang w:val="fr-FR"/>
        </w:rPr>
        <w:t xml:space="preserve"> œuvre par</w:t>
      </w:r>
      <w:r w:rsidRPr="00EA3C27">
        <w:rPr>
          <w:lang w:val="fr-FR"/>
        </w:rPr>
        <w:t xml:space="preserve"> </w:t>
      </w:r>
      <w:r w:rsidR="00391EE2" w:rsidRPr="00EA3C27">
        <w:rPr>
          <w:lang w:val="fr-FR"/>
        </w:rPr>
        <w:t>:</w:t>
      </w:r>
      <w:r w:rsidR="00C915A8" w:rsidRPr="00EA3C27">
        <w:rPr>
          <w:lang w:val="fr-FR"/>
        </w:rPr>
        <w:t xml:space="preserve"> </w:t>
      </w:r>
    </w:p>
    <w:p w:rsidR="00C915A8" w:rsidRPr="00EA3C27" w:rsidRDefault="00107C73" w:rsidP="00B97539">
      <w:pPr>
        <w:pStyle w:val="Text2"/>
        <w:numPr>
          <w:ilvl w:val="0"/>
          <w:numId w:val="12"/>
        </w:numPr>
        <w:spacing w:before="100" w:beforeAutospacing="1"/>
        <w:ind w:left="714" w:hanging="357"/>
        <w:rPr>
          <w:lang w:val="fr-FR"/>
        </w:rPr>
      </w:pPr>
      <w:r w:rsidRPr="00EA3C27">
        <w:rPr>
          <w:lang w:val="fr-FR"/>
        </w:rPr>
        <w:t>l'O</w:t>
      </w:r>
      <w:r w:rsidR="00391EE2" w:rsidRPr="00EA3C27">
        <w:rPr>
          <w:lang w:val="fr-FR"/>
        </w:rPr>
        <w:t>IM</w:t>
      </w:r>
      <w:r w:rsidRPr="00EA3C27">
        <w:rPr>
          <w:lang w:val="fr-FR"/>
        </w:rPr>
        <w:t xml:space="preserve"> (Organisation Internationale </w:t>
      </w:r>
      <w:r w:rsidR="00B11BD7" w:rsidRPr="00EA3C27">
        <w:rPr>
          <w:lang w:val="fr-FR"/>
        </w:rPr>
        <w:t>pour les</w:t>
      </w:r>
      <w:r w:rsidRPr="00EA3C27">
        <w:rPr>
          <w:lang w:val="fr-FR"/>
        </w:rPr>
        <w:t xml:space="preserve"> Migration</w:t>
      </w:r>
      <w:r w:rsidR="00B11BD7" w:rsidRPr="00EA3C27">
        <w:rPr>
          <w:lang w:val="fr-FR"/>
        </w:rPr>
        <w:t>s</w:t>
      </w:r>
      <w:r w:rsidRPr="00EA3C27">
        <w:rPr>
          <w:lang w:val="fr-FR"/>
        </w:rPr>
        <w:t>)</w:t>
      </w:r>
      <w:r w:rsidR="00C915A8" w:rsidRPr="00EA3C27">
        <w:rPr>
          <w:lang w:val="fr-FR"/>
        </w:rPr>
        <w:t>,</w:t>
      </w:r>
      <w:r w:rsidR="00B11BD7" w:rsidRPr="00EA3C27">
        <w:rPr>
          <w:lang w:val="fr-FR"/>
        </w:rPr>
        <w:t xml:space="preserve"> " Support à la stabilisation et au relèvement immédiat des communautés à risque en RCA"</w:t>
      </w:r>
      <w:r w:rsidR="00C915A8" w:rsidRPr="00EA3C27">
        <w:rPr>
          <w:lang w:val="fr-FR"/>
        </w:rPr>
        <w:t xml:space="preserve"> (</w:t>
      </w:r>
      <w:proofErr w:type="spellStart"/>
      <w:r w:rsidR="00C915A8" w:rsidRPr="00EA3C27">
        <w:rPr>
          <w:lang w:val="fr-FR"/>
        </w:rPr>
        <w:t>Boda</w:t>
      </w:r>
      <w:proofErr w:type="spellEnd"/>
      <w:r w:rsidR="00C915A8" w:rsidRPr="00EA3C27">
        <w:rPr>
          <w:lang w:val="fr-FR"/>
        </w:rPr>
        <w:t xml:space="preserve">, Bambari, </w:t>
      </w:r>
      <w:proofErr w:type="spellStart"/>
      <w:r w:rsidR="00C915A8" w:rsidRPr="00EA3C27">
        <w:rPr>
          <w:lang w:val="fr-FR"/>
        </w:rPr>
        <w:t>Kaga-Bandoro</w:t>
      </w:r>
      <w:proofErr w:type="spellEnd"/>
      <w:r w:rsidR="00C915A8" w:rsidRPr="00EA3C27">
        <w:rPr>
          <w:lang w:val="fr-FR"/>
        </w:rPr>
        <w:t>, Ndele)</w:t>
      </w:r>
      <w:r w:rsidR="00DD5B80" w:rsidRPr="00EA3C27">
        <w:rPr>
          <w:lang w:val="fr-FR"/>
        </w:rPr>
        <w:t xml:space="preserve">; </w:t>
      </w:r>
    </w:p>
    <w:p w:rsidR="001474C4" w:rsidRPr="00FD7B3D" w:rsidRDefault="005E28FD" w:rsidP="00FD7B3D">
      <w:pPr>
        <w:pStyle w:val="Text2"/>
        <w:numPr>
          <w:ilvl w:val="0"/>
          <w:numId w:val="12"/>
        </w:numPr>
        <w:spacing w:before="100" w:beforeAutospacing="1"/>
        <w:ind w:left="714" w:hanging="357"/>
        <w:rPr>
          <w:lang w:val="fr-FR"/>
        </w:rPr>
      </w:pPr>
      <w:proofErr w:type="spellStart"/>
      <w:r w:rsidRPr="00EA3C27">
        <w:rPr>
          <w:lang w:val="fr-FR"/>
        </w:rPr>
        <w:t>Nor</w:t>
      </w:r>
      <w:r w:rsidR="006C15D5" w:rsidRPr="00EA3C27">
        <w:rPr>
          <w:lang w:val="fr-FR"/>
        </w:rPr>
        <w:t>w</w:t>
      </w:r>
      <w:r w:rsidRPr="00EA3C27">
        <w:rPr>
          <w:lang w:val="fr-FR"/>
        </w:rPr>
        <w:t>egian</w:t>
      </w:r>
      <w:proofErr w:type="spellEnd"/>
      <w:r w:rsidRPr="00EA3C27">
        <w:rPr>
          <w:lang w:val="fr-FR"/>
        </w:rPr>
        <w:t xml:space="preserve"> </w:t>
      </w:r>
      <w:proofErr w:type="spellStart"/>
      <w:r w:rsidRPr="00EA3C27">
        <w:rPr>
          <w:lang w:val="fr-FR"/>
        </w:rPr>
        <w:t>Refugee</w:t>
      </w:r>
      <w:proofErr w:type="spellEnd"/>
      <w:r w:rsidRPr="00EA3C27">
        <w:rPr>
          <w:lang w:val="fr-FR"/>
        </w:rPr>
        <w:t xml:space="preserve"> Council (NRC), "Promotion et protection des droits au logement, terre et propriété (LTP) des personnes affectées pa</w:t>
      </w:r>
      <w:r w:rsidR="00DD5B80" w:rsidRPr="00EA3C27">
        <w:rPr>
          <w:lang w:val="fr-FR"/>
        </w:rPr>
        <w:t>r le déplacement en République c</w:t>
      </w:r>
      <w:r w:rsidRPr="00EA3C27">
        <w:rPr>
          <w:lang w:val="fr-FR"/>
        </w:rPr>
        <w:t>entrafricaine" (Bangui, Sibut et Carnot)</w:t>
      </w:r>
      <w:r w:rsidR="00DD5B80" w:rsidRPr="00EA3C27">
        <w:rPr>
          <w:lang w:val="fr-FR"/>
        </w:rPr>
        <w:t xml:space="preserve">. </w:t>
      </w:r>
    </w:p>
    <w:p w:rsidR="000055B9" w:rsidRPr="00EA3C27" w:rsidRDefault="007E5FD8" w:rsidP="00F9332F">
      <w:pPr>
        <w:pStyle w:val="Text2"/>
        <w:spacing w:before="100" w:beforeAutospacing="1"/>
        <w:ind w:left="0"/>
        <w:rPr>
          <w:lang w:val="fr-FR"/>
        </w:rPr>
      </w:pPr>
      <w:r w:rsidRPr="00EA3C27">
        <w:rPr>
          <w:lang w:val="fr-FR"/>
        </w:rPr>
        <w:t xml:space="preserve">Par ailleurs, </w:t>
      </w:r>
      <w:r w:rsidR="000055B9" w:rsidRPr="00EA3C27">
        <w:rPr>
          <w:lang w:val="fr-FR"/>
        </w:rPr>
        <w:t>la nécessité d’un dispositif de concertation et de coordination des interventions pour l’appui aux médias</w:t>
      </w:r>
      <w:r w:rsidR="00EC45F2" w:rsidRPr="00EA3C27">
        <w:rPr>
          <w:lang w:val="fr-FR"/>
        </w:rPr>
        <w:t xml:space="preserve"> subsiste</w:t>
      </w:r>
      <w:r w:rsidR="000055B9" w:rsidRPr="00EA3C27">
        <w:rPr>
          <w:lang w:val="fr-FR"/>
        </w:rPr>
        <w:t>. Face aux pillages que les médias ont connus, à la montée du cycle de violence et au manque de moyens</w:t>
      </w:r>
      <w:r w:rsidR="00EC45F2" w:rsidRPr="00EA3C27">
        <w:rPr>
          <w:lang w:val="fr-FR"/>
        </w:rPr>
        <w:t xml:space="preserve"> auquel ils font face</w:t>
      </w:r>
      <w:r w:rsidR="000055B9" w:rsidRPr="00EA3C27">
        <w:rPr>
          <w:lang w:val="fr-FR"/>
        </w:rPr>
        <w:t>, il est important de considérer la dimension «information des populations» également comme un axe prioritaire dans la crise humanitaire qui secoue le pays. Une concertation entre les acteurs d’appui aux secteurs des médias est aussi indispensable afin de limiter la dispersion des moyens et la concentration des interventions sur quelques partenaires ou quelques zones au détriment d’autres.</w:t>
      </w:r>
    </w:p>
    <w:p w:rsidR="000055B9" w:rsidRPr="00EA3C27" w:rsidRDefault="00E46E45" w:rsidP="00F9332F">
      <w:pPr>
        <w:pStyle w:val="Heading2"/>
        <w:tabs>
          <w:tab w:val="clear" w:pos="850"/>
          <w:tab w:val="left" w:pos="840"/>
        </w:tabs>
        <w:spacing w:before="240"/>
        <w:ind w:left="851" w:hanging="851"/>
        <w:rPr>
          <w:szCs w:val="24"/>
          <w:lang w:val="fr-FR"/>
        </w:rPr>
      </w:pPr>
      <w:r w:rsidRPr="00EA3C27">
        <w:rPr>
          <w:szCs w:val="24"/>
          <w:lang w:val="fr-FR"/>
        </w:rPr>
        <w:t>Coordination des donateurs</w:t>
      </w:r>
      <w:r w:rsidR="001A37AB" w:rsidRPr="00EA3C27">
        <w:rPr>
          <w:szCs w:val="24"/>
          <w:lang w:val="fr-FR"/>
        </w:rPr>
        <w:t xml:space="preserve"> </w:t>
      </w:r>
    </w:p>
    <w:p w:rsidR="00E27C5B" w:rsidRPr="00EA3C27" w:rsidRDefault="00E27C5B" w:rsidP="00F9332F">
      <w:pPr>
        <w:pStyle w:val="Text2"/>
        <w:spacing w:before="100" w:beforeAutospacing="1"/>
        <w:ind w:left="0"/>
        <w:rPr>
          <w:lang w:val="fr-FR"/>
        </w:rPr>
      </w:pPr>
      <w:r w:rsidRPr="00EA3C27">
        <w:rPr>
          <w:lang w:val="fr-FR"/>
        </w:rPr>
        <w:t>La coordination des actions du Fonds Bêkou avec celles des autres donateurs en RCA s'inscri</w:t>
      </w:r>
      <w:r w:rsidR="00D6273D" w:rsidRPr="00EA3C27">
        <w:rPr>
          <w:lang w:val="fr-FR"/>
        </w:rPr>
        <w:t>t</w:t>
      </w:r>
      <w:r w:rsidRPr="00EA3C27">
        <w:rPr>
          <w:lang w:val="fr-FR"/>
        </w:rPr>
        <w:t xml:space="preserve"> dans </w:t>
      </w:r>
      <w:r w:rsidR="00F9332F" w:rsidRPr="00EA3C27">
        <w:rPr>
          <w:lang w:val="fr-FR"/>
        </w:rPr>
        <w:t xml:space="preserve">le </w:t>
      </w:r>
      <w:r w:rsidRPr="00EA3C27">
        <w:rPr>
          <w:lang w:val="fr-FR"/>
        </w:rPr>
        <w:t>cadre de coordination</w:t>
      </w:r>
      <w:r w:rsidR="00624D7B" w:rsidRPr="00EA3C27">
        <w:rPr>
          <w:lang w:val="fr-FR"/>
        </w:rPr>
        <w:t>, suivi</w:t>
      </w:r>
      <w:r w:rsidRPr="00EA3C27">
        <w:rPr>
          <w:lang w:val="fr-FR"/>
        </w:rPr>
        <w:t xml:space="preserve"> et concertation mis en place par le gouvernement pour la mise en œuvre du RCPCA.</w:t>
      </w:r>
      <w:r w:rsidR="00624D7B" w:rsidRPr="00EA3C27">
        <w:rPr>
          <w:lang w:val="fr-FR"/>
        </w:rPr>
        <w:t xml:space="preserve"> </w:t>
      </w:r>
      <w:r w:rsidR="006C15D5" w:rsidRPr="00EA3C27">
        <w:rPr>
          <w:lang w:val="fr-FR"/>
        </w:rPr>
        <w:t>Ainsi</w:t>
      </w:r>
      <w:r w:rsidR="00624D7B" w:rsidRPr="00EA3C27">
        <w:rPr>
          <w:lang w:val="fr-FR"/>
        </w:rPr>
        <w:t>, l</w:t>
      </w:r>
      <w:r w:rsidR="00DE071D" w:rsidRPr="00EA3C27">
        <w:rPr>
          <w:lang w:val="fr-FR"/>
        </w:rPr>
        <w:t xml:space="preserve">'UE sera engagée </w:t>
      </w:r>
      <w:r w:rsidR="00466753" w:rsidRPr="00EA3C27">
        <w:rPr>
          <w:lang w:val="fr-FR"/>
        </w:rPr>
        <w:t>à</w:t>
      </w:r>
      <w:r w:rsidR="00624D7B" w:rsidRPr="00EA3C27">
        <w:rPr>
          <w:lang w:val="fr-FR"/>
        </w:rPr>
        <w:t xml:space="preserve"> trois niveaux du cadre institutionnel de coordination, à savoir le Conseil d'Orientation, le Comité Directeur Conjoint et les groupes techniques et programmatiques. Plus spécifiquement, le Fonds Bêkou détiendra un rôle consultatif dans le Comité Directeur Conjoint lequel constituera la plate</w:t>
      </w:r>
      <w:r w:rsidR="00F9332F" w:rsidRPr="00EA3C27">
        <w:rPr>
          <w:lang w:val="fr-FR"/>
        </w:rPr>
        <w:t>forme de concertation entre le g</w:t>
      </w:r>
      <w:r w:rsidR="00624D7B" w:rsidRPr="00EA3C27">
        <w:rPr>
          <w:lang w:val="fr-FR"/>
        </w:rPr>
        <w:t>ouvernement centrafricain et ses partenaires, et il participera aux groupes de travail pertinents à son mandat.</w:t>
      </w:r>
    </w:p>
    <w:p w:rsidR="00956EED" w:rsidRPr="00EA3C27" w:rsidRDefault="00956EED" w:rsidP="00F9332F">
      <w:pPr>
        <w:spacing w:before="100" w:beforeAutospacing="1" w:after="120"/>
        <w:jc w:val="both"/>
        <w:rPr>
          <w:lang w:val="fr-FR"/>
        </w:rPr>
      </w:pPr>
      <w:r w:rsidRPr="00EA3C27">
        <w:rPr>
          <w:lang w:val="fr-FR"/>
        </w:rPr>
        <w:t xml:space="preserve">Des </w:t>
      </w:r>
      <w:r w:rsidR="00EA445D" w:rsidRPr="00EA3C27">
        <w:rPr>
          <w:lang w:val="fr-FR"/>
        </w:rPr>
        <w:t>échanges</w:t>
      </w:r>
      <w:r w:rsidRPr="00EA3C27">
        <w:rPr>
          <w:lang w:val="fr-FR"/>
        </w:rPr>
        <w:t xml:space="preserve"> de concertation sont </w:t>
      </w:r>
      <w:r w:rsidR="00EC45F2" w:rsidRPr="00EA3C27">
        <w:rPr>
          <w:lang w:val="fr-FR"/>
        </w:rPr>
        <w:t xml:space="preserve">en outre </w:t>
      </w:r>
      <w:r w:rsidRPr="00EA3C27">
        <w:rPr>
          <w:lang w:val="fr-FR"/>
        </w:rPr>
        <w:t xml:space="preserve">organisés </w:t>
      </w:r>
      <w:r w:rsidR="00EA445D" w:rsidRPr="00EA3C27">
        <w:rPr>
          <w:lang w:val="fr-FR"/>
        </w:rPr>
        <w:t>régulièrement</w:t>
      </w:r>
      <w:r w:rsidRPr="00EA3C27">
        <w:rPr>
          <w:lang w:val="fr-FR"/>
        </w:rPr>
        <w:t xml:space="preserve"> à Bangui avec les </w:t>
      </w:r>
      <w:r w:rsidR="00EA445D" w:rsidRPr="00EA3C27">
        <w:rPr>
          <w:lang w:val="fr-FR"/>
        </w:rPr>
        <w:t>principaux</w:t>
      </w:r>
      <w:r w:rsidRPr="00EA3C27">
        <w:rPr>
          <w:lang w:val="fr-FR"/>
        </w:rPr>
        <w:t xml:space="preserve"> partenaires techniques et financiers tels que:</w:t>
      </w:r>
    </w:p>
    <w:p w:rsidR="00956EED" w:rsidRPr="00EA3C27" w:rsidRDefault="00956EED" w:rsidP="00270C0E">
      <w:pPr>
        <w:numPr>
          <w:ilvl w:val="0"/>
          <w:numId w:val="35"/>
        </w:numPr>
        <w:spacing w:before="100" w:beforeAutospacing="1" w:after="120"/>
        <w:jc w:val="both"/>
        <w:rPr>
          <w:lang w:val="fr-FR"/>
        </w:rPr>
      </w:pPr>
      <w:r w:rsidRPr="00EA3C27">
        <w:rPr>
          <w:lang w:val="fr-FR"/>
        </w:rPr>
        <w:t xml:space="preserve">les responsables des </w:t>
      </w:r>
      <w:r w:rsidR="00F9332F" w:rsidRPr="00EA3C27">
        <w:rPr>
          <w:lang w:val="fr-FR"/>
        </w:rPr>
        <w:t>m</w:t>
      </w:r>
      <w:r w:rsidR="00EA445D" w:rsidRPr="00EA3C27">
        <w:rPr>
          <w:lang w:val="fr-FR"/>
        </w:rPr>
        <w:t>inistères</w:t>
      </w:r>
      <w:r w:rsidR="00F9332F" w:rsidRPr="00EA3C27">
        <w:rPr>
          <w:lang w:val="fr-FR"/>
        </w:rPr>
        <w:t xml:space="preserve"> centrafricain</w:t>
      </w:r>
      <w:r w:rsidRPr="00EA3C27">
        <w:rPr>
          <w:lang w:val="fr-FR"/>
        </w:rPr>
        <w:t xml:space="preserve">s sectoriels; </w:t>
      </w:r>
    </w:p>
    <w:p w:rsidR="00956EED" w:rsidRPr="00EA3C27" w:rsidRDefault="00956EED" w:rsidP="00270C0E">
      <w:pPr>
        <w:numPr>
          <w:ilvl w:val="0"/>
          <w:numId w:val="35"/>
        </w:numPr>
        <w:spacing w:before="100" w:beforeAutospacing="1" w:after="120"/>
        <w:jc w:val="both"/>
        <w:rPr>
          <w:lang w:val="fr-FR"/>
        </w:rPr>
      </w:pPr>
      <w:r w:rsidRPr="00EA3C27">
        <w:rPr>
          <w:lang w:val="fr-FR"/>
        </w:rPr>
        <w:t>ECHO</w:t>
      </w:r>
      <w:r w:rsidR="00F9332F" w:rsidRPr="00EA3C27">
        <w:rPr>
          <w:lang w:val="fr-FR"/>
        </w:rPr>
        <w:t>;</w:t>
      </w:r>
    </w:p>
    <w:p w:rsidR="00956EED" w:rsidRPr="00EA3C27" w:rsidRDefault="00956EED" w:rsidP="00270C0E">
      <w:pPr>
        <w:numPr>
          <w:ilvl w:val="0"/>
          <w:numId w:val="35"/>
        </w:numPr>
        <w:spacing w:before="100" w:beforeAutospacing="1" w:after="120"/>
        <w:jc w:val="both"/>
        <w:rPr>
          <w:lang w:val="fr-FR"/>
        </w:rPr>
      </w:pPr>
      <w:r w:rsidRPr="00EA3C27">
        <w:rPr>
          <w:lang w:val="fr-FR"/>
        </w:rPr>
        <w:t>OCHA</w:t>
      </w:r>
      <w:r w:rsidR="00F9332F" w:rsidRPr="00EA3C27">
        <w:rPr>
          <w:lang w:val="fr-FR"/>
        </w:rPr>
        <w:t>;</w:t>
      </w:r>
    </w:p>
    <w:p w:rsidR="00956EED" w:rsidRPr="00EA3C27" w:rsidRDefault="00956EED" w:rsidP="00270C0E">
      <w:pPr>
        <w:numPr>
          <w:ilvl w:val="0"/>
          <w:numId w:val="35"/>
        </w:numPr>
        <w:spacing w:before="100" w:beforeAutospacing="1" w:after="120"/>
        <w:jc w:val="both"/>
        <w:rPr>
          <w:lang w:val="fr-FR"/>
        </w:rPr>
      </w:pPr>
      <w:r w:rsidRPr="00EA3C27">
        <w:rPr>
          <w:lang w:val="fr-FR"/>
        </w:rPr>
        <w:t>Ba</w:t>
      </w:r>
      <w:r w:rsidR="00F9332F" w:rsidRPr="00EA3C27">
        <w:rPr>
          <w:lang w:val="fr-FR"/>
        </w:rPr>
        <w:t>nque m</w:t>
      </w:r>
      <w:r w:rsidRPr="00EA3C27">
        <w:rPr>
          <w:lang w:val="fr-FR"/>
        </w:rPr>
        <w:t>ondiale</w:t>
      </w:r>
      <w:r w:rsidR="00F9332F" w:rsidRPr="00EA3C27">
        <w:rPr>
          <w:lang w:val="fr-FR"/>
        </w:rPr>
        <w:t>;</w:t>
      </w:r>
    </w:p>
    <w:p w:rsidR="00956EED" w:rsidRPr="00EA3C27" w:rsidRDefault="00956EED" w:rsidP="00270C0E">
      <w:pPr>
        <w:numPr>
          <w:ilvl w:val="0"/>
          <w:numId w:val="35"/>
        </w:numPr>
        <w:spacing w:before="100" w:beforeAutospacing="1" w:after="120"/>
        <w:jc w:val="both"/>
        <w:rPr>
          <w:lang w:val="fr-FR"/>
        </w:rPr>
      </w:pPr>
      <w:r w:rsidRPr="00EA3C27">
        <w:rPr>
          <w:lang w:val="fr-FR"/>
        </w:rPr>
        <w:t>AFD</w:t>
      </w:r>
      <w:r w:rsidR="00F9332F" w:rsidRPr="00EA3C27">
        <w:rPr>
          <w:lang w:val="fr-FR"/>
        </w:rPr>
        <w:t>;</w:t>
      </w:r>
    </w:p>
    <w:p w:rsidR="00956EED" w:rsidRPr="00EA3C27" w:rsidRDefault="00956EED" w:rsidP="00270C0E">
      <w:pPr>
        <w:numPr>
          <w:ilvl w:val="0"/>
          <w:numId w:val="35"/>
        </w:numPr>
        <w:spacing w:before="100" w:beforeAutospacing="1" w:after="120"/>
        <w:jc w:val="both"/>
        <w:rPr>
          <w:lang w:val="fr-FR"/>
        </w:rPr>
      </w:pPr>
      <w:r w:rsidRPr="00EA3C27">
        <w:rPr>
          <w:lang w:val="fr-FR"/>
        </w:rPr>
        <w:t>MINUSCA</w:t>
      </w:r>
      <w:r w:rsidR="00EC45F2" w:rsidRPr="00EA3C27">
        <w:rPr>
          <w:lang w:val="fr-FR"/>
        </w:rPr>
        <w:t xml:space="preserve"> et Agences des Nations Unies</w:t>
      </w:r>
      <w:r w:rsidR="00F9332F" w:rsidRPr="00EA3C27">
        <w:rPr>
          <w:lang w:val="fr-FR"/>
        </w:rPr>
        <w:t>;</w:t>
      </w:r>
    </w:p>
    <w:p w:rsidR="00956EED" w:rsidRPr="00EA3C27" w:rsidRDefault="00956EED" w:rsidP="00270C0E">
      <w:pPr>
        <w:numPr>
          <w:ilvl w:val="0"/>
          <w:numId w:val="35"/>
        </w:numPr>
        <w:spacing w:before="100" w:beforeAutospacing="1" w:after="120"/>
        <w:jc w:val="both"/>
        <w:rPr>
          <w:lang w:val="fr-FR"/>
        </w:rPr>
      </w:pPr>
      <w:r w:rsidRPr="00EA3C27">
        <w:rPr>
          <w:lang w:val="fr-FR"/>
        </w:rPr>
        <w:t xml:space="preserve">Ambassade de </w:t>
      </w:r>
      <w:r w:rsidR="00F9332F" w:rsidRPr="00EA3C27">
        <w:rPr>
          <w:lang w:val="fr-FR"/>
        </w:rPr>
        <w:t>France;</w:t>
      </w:r>
      <w:r w:rsidRPr="00EA3C27">
        <w:rPr>
          <w:lang w:val="fr-FR"/>
        </w:rPr>
        <w:t xml:space="preserve"> </w:t>
      </w:r>
    </w:p>
    <w:p w:rsidR="00EC45F2" w:rsidRPr="00EA3C27" w:rsidRDefault="00EC45F2" w:rsidP="00270C0E">
      <w:pPr>
        <w:numPr>
          <w:ilvl w:val="0"/>
          <w:numId w:val="35"/>
        </w:numPr>
        <w:spacing w:before="100" w:beforeAutospacing="1" w:after="120"/>
        <w:jc w:val="both"/>
        <w:rPr>
          <w:lang w:val="fr-FR"/>
        </w:rPr>
      </w:pPr>
      <w:r w:rsidRPr="00EA3C27">
        <w:rPr>
          <w:lang w:val="fr-FR"/>
        </w:rPr>
        <w:t>Coop</w:t>
      </w:r>
      <w:r w:rsidR="00904763" w:rsidRPr="00EA3C27">
        <w:rPr>
          <w:lang w:val="fr-FR"/>
        </w:rPr>
        <w:t>é</w:t>
      </w:r>
      <w:r w:rsidRPr="00EA3C27">
        <w:rPr>
          <w:lang w:val="fr-FR"/>
        </w:rPr>
        <w:t>ration italienne</w:t>
      </w:r>
      <w:r w:rsidR="00F9332F" w:rsidRPr="00EA3C27">
        <w:rPr>
          <w:lang w:val="fr-FR"/>
        </w:rPr>
        <w:t>;</w:t>
      </w:r>
    </w:p>
    <w:p w:rsidR="00E56ACD" w:rsidRPr="00CF0F91" w:rsidRDefault="009C6B18" w:rsidP="00270C0E">
      <w:pPr>
        <w:numPr>
          <w:ilvl w:val="0"/>
          <w:numId w:val="35"/>
        </w:numPr>
        <w:spacing w:before="100" w:beforeAutospacing="1" w:after="120"/>
        <w:jc w:val="both"/>
        <w:rPr>
          <w:lang w:val="fr-FR"/>
        </w:rPr>
      </w:pPr>
      <w:r w:rsidRPr="00CF0F91">
        <w:rPr>
          <w:lang w:val="fr-FR"/>
        </w:rPr>
        <w:t>Coopération suisse (DDC)</w:t>
      </w:r>
      <w:r w:rsidR="00F9332F" w:rsidRPr="00CF0F91">
        <w:rPr>
          <w:lang w:val="fr-FR"/>
        </w:rPr>
        <w:t>;</w:t>
      </w:r>
    </w:p>
    <w:p w:rsidR="00EA445D" w:rsidRPr="00EA3C27" w:rsidRDefault="00EA445D" w:rsidP="00270C0E">
      <w:pPr>
        <w:numPr>
          <w:ilvl w:val="0"/>
          <w:numId w:val="35"/>
        </w:numPr>
        <w:spacing w:before="100" w:beforeAutospacing="1" w:after="120"/>
        <w:jc w:val="both"/>
        <w:rPr>
          <w:lang w:val="fr-FR"/>
        </w:rPr>
      </w:pPr>
      <w:r w:rsidRPr="00EA3C27">
        <w:rPr>
          <w:lang w:val="fr-FR"/>
        </w:rPr>
        <w:t>les membres de clusters</w:t>
      </w:r>
      <w:r w:rsidR="00F9332F" w:rsidRPr="00EA3C27">
        <w:rPr>
          <w:lang w:val="fr-FR"/>
        </w:rPr>
        <w:t>.</w:t>
      </w:r>
      <w:r w:rsidR="00740A96">
        <w:rPr>
          <w:lang w:val="fr-FR"/>
        </w:rPr>
        <w:t xml:space="preserve"> </w:t>
      </w:r>
    </w:p>
    <w:p w:rsidR="00B344B0" w:rsidRPr="00EA3C27" w:rsidRDefault="00BC153F" w:rsidP="00B97539">
      <w:pPr>
        <w:pStyle w:val="Heading1"/>
        <w:numPr>
          <w:ilvl w:val="0"/>
          <w:numId w:val="14"/>
        </w:numPr>
        <w:spacing w:before="240"/>
        <w:ind w:left="851" w:hanging="851"/>
        <w:rPr>
          <w:szCs w:val="24"/>
          <w:lang w:val="fr-FR"/>
        </w:rPr>
      </w:pPr>
      <w:r w:rsidRPr="00EA3C27">
        <w:rPr>
          <w:szCs w:val="24"/>
          <w:lang w:val="fr-FR"/>
        </w:rPr>
        <w:lastRenderedPageBreak/>
        <w:t>Description détaillée</w:t>
      </w:r>
    </w:p>
    <w:p w:rsidR="00B344B0" w:rsidRPr="00EA3C27" w:rsidRDefault="00B344B0" w:rsidP="00F9332F">
      <w:pPr>
        <w:pStyle w:val="Heading2"/>
        <w:numPr>
          <w:ilvl w:val="0"/>
          <w:numId w:val="0"/>
        </w:numPr>
        <w:spacing w:before="240"/>
        <w:rPr>
          <w:lang w:val="fr-FR"/>
        </w:rPr>
      </w:pPr>
      <w:r w:rsidRPr="00EA3C27">
        <w:rPr>
          <w:lang w:val="fr-FR"/>
        </w:rPr>
        <w:t>3.1</w:t>
      </w:r>
      <w:r w:rsidRPr="00EA3C27">
        <w:rPr>
          <w:lang w:val="fr-FR"/>
        </w:rPr>
        <w:tab/>
        <w:t xml:space="preserve"> Objectifs</w:t>
      </w:r>
    </w:p>
    <w:p w:rsidR="00B344B0" w:rsidRPr="00EA3C27" w:rsidRDefault="00B344B0" w:rsidP="00F9332F">
      <w:pPr>
        <w:spacing w:before="100" w:beforeAutospacing="1" w:after="120"/>
        <w:jc w:val="both"/>
        <w:rPr>
          <w:b/>
          <w:lang w:val="fr-FR"/>
        </w:rPr>
      </w:pPr>
      <w:r w:rsidRPr="00EA3C27">
        <w:rPr>
          <w:lang w:val="fr-FR"/>
        </w:rPr>
        <w:t xml:space="preserve">L’objectif général de ce programme est de </w:t>
      </w:r>
      <w:r w:rsidRPr="00EA3C27">
        <w:rPr>
          <w:b/>
          <w:lang w:val="fr-FR"/>
        </w:rPr>
        <w:t>favoriser la stabilisation et le relèvement de la société centrafricaine en renforçant les capacités locales et le dialogue à court et moyen terme</w:t>
      </w:r>
      <w:r w:rsidRPr="00EA3C27">
        <w:rPr>
          <w:lang w:val="fr-FR"/>
        </w:rPr>
        <w:t>.</w:t>
      </w:r>
      <w:r w:rsidR="00740A96">
        <w:rPr>
          <w:b/>
          <w:lang w:val="fr-FR"/>
        </w:rPr>
        <w:t xml:space="preserve"> </w:t>
      </w:r>
    </w:p>
    <w:p w:rsidR="00B344B0" w:rsidRPr="00EA3C27" w:rsidRDefault="00B344B0" w:rsidP="00F9332F">
      <w:pPr>
        <w:spacing w:before="100" w:beforeAutospacing="1" w:after="120"/>
        <w:jc w:val="both"/>
        <w:rPr>
          <w:lang w:val="fr-FR"/>
        </w:rPr>
      </w:pPr>
      <w:r w:rsidRPr="00EA3C27">
        <w:rPr>
          <w:lang w:val="fr-FR"/>
        </w:rPr>
        <w:t xml:space="preserve">Les actions prévues visent spécifiquement à : </w:t>
      </w:r>
    </w:p>
    <w:p w:rsidR="00731E71" w:rsidRPr="00EA3C27" w:rsidRDefault="00731E71" w:rsidP="00F9332F">
      <w:pPr>
        <w:spacing w:before="100" w:beforeAutospacing="1" w:after="120"/>
        <w:jc w:val="both"/>
        <w:rPr>
          <w:b/>
          <w:lang w:val="fr-FR"/>
        </w:rPr>
      </w:pPr>
      <w:r w:rsidRPr="00EA3C27">
        <w:rPr>
          <w:b/>
          <w:lang w:val="fr-FR"/>
        </w:rPr>
        <w:t>Composante 1</w:t>
      </w:r>
      <w:r w:rsidR="00A56EB9" w:rsidRPr="00EA3C27">
        <w:rPr>
          <w:b/>
          <w:lang w:val="fr-FR"/>
        </w:rPr>
        <w:t xml:space="preserve"> - renforcement des capacités </w:t>
      </w:r>
      <w:r w:rsidR="00C66AE7" w:rsidRPr="00EA3C27">
        <w:rPr>
          <w:b/>
          <w:lang w:val="fr-FR"/>
        </w:rPr>
        <w:t>de la société civile centrafricaine</w:t>
      </w:r>
    </w:p>
    <w:p w:rsidR="00731E71" w:rsidRPr="00EA3C27" w:rsidRDefault="00731E71" w:rsidP="00B97539">
      <w:pPr>
        <w:numPr>
          <w:ilvl w:val="0"/>
          <w:numId w:val="22"/>
        </w:numPr>
        <w:spacing w:before="100" w:beforeAutospacing="1" w:after="120"/>
        <w:jc w:val="both"/>
        <w:rPr>
          <w:lang w:val="fr-FR"/>
        </w:rPr>
      </w:pPr>
      <w:r w:rsidRPr="00EA3C27">
        <w:rPr>
          <w:lang w:val="fr-FR"/>
        </w:rPr>
        <w:t xml:space="preserve">Soutenir un rôle actif de la société civile, tant au niveau national qu'au niveau local, dans la mise en œuvre d'activités qui répondent à l'objectif général de favoriser le dialogue et la coexistence pacifique entre communautés; </w:t>
      </w:r>
    </w:p>
    <w:p w:rsidR="00731E71" w:rsidRPr="00EA3C27" w:rsidRDefault="00731E71" w:rsidP="00B97539">
      <w:pPr>
        <w:numPr>
          <w:ilvl w:val="0"/>
          <w:numId w:val="22"/>
        </w:numPr>
        <w:spacing w:before="100" w:beforeAutospacing="1" w:after="120"/>
        <w:jc w:val="both"/>
        <w:rPr>
          <w:lang w:val="fr-FR"/>
        </w:rPr>
      </w:pPr>
      <w:r w:rsidRPr="00EA3C27">
        <w:rPr>
          <w:lang w:val="fr-FR"/>
        </w:rPr>
        <w:t>Renforcer les capacités des organisations de la société civile, particulièrement celles engagées sur les aspects de réconciliation / cohésion sociale / médiation (gouvernance, responsa</w:t>
      </w:r>
      <w:r w:rsidR="00F9332F" w:rsidRPr="00EA3C27">
        <w:rPr>
          <w:lang w:val="fr-FR"/>
        </w:rPr>
        <w:t>bilité financière, transparence, etc.</w:t>
      </w:r>
      <w:r w:rsidRPr="00EA3C27">
        <w:rPr>
          <w:lang w:val="fr-FR"/>
        </w:rPr>
        <w:t>)</w:t>
      </w:r>
      <w:r w:rsidR="00F9332F" w:rsidRPr="00EA3C27">
        <w:rPr>
          <w:lang w:val="fr-FR"/>
        </w:rPr>
        <w:t>,</w:t>
      </w:r>
      <w:r w:rsidR="00AC428B" w:rsidRPr="00EA3C27">
        <w:rPr>
          <w:lang w:val="fr-FR"/>
        </w:rPr>
        <w:t xml:space="preserve"> afin qu'elles puissent jouer un </w:t>
      </w:r>
      <w:r w:rsidR="00EA445D" w:rsidRPr="00EA3C27">
        <w:rPr>
          <w:lang w:val="fr-FR"/>
        </w:rPr>
        <w:t>rôle</w:t>
      </w:r>
      <w:r w:rsidR="00AC428B" w:rsidRPr="00EA3C27">
        <w:rPr>
          <w:lang w:val="fr-FR"/>
        </w:rPr>
        <w:t xml:space="preserve"> actif dans la mise en </w:t>
      </w:r>
      <w:r w:rsidR="00EF0E1B" w:rsidRPr="00EA3C27">
        <w:rPr>
          <w:lang w:val="fr-FR"/>
        </w:rPr>
        <w:t>œuvre</w:t>
      </w:r>
      <w:r w:rsidR="00AC428B" w:rsidRPr="00EA3C27">
        <w:rPr>
          <w:lang w:val="fr-FR"/>
        </w:rPr>
        <w:t xml:space="preserve"> et le suivi du RCPCA</w:t>
      </w:r>
      <w:r w:rsidR="00F9332F" w:rsidRPr="00EA3C27">
        <w:rPr>
          <w:lang w:val="fr-FR"/>
        </w:rPr>
        <w:t xml:space="preserve">. </w:t>
      </w:r>
    </w:p>
    <w:p w:rsidR="00A56EB9" w:rsidRPr="00EA3C27" w:rsidRDefault="00731E71" w:rsidP="00F9332F">
      <w:pPr>
        <w:spacing w:before="100" w:beforeAutospacing="1" w:after="120"/>
        <w:jc w:val="both"/>
        <w:rPr>
          <w:b/>
          <w:lang w:val="fr-FR"/>
        </w:rPr>
      </w:pPr>
      <w:r w:rsidRPr="00EA3C27">
        <w:rPr>
          <w:b/>
          <w:lang w:val="fr-FR"/>
        </w:rPr>
        <w:t xml:space="preserve">Composante 2 </w:t>
      </w:r>
      <w:r w:rsidR="00A56EB9" w:rsidRPr="00EA3C27">
        <w:rPr>
          <w:b/>
          <w:lang w:val="fr-FR"/>
        </w:rPr>
        <w:t xml:space="preserve">- appui au </w:t>
      </w:r>
      <w:r w:rsidR="00EF0E1B" w:rsidRPr="00EA3C27">
        <w:rPr>
          <w:b/>
          <w:lang w:val="fr-FR"/>
        </w:rPr>
        <w:t>redéploiement</w:t>
      </w:r>
      <w:r w:rsidR="00A56EB9" w:rsidRPr="00EA3C27">
        <w:rPr>
          <w:b/>
          <w:lang w:val="fr-FR"/>
        </w:rPr>
        <w:t xml:space="preserve"> des autorités locales et promotion de la </w:t>
      </w:r>
      <w:r w:rsidR="00EF0E1B" w:rsidRPr="00EA3C27">
        <w:rPr>
          <w:b/>
          <w:lang w:val="fr-FR"/>
        </w:rPr>
        <w:t>cohésion</w:t>
      </w:r>
      <w:r w:rsidR="00A56EB9" w:rsidRPr="00EA3C27">
        <w:rPr>
          <w:b/>
          <w:lang w:val="fr-FR"/>
        </w:rPr>
        <w:t xml:space="preserve"> sociale </w:t>
      </w:r>
    </w:p>
    <w:p w:rsidR="00731E71" w:rsidRPr="00EA3C27" w:rsidRDefault="00B344B0" w:rsidP="00B97539">
      <w:pPr>
        <w:numPr>
          <w:ilvl w:val="0"/>
          <w:numId w:val="23"/>
        </w:numPr>
        <w:spacing w:before="100" w:beforeAutospacing="1" w:after="120"/>
        <w:jc w:val="both"/>
        <w:rPr>
          <w:lang w:val="fr-FR"/>
        </w:rPr>
      </w:pPr>
      <w:r w:rsidRPr="00EA3C27">
        <w:rPr>
          <w:lang w:val="fr-FR"/>
        </w:rPr>
        <w:t>Accompagner le redéploiement des services déconcentrés et renforcer les pouvoirs locaux;</w:t>
      </w:r>
    </w:p>
    <w:p w:rsidR="00DB4A6A" w:rsidRPr="00EA3C27" w:rsidRDefault="00DB4A6A" w:rsidP="00B97539">
      <w:pPr>
        <w:numPr>
          <w:ilvl w:val="0"/>
          <w:numId w:val="23"/>
        </w:numPr>
        <w:spacing w:before="100" w:beforeAutospacing="1" w:after="120"/>
        <w:jc w:val="both"/>
        <w:rPr>
          <w:lang w:val="fr-FR"/>
        </w:rPr>
      </w:pPr>
      <w:r w:rsidRPr="00EA3C27">
        <w:rPr>
          <w:lang w:val="fr-FR"/>
        </w:rPr>
        <w:t>Faciliter l'accès au droit</w:t>
      </w:r>
      <w:r w:rsidR="00293E7F" w:rsidRPr="00EA3C27">
        <w:rPr>
          <w:lang w:val="fr-FR"/>
        </w:rPr>
        <w:t xml:space="preserve"> et aux mécanismes de médiation</w:t>
      </w:r>
      <w:r w:rsidRPr="00EA3C27">
        <w:rPr>
          <w:lang w:val="fr-FR"/>
        </w:rPr>
        <w:t>;</w:t>
      </w:r>
    </w:p>
    <w:p w:rsidR="00DB4A6A" w:rsidRPr="00EA3C27" w:rsidRDefault="00DB4A6A" w:rsidP="00B97539">
      <w:pPr>
        <w:numPr>
          <w:ilvl w:val="0"/>
          <w:numId w:val="23"/>
        </w:numPr>
        <w:spacing w:before="100" w:beforeAutospacing="1" w:after="120"/>
        <w:jc w:val="both"/>
        <w:rPr>
          <w:lang w:val="fr-FR"/>
        </w:rPr>
      </w:pPr>
      <w:r w:rsidRPr="00EA3C27">
        <w:rPr>
          <w:lang w:val="fr-FR"/>
        </w:rPr>
        <w:t>Appuyer la participation des médias a</w:t>
      </w:r>
      <w:r w:rsidR="00293E7F" w:rsidRPr="00EA3C27">
        <w:rPr>
          <w:lang w:val="fr-FR"/>
        </w:rPr>
        <w:t>u processus de cohésion sociale</w:t>
      </w:r>
      <w:r w:rsidRPr="00EA3C27">
        <w:rPr>
          <w:lang w:val="fr-FR"/>
        </w:rPr>
        <w:t>;</w:t>
      </w:r>
    </w:p>
    <w:p w:rsidR="00DB4A6A" w:rsidRPr="00EA3C27" w:rsidRDefault="00DB4A6A" w:rsidP="00B97539">
      <w:pPr>
        <w:numPr>
          <w:ilvl w:val="0"/>
          <w:numId w:val="23"/>
        </w:numPr>
        <w:spacing w:before="100" w:beforeAutospacing="1" w:after="120"/>
        <w:jc w:val="both"/>
        <w:rPr>
          <w:lang w:val="fr-FR"/>
        </w:rPr>
      </w:pPr>
      <w:r w:rsidRPr="00EA3C27">
        <w:rPr>
          <w:lang w:val="fr-FR"/>
        </w:rPr>
        <w:t>Favoriser la délivrance des services de base et la relance économique en soutenant des microprojets émergeant des cadres de concertation de base</w:t>
      </w:r>
      <w:r w:rsidR="00F9332F" w:rsidRPr="00EA3C27">
        <w:rPr>
          <w:lang w:val="fr-FR"/>
        </w:rPr>
        <w:t xml:space="preserve">. </w:t>
      </w:r>
    </w:p>
    <w:p w:rsidR="00731E71" w:rsidRPr="00EA3C27" w:rsidRDefault="00731E71" w:rsidP="00F9332F">
      <w:pPr>
        <w:spacing w:before="100" w:beforeAutospacing="1" w:after="120"/>
        <w:jc w:val="both"/>
        <w:rPr>
          <w:b/>
          <w:lang w:val="fr-FR"/>
        </w:rPr>
      </w:pPr>
      <w:r w:rsidRPr="00EA3C27">
        <w:rPr>
          <w:b/>
          <w:lang w:val="fr-FR"/>
        </w:rPr>
        <w:t>Composante 3</w:t>
      </w:r>
      <w:r w:rsidR="00A56EB9" w:rsidRPr="00EA3C27">
        <w:rPr>
          <w:b/>
          <w:lang w:val="fr-FR"/>
        </w:rPr>
        <w:t xml:space="preserve"> -</w:t>
      </w:r>
      <w:r w:rsidR="00A56EB9" w:rsidRPr="00EA3C27">
        <w:rPr>
          <w:rFonts w:eastAsia="Calibri"/>
          <w:b/>
          <w:lang w:val="fr-FR" w:eastAsia="en-US"/>
        </w:rPr>
        <w:t xml:space="preserve"> </w:t>
      </w:r>
      <w:r w:rsidR="00A56EB9" w:rsidRPr="00EA3C27">
        <w:rPr>
          <w:b/>
          <w:lang w:val="fr-FR"/>
        </w:rPr>
        <w:t>appui au retour des PDI et réfugiés centrafricains</w:t>
      </w:r>
    </w:p>
    <w:p w:rsidR="00731E71" w:rsidRPr="00EA3C27" w:rsidRDefault="00731E71" w:rsidP="00B97539">
      <w:pPr>
        <w:numPr>
          <w:ilvl w:val="0"/>
          <w:numId w:val="24"/>
        </w:numPr>
        <w:spacing w:before="100" w:beforeAutospacing="1" w:after="120"/>
        <w:jc w:val="both"/>
        <w:rPr>
          <w:lang w:val="fr-FR"/>
        </w:rPr>
      </w:pPr>
      <w:r w:rsidRPr="00EA3C27">
        <w:rPr>
          <w:lang w:val="fr-FR"/>
        </w:rPr>
        <w:t xml:space="preserve">Soutenir un processus de retour digne et inclusif qui puisse favoriser la coexistence pacifique entre communautés et la résilience des communautés de base; </w:t>
      </w:r>
    </w:p>
    <w:p w:rsidR="00DB4A6A" w:rsidRPr="00EA3C27" w:rsidRDefault="00AC428B" w:rsidP="00B97539">
      <w:pPr>
        <w:numPr>
          <w:ilvl w:val="0"/>
          <w:numId w:val="24"/>
        </w:numPr>
        <w:spacing w:before="100" w:beforeAutospacing="1" w:after="120"/>
        <w:jc w:val="both"/>
        <w:rPr>
          <w:lang w:val="fr-FR"/>
        </w:rPr>
      </w:pPr>
      <w:r w:rsidRPr="00EA3C27">
        <w:rPr>
          <w:lang w:val="fr-FR"/>
        </w:rPr>
        <w:t xml:space="preserve">Accompagner les communautés de base dans le processus de </w:t>
      </w:r>
      <w:r w:rsidR="00EA445D" w:rsidRPr="00EA3C27">
        <w:rPr>
          <w:lang w:val="fr-FR"/>
        </w:rPr>
        <w:t>réintégration</w:t>
      </w:r>
      <w:r w:rsidRPr="00EA3C27">
        <w:rPr>
          <w:lang w:val="fr-FR"/>
        </w:rPr>
        <w:t xml:space="preserve"> via un meilleur </w:t>
      </w:r>
      <w:r w:rsidR="00EA445D" w:rsidRPr="00EA3C27">
        <w:rPr>
          <w:lang w:val="fr-FR"/>
        </w:rPr>
        <w:t>accès</w:t>
      </w:r>
      <w:r w:rsidRPr="00EA3C27">
        <w:rPr>
          <w:lang w:val="fr-FR"/>
        </w:rPr>
        <w:t xml:space="preserve"> aux services de base et aux opportunités </w:t>
      </w:r>
      <w:r w:rsidR="00EA445D" w:rsidRPr="00EA3C27">
        <w:rPr>
          <w:lang w:val="fr-FR"/>
        </w:rPr>
        <w:t>économiques</w:t>
      </w:r>
      <w:r w:rsidRPr="00EA3C27">
        <w:rPr>
          <w:lang w:val="fr-FR"/>
        </w:rPr>
        <w:t xml:space="preserve"> d'emploi</w:t>
      </w:r>
      <w:r w:rsidR="00F9332F" w:rsidRPr="00EA3C27">
        <w:rPr>
          <w:lang w:val="fr-FR"/>
        </w:rPr>
        <w:t xml:space="preserve">. </w:t>
      </w:r>
    </w:p>
    <w:p w:rsidR="00731E71" w:rsidRPr="00EA3C27" w:rsidRDefault="00731E71" w:rsidP="00F9332F">
      <w:pPr>
        <w:spacing w:before="100" w:beforeAutospacing="1" w:after="120"/>
        <w:jc w:val="both"/>
        <w:rPr>
          <w:b/>
          <w:lang w:val="fr-FR"/>
        </w:rPr>
      </w:pPr>
      <w:r w:rsidRPr="00EA3C27">
        <w:rPr>
          <w:b/>
          <w:lang w:val="fr-FR"/>
        </w:rPr>
        <w:t>Composante 4</w:t>
      </w:r>
      <w:r w:rsidR="00A56EB9" w:rsidRPr="00EA3C27">
        <w:rPr>
          <w:b/>
          <w:lang w:val="fr-FR"/>
        </w:rPr>
        <w:t xml:space="preserve"> - </w:t>
      </w:r>
      <w:r w:rsidR="000B0569" w:rsidRPr="00EA3C27">
        <w:rPr>
          <w:b/>
          <w:lang w:val="fr-FR"/>
        </w:rPr>
        <w:t xml:space="preserve">soutien </w:t>
      </w:r>
      <w:r w:rsidR="00A56EB9" w:rsidRPr="00EA3C27">
        <w:rPr>
          <w:b/>
          <w:lang w:val="fr-FR"/>
        </w:rPr>
        <w:t>aux medias centrafricains</w:t>
      </w:r>
      <w:r w:rsidR="00740A96">
        <w:rPr>
          <w:b/>
          <w:lang w:val="fr-FR"/>
        </w:rPr>
        <w:t xml:space="preserve"> </w:t>
      </w:r>
    </w:p>
    <w:p w:rsidR="00045818" w:rsidRPr="00EA3C27" w:rsidRDefault="00B344B0" w:rsidP="00B97539">
      <w:pPr>
        <w:numPr>
          <w:ilvl w:val="0"/>
          <w:numId w:val="25"/>
        </w:numPr>
        <w:spacing w:before="100" w:beforeAutospacing="1" w:after="120"/>
        <w:jc w:val="both"/>
        <w:rPr>
          <w:lang w:val="fr-FR"/>
        </w:rPr>
      </w:pPr>
      <w:r w:rsidRPr="00EA3C27">
        <w:rPr>
          <w:lang w:val="fr-FR"/>
        </w:rPr>
        <w:t>Soutenir le réseau des radios communautaires centrafricaines pour mieux informer la population et pour valoriser des initiatives de réconciliation et reconstruction du pays;</w:t>
      </w:r>
    </w:p>
    <w:p w:rsidR="00045818" w:rsidRPr="00EA3C27" w:rsidRDefault="00B344B0" w:rsidP="00B97539">
      <w:pPr>
        <w:numPr>
          <w:ilvl w:val="0"/>
          <w:numId w:val="25"/>
        </w:numPr>
        <w:spacing w:before="100" w:beforeAutospacing="1" w:after="120"/>
        <w:jc w:val="both"/>
        <w:rPr>
          <w:lang w:val="fr-FR"/>
        </w:rPr>
      </w:pPr>
      <w:r w:rsidRPr="00EA3C27">
        <w:rPr>
          <w:lang w:val="fr-FR"/>
        </w:rPr>
        <w:t xml:space="preserve">Renforcer Radio </w:t>
      </w:r>
      <w:proofErr w:type="spellStart"/>
      <w:r w:rsidRPr="00EA3C27">
        <w:rPr>
          <w:lang w:val="fr-FR"/>
        </w:rPr>
        <w:t>Nde</w:t>
      </w:r>
      <w:r w:rsidR="00896F82" w:rsidRPr="00EA3C27">
        <w:rPr>
          <w:lang w:val="fr-FR"/>
        </w:rPr>
        <w:t>k</w:t>
      </w:r>
      <w:r w:rsidRPr="00EA3C27">
        <w:rPr>
          <w:lang w:val="fr-FR"/>
        </w:rPr>
        <w:t>e</w:t>
      </w:r>
      <w:proofErr w:type="spellEnd"/>
      <w:r w:rsidRPr="00EA3C27">
        <w:rPr>
          <w:lang w:val="fr-FR"/>
        </w:rPr>
        <w:t xml:space="preserve"> Luka, pour permettre à la population de participer au débat et d'avoir accès à une information correcte et indépendante</w:t>
      </w:r>
      <w:r w:rsidR="00391EE2" w:rsidRPr="00EA3C27">
        <w:rPr>
          <w:lang w:val="fr-FR"/>
        </w:rPr>
        <w:t>;</w:t>
      </w:r>
    </w:p>
    <w:p w:rsidR="00D64360" w:rsidRPr="00EA3C27" w:rsidRDefault="00391EE2" w:rsidP="00B97539">
      <w:pPr>
        <w:numPr>
          <w:ilvl w:val="0"/>
          <w:numId w:val="25"/>
        </w:numPr>
        <w:spacing w:before="100" w:beforeAutospacing="1" w:after="120"/>
        <w:jc w:val="both"/>
        <w:rPr>
          <w:lang w:val="fr-FR"/>
        </w:rPr>
      </w:pPr>
      <w:r w:rsidRPr="00EA3C27">
        <w:rPr>
          <w:lang w:val="fr-FR"/>
        </w:rPr>
        <w:t>Renforcer le cadre de régulation des medias centrafricains</w:t>
      </w:r>
      <w:r w:rsidR="001877D3" w:rsidRPr="00EA3C27">
        <w:rPr>
          <w:lang w:val="fr-FR"/>
        </w:rPr>
        <w:t xml:space="preserve">. </w:t>
      </w:r>
    </w:p>
    <w:p w:rsidR="00425649" w:rsidRPr="00EA3C27" w:rsidRDefault="00937582" w:rsidP="00B97539">
      <w:pPr>
        <w:pStyle w:val="Heading2"/>
        <w:numPr>
          <w:ilvl w:val="1"/>
          <w:numId w:val="15"/>
        </w:numPr>
        <w:spacing w:before="240"/>
        <w:ind w:left="851" w:hanging="851"/>
        <w:rPr>
          <w:lang w:val="fr-FR"/>
        </w:rPr>
      </w:pPr>
      <w:r w:rsidRPr="00EA3C27">
        <w:rPr>
          <w:lang w:val="fr-FR"/>
        </w:rPr>
        <w:lastRenderedPageBreak/>
        <w:t>Résultats escomptés et principales activités</w:t>
      </w:r>
    </w:p>
    <w:p w:rsidR="00425649" w:rsidRPr="00EA3C27" w:rsidRDefault="00425649" w:rsidP="00924540">
      <w:pPr>
        <w:pStyle w:val="Text2"/>
        <w:spacing w:before="240"/>
        <w:ind w:left="0"/>
        <w:rPr>
          <w:b/>
          <w:u w:val="single"/>
          <w:lang w:val="fr-FR"/>
        </w:rPr>
      </w:pPr>
      <w:r w:rsidRPr="00EA3C27">
        <w:rPr>
          <w:b/>
          <w:u w:val="single"/>
          <w:lang w:val="fr-FR"/>
        </w:rPr>
        <w:t xml:space="preserve">Composante 1 : </w:t>
      </w:r>
      <w:r w:rsidR="00D115EC" w:rsidRPr="00EA3C27">
        <w:rPr>
          <w:b/>
          <w:u w:val="single"/>
          <w:lang w:val="fr-FR"/>
        </w:rPr>
        <w:t xml:space="preserve">renforcement des capacités </w:t>
      </w:r>
      <w:r w:rsidR="00C66AE7" w:rsidRPr="00EA3C27">
        <w:rPr>
          <w:b/>
          <w:u w:val="single"/>
          <w:lang w:val="fr-FR"/>
        </w:rPr>
        <w:t>de la société civile centrafricaine</w:t>
      </w:r>
    </w:p>
    <w:p w:rsidR="000B344A" w:rsidRPr="00EA3C27" w:rsidRDefault="000B344A" w:rsidP="000B344A">
      <w:pPr>
        <w:spacing w:before="100" w:beforeAutospacing="1" w:after="120"/>
        <w:jc w:val="both"/>
        <w:rPr>
          <w:lang w:val="fr-FR"/>
        </w:rPr>
      </w:pPr>
      <w:r w:rsidRPr="00EA3C27">
        <w:rPr>
          <w:lang w:val="fr-FR"/>
        </w:rPr>
        <w:t>La réconciliation et la cohésion sociale passent par des initiatives menées au plus proche des populations, avec et au profit des organisations de la société civile. La société civile centrafricaine, bien que fragile</w:t>
      </w:r>
      <w:r w:rsidR="00851228" w:rsidRPr="00EA3C27">
        <w:rPr>
          <w:lang w:val="fr-FR"/>
        </w:rPr>
        <w:t xml:space="preserve"> et très concentrée sur Bangui</w:t>
      </w:r>
      <w:r w:rsidRPr="00EA3C27">
        <w:rPr>
          <w:lang w:val="fr-FR"/>
        </w:rPr>
        <w:t>, reste le principal moyen d'expression et de mobilisation des diverses composantes de la société.</w:t>
      </w:r>
    </w:p>
    <w:p w:rsidR="000B344A" w:rsidRPr="00EA3C27" w:rsidRDefault="000B344A" w:rsidP="000B344A">
      <w:pPr>
        <w:suppressAutoHyphens w:val="0"/>
        <w:autoSpaceDE w:val="0"/>
        <w:autoSpaceDN w:val="0"/>
        <w:adjustRightInd w:val="0"/>
        <w:spacing w:before="100" w:beforeAutospacing="1" w:after="120"/>
        <w:jc w:val="both"/>
        <w:rPr>
          <w:lang w:val="fr-FR"/>
        </w:rPr>
      </w:pPr>
      <w:r w:rsidRPr="00EA3C27">
        <w:rPr>
          <w:lang w:val="fr-FR"/>
        </w:rPr>
        <w:t>Les organisations de la société civ</w:t>
      </w:r>
      <w:r w:rsidR="00851228" w:rsidRPr="00EA3C27">
        <w:rPr>
          <w:lang w:val="fr-FR"/>
        </w:rPr>
        <w:t>ile (OSC)</w:t>
      </w:r>
      <w:r w:rsidR="00C1228F" w:rsidRPr="00EA3C27">
        <w:rPr>
          <w:lang w:val="fr-FR"/>
        </w:rPr>
        <w:t>, aussi bien</w:t>
      </w:r>
      <w:r w:rsidR="00E739EC" w:rsidRPr="00EA3C27">
        <w:rPr>
          <w:lang w:val="fr-FR"/>
        </w:rPr>
        <w:t xml:space="preserve"> au niveau</w:t>
      </w:r>
      <w:r w:rsidR="00C1228F" w:rsidRPr="00EA3C27">
        <w:rPr>
          <w:lang w:val="fr-FR"/>
        </w:rPr>
        <w:t xml:space="preserve"> de base qu'intermédiaires,</w:t>
      </w:r>
      <w:r w:rsidR="00851228" w:rsidRPr="00EA3C27">
        <w:rPr>
          <w:lang w:val="fr-FR"/>
        </w:rPr>
        <w:t xml:space="preserve"> sont </w:t>
      </w:r>
      <w:r w:rsidRPr="00EA3C27">
        <w:rPr>
          <w:lang w:val="fr-FR"/>
        </w:rPr>
        <w:t>confrontées</w:t>
      </w:r>
      <w:r w:rsidR="00851228" w:rsidRPr="00EA3C27">
        <w:rPr>
          <w:lang w:val="fr-FR"/>
        </w:rPr>
        <w:t xml:space="preserve"> en particulier</w:t>
      </w:r>
      <w:r w:rsidRPr="00EA3C27">
        <w:rPr>
          <w:lang w:val="fr-FR"/>
        </w:rPr>
        <w:t xml:space="preserve"> à des faiblesses structurelles</w:t>
      </w:r>
      <w:r w:rsidR="00C1228F" w:rsidRPr="00EA3C27">
        <w:rPr>
          <w:lang w:val="fr-FR"/>
        </w:rPr>
        <w:t>;</w:t>
      </w:r>
      <w:r w:rsidR="00EC45F2" w:rsidRPr="00EA3C27">
        <w:rPr>
          <w:lang w:val="fr-FR"/>
        </w:rPr>
        <w:t xml:space="preserve"> </w:t>
      </w:r>
      <w:r w:rsidRPr="00EA3C27">
        <w:rPr>
          <w:lang w:val="fr-FR"/>
        </w:rPr>
        <w:t xml:space="preserve">le mouvement associatif centrafricain a du mal à trouver un positionnement stratégique correct au sein du contexte centrafricain </w:t>
      </w:r>
      <w:r w:rsidR="00EC45F2" w:rsidRPr="00EA3C27">
        <w:rPr>
          <w:lang w:val="fr-FR"/>
        </w:rPr>
        <w:t>et à appliquer d</w:t>
      </w:r>
      <w:r w:rsidRPr="00EA3C27">
        <w:rPr>
          <w:lang w:val="fr-FR"/>
        </w:rPr>
        <w:t xml:space="preserve">es modèles </w:t>
      </w:r>
      <w:r w:rsidR="00EC45F2" w:rsidRPr="00EA3C27">
        <w:rPr>
          <w:lang w:val="fr-FR"/>
        </w:rPr>
        <w:t xml:space="preserve">adaptés </w:t>
      </w:r>
      <w:r w:rsidRPr="00EA3C27">
        <w:rPr>
          <w:lang w:val="fr-FR"/>
        </w:rPr>
        <w:t>pour l’identification de solutions efficaces pour l’avenir du pays.</w:t>
      </w:r>
    </w:p>
    <w:p w:rsidR="000B344A" w:rsidRPr="00EA3C27" w:rsidRDefault="00851228" w:rsidP="00293E7F">
      <w:pPr>
        <w:suppressAutoHyphens w:val="0"/>
        <w:autoSpaceDE w:val="0"/>
        <w:autoSpaceDN w:val="0"/>
        <w:adjustRightInd w:val="0"/>
        <w:spacing w:before="100" w:beforeAutospacing="1" w:after="120"/>
        <w:jc w:val="both"/>
        <w:rPr>
          <w:lang w:val="fr-FR"/>
        </w:rPr>
      </w:pPr>
      <w:r w:rsidRPr="00EA3C27">
        <w:rPr>
          <w:lang w:val="fr-FR"/>
        </w:rPr>
        <w:t>Quant au</w:t>
      </w:r>
      <w:r w:rsidR="000B344A" w:rsidRPr="00EA3C27">
        <w:rPr>
          <w:lang w:val="fr-FR"/>
        </w:rPr>
        <w:t xml:space="preserve"> niveau des organisations intermédiaires et d’accompagnement, l’analyse</w:t>
      </w:r>
      <w:r w:rsidR="000E0374" w:rsidRPr="00EA3C27">
        <w:rPr>
          <w:lang w:val="fr-FR"/>
        </w:rPr>
        <w:t xml:space="preserve"> par </w:t>
      </w:r>
      <w:r w:rsidR="00767264" w:rsidRPr="00EA3C27">
        <w:rPr>
          <w:lang w:val="fr-FR"/>
        </w:rPr>
        <w:t>l'"</w:t>
      </w:r>
      <w:r w:rsidR="000E0374" w:rsidRPr="00EA3C27">
        <w:rPr>
          <w:lang w:val="fr-FR"/>
        </w:rPr>
        <w:t>Etude relative à l'évaluation de l'action des ONG en République centrafricaine dans l'optique du renforcement de leurs capacités d'intervention" (</w:t>
      </w:r>
      <w:proofErr w:type="spellStart"/>
      <w:r w:rsidR="000E0374" w:rsidRPr="00EA3C27">
        <w:rPr>
          <w:lang w:val="fr-FR"/>
        </w:rPr>
        <w:t>Berenschot</w:t>
      </w:r>
      <w:proofErr w:type="spellEnd"/>
      <w:r w:rsidR="000E0374" w:rsidRPr="00EA3C27">
        <w:rPr>
          <w:lang w:val="fr-FR"/>
        </w:rPr>
        <w:t xml:space="preserve"> International </w:t>
      </w:r>
      <w:r w:rsidR="006C15D5" w:rsidRPr="00EA3C27">
        <w:rPr>
          <w:lang w:val="fr-FR"/>
        </w:rPr>
        <w:t>Solutions</w:t>
      </w:r>
      <w:r w:rsidR="000E0374" w:rsidRPr="00EA3C27">
        <w:rPr>
          <w:lang w:val="fr-FR"/>
        </w:rPr>
        <w:t>, 2008)</w:t>
      </w:r>
      <w:r w:rsidR="000B344A" w:rsidRPr="00EA3C27">
        <w:rPr>
          <w:lang w:val="fr-FR"/>
        </w:rPr>
        <w:t xml:space="preserve"> a mis en évidence des pro</w:t>
      </w:r>
      <w:r w:rsidRPr="00EA3C27">
        <w:rPr>
          <w:lang w:val="fr-FR"/>
        </w:rPr>
        <w:t xml:space="preserve">blèmes importants en termes de </w:t>
      </w:r>
      <w:r w:rsidR="000B344A" w:rsidRPr="00EA3C27">
        <w:rPr>
          <w:lang w:val="fr-FR"/>
        </w:rPr>
        <w:t>ressources financières et humaines</w:t>
      </w:r>
      <w:r w:rsidRPr="00EA3C27">
        <w:rPr>
          <w:lang w:val="fr-FR"/>
        </w:rPr>
        <w:t>. Le premier facteur</w:t>
      </w:r>
      <w:r w:rsidR="000B344A" w:rsidRPr="00EA3C27">
        <w:rPr>
          <w:lang w:val="fr-FR"/>
        </w:rPr>
        <w:t xml:space="preserve"> </w:t>
      </w:r>
      <w:r w:rsidRPr="00EA3C27">
        <w:rPr>
          <w:lang w:val="fr-FR"/>
        </w:rPr>
        <w:t>paralyse</w:t>
      </w:r>
      <w:r w:rsidR="000B344A" w:rsidRPr="00EA3C27">
        <w:rPr>
          <w:lang w:val="fr-FR"/>
        </w:rPr>
        <w:t xml:space="preserve"> ces organisations dans leurs activités, le deuxième est le résultat d’une tendance des partenaires internationaux à drainer les cadres les plus compétents des structures nationales. </w:t>
      </w:r>
    </w:p>
    <w:p w:rsidR="00425859" w:rsidRPr="00EA3C27" w:rsidRDefault="00BF0323" w:rsidP="00767264">
      <w:pPr>
        <w:spacing w:before="100" w:beforeAutospacing="1" w:after="120"/>
        <w:jc w:val="both"/>
        <w:rPr>
          <w:lang w:val="fr-FR"/>
        </w:rPr>
      </w:pPr>
      <w:r w:rsidRPr="00EA3C27">
        <w:rPr>
          <w:lang w:val="fr-FR"/>
        </w:rPr>
        <w:t>L</w:t>
      </w:r>
      <w:r w:rsidR="00F05679" w:rsidRPr="00EA3C27">
        <w:rPr>
          <w:lang w:val="fr-FR"/>
        </w:rPr>
        <w:t xml:space="preserve">es </w:t>
      </w:r>
      <w:r w:rsidR="00AC4255" w:rsidRPr="00EA3C27">
        <w:rPr>
          <w:lang w:val="fr-FR"/>
        </w:rPr>
        <w:t xml:space="preserve">trois </w:t>
      </w:r>
      <w:r w:rsidR="00F05679" w:rsidRPr="00EA3C27">
        <w:rPr>
          <w:lang w:val="fr-FR"/>
        </w:rPr>
        <w:t>plateformes nationales d'ONG centrafricaines</w:t>
      </w:r>
      <w:r w:rsidRPr="00EA3C27">
        <w:rPr>
          <w:lang w:val="fr-FR"/>
        </w:rPr>
        <w:t xml:space="preserve"> et leurs OSC membres,</w:t>
      </w:r>
      <w:r w:rsidR="00F05679" w:rsidRPr="00EA3C27">
        <w:rPr>
          <w:lang w:val="fr-FR"/>
        </w:rPr>
        <w:t xml:space="preserve"> </w:t>
      </w:r>
      <w:r w:rsidR="00AC4255" w:rsidRPr="00EA3C27">
        <w:rPr>
          <w:lang w:val="fr-FR"/>
        </w:rPr>
        <w:t>rencontrées</w:t>
      </w:r>
      <w:r w:rsidR="00740A96">
        <w:rPr>
          <w:lang w:val="fr-FR"/>
        </w:rPr>
        <w:t xml:space="preserve"> </w:t>
      </w:r>
      <w:r w:rsidRPr="00EA3C27">
        <w:rPr>
          <w:lang w:val="fr-FR"/>
        </w:rPr>
        <w:t>lors d'une mission d'identification d'un projet de renforcement des capacités de la société civile par le Fonds Bêkou du 1</w:t>
      </w:r>
      <w:r w:rsidRPr="00EA3C27">
        <w:rPr>
          <w:vertAlign w:val="superscript"/>
          <w:lang w:val="fr-FR"/>
        </w:rPr>
        <w:t>er</w:t>
      </w:r>
      <w:r w:rsidRPr="00EA3C27">
        <w:rPr>
          <w:lang w:val="fr-FR"/>
        </w:rPr>
        <w:t xml:space="preserve"> au 7 février 2017,</w:t>
      </w:r>
      <w:r w:rsidR="00767264" w:rsidRPr="00EA3C27">
        <w:rPr>
          <w:lang w:val="fr-FR"/>
        </w:rPr>
        <w:t xml:space="preserve"> </w:t>
      </w:r>
      <w:r w:rsidR="00F05679" w:rsidRPr="00EA3C27">
        <w:rPr>
          <w:lang w:val="fr-FR"/>
        </w:rPr>
        <w:t xml:space="preserve">ont </w:t>
      </w:r>
      <w:r w:rsidR="00EC45F2" w:rsidRPr="00EA3C27">
        <w:rPr>
          <w:lang w:val="fr-FR"/>
        </w:rPr>
        <w:t>fait part d</w:t>
      </w:r>
      <w:r w:rsidR="00C1228F" w:rsidRPr="00EA3C27">
        <w:rPr>
          <w:lang w:val="fr-FR"/>
        </w:rPr>
        <w:t>e</w:t>
      </w:r>
      <w:r w:rsidR="00EC45F2" w:rsidRPr="00EA3C27">
        <w:rPr>
          <w:lang w:val="fr-FR"/>
        </w:rPr>
        <w:t xml:space="preserve"> </w:t>
      </w:r>
      <w:r w:rsidR="00F05679" w:rsidRPr="00EA3C27">
        <w:rPr>
          <w:lang w:val="fr-FR"/>
        </w:rPr>
        <w:t xml:space="preserve">leur besoin de formation, mais également de structuration, d'accompagnement et de soutien logistique, afin de pouvoir réaliser des projets de qualité au profit des populations et d'assumer efficacement leur </w:t>
      </w:r>
      <w:r w:rsidR="00EC45F2" w:rsidRPr="00EA3C27">
        <w:rPr>
          <w:lang w:val="fr-FR"/>
        </w:rPr>
        <w:t>mission</w:t>
      </w:r>
      <w:r w:rsidR="00F05679" w:rsidRPr="00EA3C27">
        <w:rPr>
          <w:lang w:val="fr-FR"/>
        </w:rPr>
        <w:t>.</w:t>
      </w:r>
      <w:r w:rsidR="00C66AE7" w:rsidRPr="00EA3C27">
        <w:rPr>
          <w:lang w:val="fr-FR"/>
        </w:rPr>
        <w:t xml:space="preserve"> </w:t>
      </w:r>
      <w:r w:rsidRPr="00EA3C27">
        <w:rPr>
          <w:lang w:val="fr-FR"/>
        </w:rPr>
        <w:t>Ce même constat a été confirmé par les autres acteurs</w:t>
      </w:r>
      <w:r w:rsidR="00260E90" w:rsidRPr="00EA3C27">
        <w:rPr>
          <w:lang w:val="fr-FR"/>
        </w:rPr>
        <w:t>-</w:t>
      </w:r>
      <w:r w:rsidRPr="00EA3C27">
        <w:rPr>
          <w:lang w:val="fr-FR"/>
        </w:rPr>
        <w:t>clés rencontrés tels que les ONG internationales,</w:t>
      </w:r>
      <w:r w:rsidR="00260E90" w:rsidRPr="00EA3C27">
        <w:rPr>
          <w:lang w:val="fr-FR"/>
        </w:rPr>
        <w:t xml:space="preserve"> le Comité de Coordination des ONG internationales en RCA (CCO),</w:t>
      </w:r>
      <w:r w:rsidRPr="00EA3C27">
        <w:rPr>
          <w:lang w:val="fr-FR"/>
        </w:rPr>
        <w:t xml:space="preserve"> OCHA, </w:t>
      </w:r>
      <w:r w:rsidR="00260E90" w:rsidRPr="00EA3C27">
        <w:rPr>
          <w:lang w:val="fr-FR"/>
        </w:rPr>
        <w:t xml:space="preserve">ECHO </w:t>
      </w:r>
      <w:r w:rsidRPr="00EA3C27">
        <w:rPr>
          <w:lang w:val="fr-FR"/>
        </w:rPr>
        <w:t>ou encore le Secrétariat Permanent des ONG (SPONG) du Ministère de l'économie, du plan et de la coopération.</w:t>
      </w:r>
    </w:p>
    <w:p w:rsidR="00425859" w:rsidRPr="00EA3C27" w:rsidRDefault="00425859" w:rsidP="00767264">
      <w:pPr>
        <w:spacing w:before="100" w:beforeAutospacing="1" w:after="120"/>
        <w:jc w:val="both"/>
        <w:rPr>
          <w:lang w:val="fr-FR"/>
        </w:rPr>
      </w:pPr>
      <w:r w:rsidRPr="00EA3C27">
        <w:rPr>
          <w:lang w:val="fr-FR"/>
        </w:rPr>
        <w:t>Cependant, une approche holistique</w:t>
      </w:r>
      <w:r w:rsidR="00257CF5" w:rsidRPr="00EA3C27">
        <w:rPr>
          <w:lang w:val="fr-FR"/>
        </w:rPr>
        <w:t xml:space="preserve"> du renforcement des capacités</w:t>
      </w:r>
      <w:r w:rsidRPr="00EA3C27">
        <w:rPr>
          <w:lang w:val="fr-FR"/>
        </w:rPr>
        <w:t xml:space="preserve"> doit être prise en compte, afin de viser </w:t>
      </w:r>
      <w:r w:rsidR="00257CF5" w:rsidRPr="00EA3C27">
        <w:rPr>
          <w:lang w:val="fr-FR"/>
        </w:rPr>
        <w:t>une autonomisation durable</w:t>
      </w:r>
      <w:r w:rsidR="00454D08" w:rsidRPr="00EA3C27">
        <w:rPr>
          <w:lang w:val="fr-FR"/>
        </w:rPr>
        <w:t xml:space="preserve"> </w:t>
      </w:r>
      <w:r w:rsidRPr="00EA3C27">
        <w:rPr>
          <w:lang w:val="fr-FR"/>
        </w:rPr>
        <w:t>de la société civile centrafricaine</w:t>
      </w:r>
      <w:r w:rsidR="00454D08" w:rsidRPr="00EA3C27">
        <w:rPr>
          <w:lang w:val="fr-FR"/>
        </w:rPr>
        <w:t xml:space="preserve"> et un professionnalisme dans ses services rendus à la population</w:t>
      </w:r>
      <w:r w:rsidRPr="00EA3C27">
        <w:rPr>
          <w:lang w:val="fr-FR"/>
        </w:rPr>
        <w:t>. Ainsi, l'action du Fonds Bêkou renforcera la société civile à trois niveaux:</w:t>
      </w:r>
    </w:p>
    <w:p w:rsidR="00425859" w:rsidRPr="00EA3C27" w:rsidRDefault="00425859" w:rsidP="00270C0E">
      <w:pPr>
        <w:numPr>
          <w:ilvl w:val="0"/>
          <w:numId w:val="34"/>
        </w:numPr>
        <w:spacing w:before="100" w:beforeAutospacing="1" w:after="120"/>
        <w:jc w:val="both"/>
        <w:rPr>
          <w:lang w:val="fr-FR"/>
        </w:rPr>
      </w:pPr>
      <w:r w:rsidRPr="00EA3C27">
        <w:rPr>
          <w:lang w:val="fr-FR"/>
        </w:rPr>
        <w:t>au niveau de base (OSC locales);</w:t>
      </w:r>
    </w:p>
    <w:p w:rsidR="00425859" w:rsidRPr="00EA3C27" w:rsidRDefault="00425859" w:rsidP="00270C0E">
      <w:pPr>
        <w:numPr>
          <w:ilvl w:val="0"/>
          <w:numId w:val="34"/>
        </w:numPr>
        <w:spacing w:before="100" w:beforeAutospacing="1" w:after="120"/>
        <w:jc w:val="both"/>
        <w:rPr>
          <w:lang w:val="fr-FR"/>
        </w:rPr>
      </w:pPr>
      <w:r w:rsidRPr="00EA3C27">
        <w:rPr>
          <w:lang w:val="fr-FR"/>
        </w:rPr>
        <w:t>au niveau intermédiaire et d'accompagnement (plateformes de coordination);</w:t>
      </w:r>
    </w:p>
    <w:p w:rsidR="00425859" w:rsidRPr="00EA3C27" w:rsidRDefault="00425859" w:rsidP="00270C0E">
      <w:pPr>
        <w:numPr>
          <w:ilvl w:val="0"/>
          <w:numId w:val="34"/>
        </w:numPr>
        <w:spacing w:before="100" w:beforeAutospacing="1" w:after="120"/>
        <w:jc w:val="both"/>
        <w:rPr>
          <w:lang w:val="fr-FR"/>
        </w:rPr>
      </w:pPr>
      <w:r w:rsidRPr="00EA3C27">
        <w:rPr>
          <w:lang w:val="fr-FR"/>
        </w:rPr>
        <w:t>au niveau institutionnel (Secrétariat Permanent des ONG).</w:t>
      </w:r>
    </w:p>
    <w:p w:rsidR="00454D08" w:rsidRPr="00EA3C27" w:rsidRDefault="00454D08" w:rsidP="0004242D">
      <w:pPr>
        <w:spacing w:before="100" w:beforeAutospacing="1" w:after="120"/>
        <w:jc w:val="both"/>
        <w:rPr>
          <w:lang w:val="fr-FR"/>
        </w:rPr>
      </w:pPr>
      <w:r w:rsidRPr="00EA3C27">
        <w:rPr>
          <w:lang w:val="fr-FR"/>
        </w:rPr>
        <w:t xml:space="preserve">Etant donné le vaste paysage de la société civile centrafricaine et la multitude d'acteurs informels et/ou non viables, le Fonds Bêkou concentrera son action sur les </w:t>
      </w:r>
      <w:r w:rsidR="00767264" w:rsidRPr="00EA3C27">
        <w:rPr>
          <w:lang w:val="fr-FR"/>
        </w:rPr>
        <w:t>OSC</w:t>
      </w:r>
      <w:r w:rsidRPr="00EA3C27">
        <w:rPr>
          <w:lang w:val="fr-FR"/>
        </w:rPr>
        <w:t xml:space="preserve"> centrafricaines formelles, dûment enregistrées</w:t>
      </w:r>
      <w:r w:rsidR="00B97274" w:rsidRPr="00EA3C27">
        <w:rPr>
          <w:lang w:val="fr-FR"/>
        </w:rPr>
        <w:t xml:space="preserve"> au</w:t>
      </w:r>
      <w:r w:rsidR="00767264" w:rsidRPr="00EA3C27">
        <w:rPr>
          <w:lang w:val="fr-FR"/>
        </w:rPr>
        <w:t>près du</w:t>
      </w:r>
      <w:r w:rsidR="00B97274" w:rsidRPr="00EA3C27">
        <w:rPr>
          <w:lang w:val="fr-FR"/>
        </w:rPr>
        <w:t xml:space="preserve"> SPONG, structurées</w:t>
      </w:r>
      <w:r w:rsidRPr="00EA3C27">
        <w:rPr>
          <w:lang w:val="fr-FR"/>
        </w:rPr>
        <w:t xml:space="preserve"> et réellement </w:t>
      </w:r>
      <w:r w:rsidR="00B97274" w:rsidRPr="00EA3C27">
        <w:rPr>
          <w:lang w:val="fr-FR"/>
        </w:rPr>
        <w:t>opérationnelles.</w:t>
      </w:r>
    </w:p>
    <w:p w:rsidR="00300793" w:rsidRPr="00EA3C27" w:rsidRDefault="00300793" w:rsidP="00767264">
      <w:pPr>
        <w:spacing w:before="100" w:beforeAutospacing="1" w:after="120"/>
        <w:rPr>
          <w:b/>
          <w:u w:val="single"/>
          <w:lang w:val="fr-FR"/>
        </w:rPr>
      </w:pPr>
      <w:r w:rsidRPr="00EA3C27">
        <w:rPr>
          <w:u w:val="single"/>
          <w:lang w:val="fr-FR"/>
        </w:rPr>
        <w:t>Résultat attendu</w:t>
      </w:r>
    </w:p>
    <w:p w:rsidR="000F295E" w:rsidRPr="00EA3C27" w:rsidRDefault="00121960" w:rsidP="00767264">
      <w:pPr>
        <w:spacing w:before="100" w:beforeAutospacing="1" w:after="120"/>
        <w:jc w:val="both"/>
        <w:rPr>
          <w:lang w:val="fr-FR"/>
        </w:rPr>
      </w:pPr>
      <w:r w:rsidRPr="00EA3C27">
        <w:rPr>
          <w:lang w:val="fr-FR"/>
        </w:rPr>
        <w:lastRenderedPageBreak/>
        <w:t>L</w:t>
      </w:r>
      <w:r w:rsidR="00DC21ED" w:rsidRPr="00EA3C27">
        <w:rPr>
          <w:lang w:val="fr-FR"/>
        </w:rPr>
        <w:t xml:space="preserve">es capacités des </w:t>
      </w:r>
      <w:r w:rsidRPr="00EA3C27">
        <w:rPr>
          <w:lang w:val="fr-FR"/>
        </w:rPr>
        <w:t>organisations de la société civile (OSC)</w:t>
      </w:r>
      <w:r w:rsidR="00DC21ED" w:rsidRPr="00EA3C27">
        <w:rPr>
          <w:lang w:val="fr-FR"/>
        </w:rPr>
        <w:t xml:space="preserve"> centr</w:t>
      </w:r>
      <w:r w:rsidR="00CF7841" w:rsidRPr="00EA3C27">
        <w:rPr>
          <w:lang w:val="fr-FR"/>
        </w:rPr>
        <w:t>africain</w:t>
      </w:r>
      <w:r w:rsidRPr="00EA3C27">
        <w:rPr>
          <w:lang w:val="fr-FR"/>
        </w:rPr>
        <w:t>e</w:t>
      </w:r>
      <w:r w:rsidR="00DC21ED" w:rsidRPr="00EA3C27">
        <w:rPr>
          <w:lang w:val="fr-FR"/>
        </w:rPr>
        <w:t xml:space="preserve"> sont renforcées au niveau </w:t>
      </w:r>
      <w:r w:rsidR="00B31B0F" w:rsidRPr="00EA3C27">
        <w:rPr>
          <w:lang w:val="fr-FR"/>
        </w:rPr>
        <w:t>de base, intermédiaire et institutionnel</w:t>
      </w:r>
      <w:r w:rsidR="00622940" w:rsidRPr="00EA3C27">
        <w:rPr>
          <w:lang w:val="fr-FR"/>
        </w:rPr>
        <w:t xml:space="preserve">, afin qu'elles puissent contribuer de manière professionnelle et durable </w:t>
      </w:r>
      <w:r w:rsidR="00AC428B" w:rsidRPr="00EA3C27">
        <w:rPr>
          <w:lang w:val="fr-FR"/>
        </w:rPr>
        <w:t>aux priorités et aux objectifs du RCPCA</w:t>
      </w:r>
      <w:r w:rsidR="00767264" w:rsidRPr="00EA3C27">
        <w:rPr>
          <w:lang w:val="fr-FR"/>
        </w:rPr>
        <w:t xml:space="preserve">. </w:t>
      </w:r>
    </w:p>
    <w:p w:rsidR="00EC512F" w:rsidRPr="00EA3C27" w:rsidRDefault="000B0569" w:rsidP="00767264">
      <w:pPr>
        <w:pStyle w:val="Text2"/>
        <w:spacing w:before="100" w:beforeAutospacing="1"/>
        <w:ind w:left="0"/>
        <w:rPr>
          <w:u w:val="single"/>
          <w:lang w:val="fr-FR"/>
        </w:rPr>
      </w:pPr>
      <w:r w:rsidRPr="00EA3C27">
        <w:rPr>
          <w:u w:val="single"/>
          <w:lang w:val="fr-FR"/>
        </w:rPr>
        <w:t>Type d'a</w:t>
      </w:r>
      <w:r w:rsidR="006F01AF" w:rsidRPr="00EA3C27">
        <w:rPr>
          <w:u w:val="single"/>
          <w:lang w:val="fr-FR"/>
        </w:rPr>
        <w:t>ctivités</w:t>
      </w:r>
    </w:p>
    <w:p w:rsidR="00937DB3" w:rsidRPr="00EA3C27" w:rsidRDefault="00767264" w:rsidP="00767264">
      <w:pPr>
        <w:pStyle w:val="Text2"/>
        <w:spacing w:before="100" w:beforeAutospacing="1"/>
        <w:ind w:left="0"/>
        <w:rPr>
          <w:lang w:val="fr-FR"/>
        </w:rPr>
      </w:pPr>
      <w:r w:rsidRPr="00EA3C27">
        <w:rPr>
          <w:lang w:val="fr-FR"/>
        </w:rPr>
        <w:t xml:space="preserve">Pour les </w:t>
      </w:r>
      <w:r w:rsidR="00937DB3" w:rsidRPr="00EA3C27">
        <w:rPr>
          <w:lang w:val="fr-FR"/>
        </w:rPr>
        <w:t>OSC de base et intermédiaires</w:t>
      </w:r>
      <w:r w:rsidR="00705D39" w:rsidRPr="00EA3C27">
        <w:rPr>
          <w:lang w:val="fr-FR"/>
        </w:rPr>
        <w:t>, activités visant à</w:t>
      </w:r>
      <w:r w:rsidR="00937DB3" w:rsidRPr="00EA3C27">
        <w:rPr>
          <w:lang w:val="fr-FR"/>
        </w:rPr>
        <w:t>:</w:t>
      </w:r>
    </w:p>
    <w:p w:rsidR="00C95665" w:rsidRPr="00EA3C27" w:rsidRDefault="009F1480" w:rsidP="00B97539">
      <w:pPr>
        <w:pStyle w:val="Text2"/>
        <w:numPr>
          <w:ilvl w:val="0"/>
          <w:numId w:val="26"/>
        </w:numPr>
        <w:spacing w:before="100" w:beforeAutospacing="1"/>
        <w:rPr>
          <w:lang w:val="fr-FR"/>
        </w:rPr>
      </w:pPr>
      <w:r w:rsidRPr="00EA3C27">
        <w:rPr>
          <w:lang w:val="fr-FR"/>
        </w:rPr>
        <w:t>Renforcer</w:t>
      </w:r>
      <w:r w:rsidR="00EC512F" w:rsidRPr="00EA3C27">
        <w:rPr>
          <w:lang w:val="fr-FR"/>
        </w:rPr>
        <w:t xml:space="preserve"> les OSC dans la gestion de projet et des thématiques pertinentes</w:t>
      </w:r>
      <w:r w:rsidR="00767264" w:rsidRPr="00EA3C27">
        <w:rPr>
          <w:lang w:val="fr-FR"/>
        </w:rPr>
        <w:t xml:space="preserve"> aux domaines identifiés dans le RCPCA, en particulier les secteurs sociaux de base, la sécurité alimentaire, l'agriculture, et la cohésion sociale</w:t>
      </w:r>
      <w:r w:rsidRPr="00EA3C27">
        <w:rPr>
          <w:lang w:val="fr-FR"/>
        </w:rPr>
        <w:t xml:space="preserve"> (</w:t>
      </w:r>
      <w:r w:rsidR="00F16896" w:rsidRPr="00EA3C27">
        <w:rPr>
          <w:lang w:val="fr-FR"/>
        </w:rPr>
        <w:t xml:space="preserve">par exemple, </w:t>
      </w:r>
      <w:r w:rsidRPr="00EA3C27">
        <w:rPr>
          <w:lang w:val="fr-FR"/>
        </w:rPr>
        <w:t>formations / séminaires / sessions de travail)</w:t>
      </w:r>
      <w:r w:rsidR="00EC512F" w:rsidRPr="00EA3C27">
        <w:rPr>
          <w:lang w:val="fr-FR"/>
        </w:rPr>
        <w:t>;</w:t>
      </w:r>
    </w:p>
    <w:p w:rsidR="00EC512F" w:rsidRPr="00EA3C27" w:rsidRDefault="009F1480" w:rsidP="00B97539">
      <w:pPr>
        <w:pStyle w:val="Text2"/>
        <w:numPr>
          <w:ilvl w:val="0"/>
          <w:numId w:val="26"/>
        </w:numPr>
        <w:spacing w:before="100" w:beforeAutospacing="1"/>
        <w:rPr>
          <w:lang w:val="fr-FR"/>
        </w:rPr>
      </w:pPr>
      <w:r w:rsidRPr="00EA3C27">
        <w:rPr>
          <w:lang w:val="fr-FR"/>
        </w:rPr>
        <w:t>Accompagner les</w:t>
      </w:r>
      <w:r w:rsidR="00EC512F" w:rsidRPr="00EA3C27">
        <w:rPr>
          <w:lang w:val="fr-FR"/>
        </w:rPr>
        <w:t xml:space="preserve"> OSC dans des domaines </w:t>
      </w:r>
      <w:r w:rsidRPr="00EA3C27">
        <w:rPr>
          <w:lang w:val="fr-FR"/>
        </w:rPr>
        <w:t>clés à la gestion de projet (appui-conseil)</w:t>
      </w:r>
      <w:r w:rsidR="00EC512F" w:rsidRPr="00EA3C27">
        <w:rPr>
          <w:lang w:val="fr-FR"/>
        </w:rPr>
        <w:t>;</w:t>
      </w:r>
    </w:p>
    <w:p w:rsidR="00BD074E" w:rsidRPr="00EA3C27" w:rsidRDefault="009F1480" w:rsidP="00B97539">
      <w:pPr>
        <w:pStyle w:val="Text2"/>
        <w:numPr>
          <w:ilvl w:val="0"/>
          <w:numId w:val="26"/>
        </w:numPr>
        <w:spacing w:before="100" w:beforeAutospacing="1"/>
        <w:rPr>
          <w:lang w:val="fr-FR"/>
        </w:rPr>
      </w:pPr>
      <w:r w:rsidRPr="00EA3C27">
        <w:rPr>
          <w:lang w:val="fr-FR"/>
        </w:rPr>
        <w:t xml:space="preserve">Renforcer les OSC dans leur accès aux moyens </w:t>
      </w:r>
      <w:r w:rsidR="005317F4" w:rsidRPr="00EA3C27">
        <w:rPr>
          <w:lang w:val="fr-FR"/>
        </w:rPr>
        <w:t>(</w:t>
      </w:r>
      <w:r w:rsidR="00F16896" w:rsidRPr="00EA3C27">
        <w:rPr>
          <w:lang w:val="fr-FR"/>
        </w:rPr>
        <w:t xml:space="preserve">par exemple, </w:t>
      </w:r>
      <w:r w:rsidR="005317F4" w:rsidRPr="00EA3C27">
        <w:rPr>
          <w:lang w:val="fr-FR"/>
        </w:rPr>
        <w:t xml:space="preserve">équipements / matériel / espace de travail) </w:t>
      </w:r>
      <w:r w:rsidRPr="00EA3C27">
        <w:rPr>
          <w:lang w:val="fr-FR"/>
        </w:rPr>
        <w:t>et outils nécessaires à l'</w:t>
      </w:r>
      <w:r w:rsidR="005317F4" w:rsidRPr="00EA3C27">
        <w:rPr>
          <w:lang w:val="fr-FR"/>
        </w:rPr>
        <w:t>élaboration et l'</w:t>
      </w:r>
      <w:r w:rsidRPr="00EA3C27">
        <w:rPr>
          <w:lang w:val="fr-FR"/>
        </w:rPr>
        <w:t>exécution de leurs</w:t>
      </w:r>
      <w:r w:rsidR="005317F4" w:rsidRPr="00EA3C27">
        <w:rPr>
          <w:lang w:val="fr-FR"/>
        </w:rPr>
        <w:t xml:space="preserve"> projets</w:t>
      </w:r>
      <w:r w:rsidRPr="00EA3C27">
        <w:rPr>
          <w:lang w:val="fr-FR"/>
        </w:rPr>
        <w:t xml:space="preserve"> </w:t>
      </w:r>
      <w:r w:rsidR="005317F4" w:rsidRPr="00EA3C27">
        <w:rPr>
          <w:lang w:val="fr-FR"/>
        </w:rPr>
        <w:t>(par exemple, via un</w:t>
      </w:r>
      <w:r w:rsidR="00BD074E" w:rsidRPr="00EA3C27">
        <w:rPr>
          <w:lang w:val="fr-FR"/>
        </w:rPr>
        <w:t xml:space="preserve"> centre de services);</w:t>
      </w:r>
    </w:p>
    <w:p w:rsidR="007C0114" w:rsidRPr="00EA3C27" w:rsidRDefault="007C0114" w:rsidP="00B97539">
      <w:pPr>
        <w:pStyle w:val="Text2"/>
        <w:numPr>
          <w:ilvl w:val="0"/>
          <w:numId w:val="26"/>
        </w:numPr>
        <w:spacing w:before="100" w:beforeAutospacing="1"/>
        <w:rPr>
          <w:lang w:val="fr-FR"/>
        </w:rPr>
      </w:pPr>
      <w:r w:rsidRPr="00EA3C27">
        <w:rPr>
          <w:lang w:val="fr-FR"/>
        </w:rPr>
        <w:t xml:space="preserve">Appuyer les principales plateformes d'ONG nationales dans leur mission de services </w:t>
      </w:r>
      <w:r w:rsidR="005317F4" w:rsidRPr="00EA3C27">
        <w:rPr>
          <w:lang w:val="fr-FR"/>
        </w:rPr>
        <w:t>aux OSC</w:t>
      </w:r>
      <w:r w:rsidRPr="00EA3C27">
        <w:rPr>
          <w:lang w:val="fr-FR"/>
        </w:rPr>
        <w:t>;</w:t>
      </w:r>
    </w:p>
    <w:p w:rsidR="00E56ACD" w:rsidRPr="00EA3C27" w:rsidRDefault="00A641C6" w:rsidP="00B97539">
      <w:pPr>
        <w:pStyle w:val="Text2"/>
        <w:numPr>
          <w:ilvl w:val="0"/>
          <w:numId w:val="26"/>
        </w:numPr>
        <w:spacing w:before="100" w:beforeAutospacing="1"/>
        <w:rPr>
          <w:lang w:val="fr-FR"/>
        </w:rPr>
      </w:pPr>
      <w:r w:rsidRPr="00EA3C27">
        <w:rPr>
          <w:lang w:val="fr-FR"/>
        </w:rPr>
        <w:t>Promouvoir l'échange d'expériences e</w:t>
      </w:r>
      <w:r w:rsidR="007C0114" w:rsidRPr="00EA3C27">
        <w:rPr>
          <w:lang w:val="fr-FR"/>
        </w:rPr>
        <w:t>t</w:t>
      </w:r>
      <w:r w:rsidR="00350F16" w:rsidRPr="00EA3C27">
        <w:rPr>
          <w:lang w:val="fr-FR"/>
        </w:rPr>
        <w:t xml:space="preserve"> de bonnes pratiques entre OSC. </w:t>
      </w:r>
    </w:p>
    <w:p w:rsidR="007C0114" w:rsidRPr="00EA3C27" w:rsidRDefault="00937DB3" w:rsidP="005317F4">
      <w:pPr>
        <w:pStyle w:val="Text2"/>
        <w:spacing w:before="100" w:beforeAutospacing="1"/>
        <w:ind w:left="0"/>
        <w:rPr>
          <w:lang w:val="fr-FR"/>
        </w:rPr>
      </w:pPr>
      <w:r w:rsidRPr="00EA3C27">
        <w:rPr>
          <w:lang w:val="fr-FR"/>
        </w:rPr>
        <w:t>Pour le Secrétariat Permanent des ONG (SPONG</w:t>
      </w:r>
      <w:r w:rsidR="00350F16" w:rsidRPr="00EA3C27">
        <w:rPr>
          <w:lang w:val="fr-FR"/>
        </w:rPr>
        <w:t>)</w:t>
      </w:r>
      <w:r w:rsidR="00F16896" w:rsidRPr="00EA3C27">
        <w:rPr>
          <w:lang w:val="fr-FR"/>
        </w:rPr>
        <w:t>, activités visant à</w:t>
      </w:r>
      <w:r w:rsidRPr="00EA3C27">
        <w:rPr>
          <w:lang w:val="fr-FR"/>
        </w:rPr>
        <w:t>:</w:t>
      </w:r>
    </w:p>
    <w:p w:rsidR="007C0114" w:rsidRPr="00EA3C27" w:rsidRDefault="005317F4" w:rsidP="00B97539">
      <w:pPr>
        <w:pStyle w:val="Text2"/>
        <w:numPr>
          <w:ilvl w:val="0"/>
          <w:numId w:val="27"/>
        </w:numPr>
        <w:spacing w:before="100" w:beforeAutospacing="1"/>
        <w:rPr>
          <w:lang w:val="fr-FR"/>
        </w:rPr>
      </w:pPr>
      <w:r w:rsidRPr="00EA3C27">
        <w:rPr>
          <w:lang w:val="fr-FR"/>
        </w:rPr>
        <w:t xml:space="preserve">Renforcer les capacités techniques </w:t>
      </w:r>
      <w:r w:rsidR="001A398E" w:rsidRPr="00EA3C27">
        <w:rPr>
          <w:lang w:val="fr-FR"/>
        </w:rPr>
        <w:t>du</w:t>
      </w:r>
      <w:r w:rsidR="00937DB3" w:rsidRPr="00EA3C27">
        <w:rPr>
          <w:lang w:val="fr-FR"/>
        </w:rPr>
        <w:t xml:space="preserve"> </w:t>
      </w:r>
      <w:r w:rsidR="001A398E" w:rsidRPr="00EA3C27">
        <w:rPr>
          <w:lang w:val="fr-FR"/>
        </w:rPr>
        <w:t>SPONG</w:t>
      </w:r>
      <w:r w:rsidR="007C0114" w:rsidRPr="00EA3C27">
        <w:rPr>
          <w:lang w:val="fr-FR"/>
        </w:rPr>
        <w:t xml:space="preserve"> </w:t>
      </w:r>
      <w:r w:rsidRPr="00EA3C27">
        <w:rPr>
          <w:lang w:val="fr-FR"/>
        </w:rPr>
        <w:t xml:space="preserve">telles que la gestion du </w:t>
      </w:r>
      <w:r w:rsidR="001A398E" w:rsidRPr="00EA3C27">
        <w:rPr>
          <w:lang w:val="fr-FR"/>
        </w:rPr>
        <w:t>cycle de projet, le suivi et la supervision</w:t>
      </w:r>
      <w:r w:rsidRPr="00EA3C27">
        <w:rPr>
          <w:lang w:val="fr-FR"/>
        </w:rPr>
        <w:t xml:space="preserve"> des projets d'</w:t>
      </w:r>
      <w:r w:rsidR="00937DB3" w:rsidRPr="00EA3C27">
        <w:rPr>
          <w:lang w:val="fr-FR"/>
        </w:rPr>
        <w:t>ONG</w:t>
      </w:r>
      <w:r w:rsidRPr="00EA3C27">
        <w:rPr>
          <w:lang w:val="fr-FR"/>
        </w:rPr>
        <w:t xml:space="preserve"> (</w:t>
      </w:r>
      <w:r w:rsidR="00F16896" w:rsidRPr="00EA3C27">
        <w:rPr>
          <w:lang w:val="fr-FR"/>
        </w:rPr>
        <w:t xml:space="preserve">par exemple, </w:t>
      </w:r>
      <w:r w:rsidRPr="00EA3C27">
        <w:rPr>
          <w:lang w:val="fr-FR"/>
        </w:rPr>
        <w:t xml:space="preserve">formations </w:t>
      </w:r>
      <w:r w:rsidR="004969DF" w:rsidRPr="00EA3C27">
        <w:rPr>
          <w:lang w:val="fr-FR"/>
        </w:rPr>
        <w:t xml:space="preserve">/ système de suivi et évaluation) </w:t>
      </w:r>
      <w:r w:rsidR="001A398E" w:rsidRPr="00EA3C27">
        <w:rPr>
          <w:lang w:val="fr-FR"/>
        </w:rPr>
        <w:t xml:space="preserve">; </w:t>
      </w:r>
    </w:p>
    <w:p w:rsidR="001A398E" w:rsidRPr="00EA3C27" w:rsidRDefault="007C0114" w:rsidP="00B97539">
      <w:pPr>
        <w:pStyle w:val="Text2"/>
        <w:numPr>
          <w:ilvl w:val="0"/>
          <w:numId w:val="27"/>
        </w:numPr>
        <w:spacing w:before="100" w:beforeAutospacing="1"/>
        <w:rPr>
          <w:lang w:val="fr-FR"/>
        </w:rPr>
      </w:pPr>
      <w:r w:rsidRPr="00EA3C27">
        <w:rPr>
          <w:lang w:val="fr-FR"/>
        </w:rPr>
        <w:t>Four</w:t>
      </w:r>
      <w:r w:rsidR="004969DF" w:rsidRPr="00EA3C27">
        <w:rPr>
          <w:lang w:val="fr-FR"/>
        </w:rPr>
        <w:t>nir un a</w:t>
      </w:r>
      <w:r w:rsidR="00D54792" w:rsidRPr="00EA3C27">
        <w:rPr>
          <w:lang w:val="fr-FR"/>
        </w:rPr>
        <w:t>ppui</w:t>
      </w:r>
      <w:r w:rsidR="004969DF" w:rsidRPr="00EA3C27">
        <w:rPr>
          <w:lang w:val="fr-FR"/>
        </w:rPr>
        <w:t xml:space="preserve"> matériel et logistique</w:t>
      </w:r>
      <w:r w:rsidR="00D54792" w:rsidRPr="00EA3C27">
        <w:rPr>
          <w:lang w:val="fr-FR"/>
        </w:rPr>
        <w:t xml:space="preserve"> </w:t>
      </w:r>
      <w:r w:rsidR="004969DF" w:rsidRPr="00EA3C27">
        <w:rPr>
          <w:lang w:val="fr-FR"/>
        </w:rPr>
        <w:t>au SPONG</w:t>
      </w:r>
      <w:r w:rsidR="00D54792" w:rsidRPr="00EA3C27">
        <w:rPr>
          <w:lang w:val="fr-FR"/>
        </w:rPr>
        <w:t xml:space="preserve"> </w:t>
      </w:r>
      <w:r w:rsidR="004969DF" w:rsidRPr="00EA3C27">
        <w:rPr>
          <w:lang w:val="fr-FR"/>
        </w:rPr>
        <w:t>(</w:t>
      </w:r>
      <w:r w:rsidR="00D54792" w:rsidRPr="00EA3C27">
        <w:rPr>
          <w:lang w:val="fr-FR"/>
        </w:rPr>
        <w:t>équipements</w:t>
      </w:r>
      <w:r w:rsidR="004969DF" w:rsidRPr="00EA3C27">
        <w:rPr>
          <w:lang w:val="fr-FR"/>
        </w:rPr>
        <w:t xml:space="preserve"> </w:t>
      </w:r>
      <w:r w:rsidR="00D54792" w:rsidRPr="00EA3C27">
        <w:rPr>
          <w:lang w:val="fr-FR"/>
        </w:rPr>
        <w:t>/</w:t>
      </w:r>
      <w:r w:rsidR="004969DF" w:rsidRPr="00EA3C27">
        <w:rPr>
          <w:lang w:val="fr-FR"/>
        </w:rPr>
        <w:t xml:space="preserve"> </w:t>
      </w:r>
      <w:r w:rsidR="00D54792" w:rsidRPr="00EA3C27">
        <w:rPr>
          <w:lang w:val="fr-FR"/>
        </w:rPr>
        <w:t>matériel</w:t>
      </w:r>
      <w:r w:rsidR="004969DF" w:rsidRPr="00EA3C27">
        <w:rPr>
          <w:lang w:val="fr-FR"/>
        </w:rPr>
        <w:t>)</w:t>
      </w:r>
      <w:r w:rsidRPr="00EA3C27">
        <w:rPr>
          <w:lang w:val="fr-FR"/>
        </w:rPr>
        <w:t xml:space="preserve"> qui lui permet d'accomplir</w:t>
      </w:r>
      <w:r w:rsidR="004D725D" w:rsidRPr="00EA3C27">
        <w:rPr>
          <w:lang w:val="fr-FR"/>
        </w:rPr>
        <w:t xml:space="preserve"> sa mission de services aux ONG et de supervision des projets sur le terrain. </w:t>
      </w:r>
    </w:p>
    <w:p w:rsidR="00D115EC" w:rsidRPr="00EA3C27" w:rsidRDefault="00D115EC" w:rsidP="00620E1D">
      <w:pPr>
        <w:spacing w:before="100" w:beforeAutospacing="1" w:after="120"/>
        <w:jc w:val="both"/>
        <w:rPr>
          <w:b/>
          <w:u w:val="single"/>
          <w:lang w:val="fr-FR"/>
        </w:rPr>
      </w:pPr>
      <w:r w:rsidRPr="00EA3C27">
        <w:rPr>
          <w:b/>
          <w:u w:val="single"/>
          <w:lang w:val="fr-FR"/>
        </w:rPr>
        <w:t xml:space="preserve">Composante 2 : appui au </w:t>
      </w:r>
      <w:r w:rsidR="00EA445D" w:rsidRPr="00EA3C27">
        <w:rPr>
          <w:b/>
          <w:u w:val="single"/>
          <w:lang w:val="fr-FR"/>
        </w:rPr>
        <w:t>redéploiement</w:t>
      </w:r>
      <w:r w:rsidR="00CB7205" w:rsidRPr="00EA3C27">
        <w:rPr>
          <w:b/>
          <w:u w:val="single"/>
          <w:lang w:val="fr-FR"/>
        </w:rPr>
        <w:t xml:space="preserve"> des autorités locales</w:t>
      </w:r>
    </w:p>
    <w:p w:rsidR="00D115EC" w:rsidRPr="00EA3C27" w:rsidRDefault="00D115EC" w:rsidP="00620E1D">
      <w:pPr>
        <w:suppressAutoHyphens w:val="0"/>
        <w:spacing w:before="100" w:beforeAutospacing="1" w:after="120"/>
        <w:jc w:val="both"/>
        <w:rPr>
          <w:rFonts w:eastAsia="Calibri"/>
          <w:lang w:val="fr-FR" w:eastAsia="en-US"/>
        </w:rPr>
      </w:pPr>
      <w:r w:rsidRPr="00EA3C27">
        <w:rPr>
          <w:rFonts w:eastAsia="Calibri"/>
          <w:lang w:val="fr-FR" w:eastAsia="en-US"/>
        </w:rPr>
        <w:t>Le redéploiement de l’administration est un enjeu fondamental en RCA, comme en attestent les conclusions du Forum de Bangui et les quatre piliers de la Feuille de route du g</w:t>
      </w:r>
      <w:r w:rsidR="0004242D" w:rsidRPr="00EA3C27">
        <w:rPr>
          <w:rFonts w:eastAsia="Calibri"/>
          <w:lang w:val="fr-FR" w:eastAsia="en-US"/>
        </w:rPr>
        <w:t>ouvernement. Le Ministère de l’Administration Territoriale, de la Décentralisation et de la R</w:t>
      </w:r>
      <w:r w:rsidRPr="00EA3C27">
        <w:rPr>
          <w:rFonts w:eastAsia="Calibri"/>
          <w:lang w:val="fr-FR" w:eastAsia="en-US"/>
        </w:rPr>
        <w:t>égionalisation (MATDR) est engagé dans ce mouvement, notamment v</w:t>
      </w:r>
      <w:r w:rsidR="0004242D" w:rsidRPr="00EA3C27">
        <w:rPr>
          <w:rFonts w:eastAsia="Calibri"/>
          <w:lang w:val="fr-FR" w:eastAsia="en-US"/>
        </w:rPr>
        <w:t>ia l’action de la Coordination Nationale pour le Redéploiement de l’Administration P</w:t>
      </w:r>
      <w:r w:rsidRPr="00EA3C27">
        <w:rPr>
          <w:rFonts w:eastAsia="Calibri"/>
          <w:lang w:val="fr-FR" w:eastAsia="en-US"/>
        </w:rPr>
        <w:t>ublique (CNRAP). Les préfets et sous-préfets ont tous été nommés et prennent actuellement leurs fonctions en région. Ils ont reçu des formations et des équipements leur permettant d’assurer l’exercice de leurs fonctions. Simultanément, les différents ministères ont commencé l’envoi de leurs représentants en région, permettant d’amorcer une reprise du fonctionnement des services publics de base.</w:t>
      </w:r>
    </w:p>
    <w:p w:rsidR="00D115EC" w:rsidRPr="00EA3C27" w:rsidRDefault="00D115EC" w:rsidP="00620E1D">
      <w:pPr>
        <w:suppressAutoHyphens w:val="0"/>
        <w:spacing w:before="100" w:beforeAutospacing="1" w:after="120"/>
        <w:jc w:val="both"/>
        <w:rPr>
          <w:rFonts w:eastAsia="Calibri"/>
          <w:lang w:val="fr-FR" w:eastAsia="en-US"/>
        </w:rPr>
      </w:pPr>
      <w:r w:rsidRPr="00EA3C27">
        <w:rPr>
          <w:rFonts w:eastAsia="Calibri"/>
          <w:lang w:val="fr-FR" w:eastAsia="en-US"/>
        </w:rPr>
        <w:t xml:space="preserve">Cependant, les besoins restant considérables, l’accompagnement du redéploiement doit être approfondi, particulièrement au niveau des sous-préfectures. Le redéploiement des autorités locales est indispensable compte tenu de leur responsabilité, reconnue y compris par la société civile, en faveur du renforcement de la cohésion sociale. </w:t>
      </w:r>
    </w:p>
    <w:p w:rsidR="00D115EC" w:rsidRPr="00EA3C27" w:rsidRDefault="00D115EC" w:rsidP="009F1480">
      <w:pPr>
        <w:spacing w:before="100" w:beforeAutospacing="1" w:after="120"/>
        <w:jc w:val="both"/>
        <w:rPr>
          <w:u w:val="single"/>
          <w:lang w:val="fr-FR"/>
        </w:rPr>
      </w:pPr>
      <w:r w:rsidRPr="00EA3C27">
        <w:rPr>
          <w:u w:val="single"/>
          <w:lang w:val="fr-FR"/>
        </w:rPr>
        <w:t>Résultats attendus</w:t>
      </w:r>
    </w:p>
    <w:p w:rsidR="00D115EC" w:rsidRPr="00EA3C27" w:rsidRDefault="00D115EC" w:rsidP="009F1480">
      <w:pPr>
        <w:pStyle w:val="Text2"/>
        <w:spacing w:before="100" w:beforeAutospacing="1"/>
        <w:ind w:left="0"/>
        <w:rPr>
          <w:i/>
          <w:lang w:val="fr-FR"/>
        </w:rPr>
      </w:pPr>
      <w:r w:rsidRPr="00EA3C27">
        <w:rPr>
          <w:i/>
          <w:lang w:val="fr-FR"/>
        </w:rPr>
        <w:lastRenderedPageBreak/>
        <w:t>1 - les services déconcentrés de l'état sont redéployés dans les localités identifiées et les pouvoirs locaux sont renforcés</w:t>
      </w:r>
    </w:p>
    <w:p w:rsidR="00D115EC" w:rsidRPr="00EA3C27" w:rsidRDefault="000B0569" w:rsidP="009F1480">
      <w:pPr>
        <w:pStyle w:val="Text2"/>
        <w:spacing w:before="100" w:beforeAutospacing="1"/>
        <w:ind w:left="0"/>
        <w:rPr>
          <w:u w:val="single"/>
          <w:lang w:val="fr-FR"/>
        </w:rPr>
      </w:pPr>
      <w:r w:rsidRPr="00EA3C27">
        <w:rPr>
          <w:u w:val="single"/>
          <w:lang w:val="fr-FR"/>
        </w:rPr>
        <w:t>Type d'a</w:t>
      </w:r>
      <w:r w:rsidR="00D115EC" w:rsidRPr="00EA3C27">
        <w:rPr>
          <w:u w:val="single"/>
          <w:lang w:val="fr-FR"/>
        </w:rPr>
        <w:t>ctivités</w:t>
      </w:r>
    </w:p>
    <w:p w:rsidR="00D115EC" w:rsidRPr="00EA3C27" w:rsidRDefault="00D115EC" w:rsidP="00B97539">
      <w:pPr>
        <w:numPr>
          <w:ilvl w:val="0"/>
          <w:numId w:val="9"/>
        </w:numPr>
        <w:spacing w:before="100" w:beforeAutospacing="1" w:after="120"/>
        <w:jc w:val="both"/>
        <w:rPr>
          <w:rFonts w:eastAsia="Calibri"/>
          <w:lang w:val="fr-FR" w:eastAsia="en-US"/>
        </w:rPr>
      </w:pPr>
      <w:r w:rsidRPr="00EA3C27">
        <w:rPr>
          <w:lang w:val="fr-FR"/>
        </w:rPr>
        <w:t>Inclusion</w:t>
      </w:r>
      <w:r w:rsidRPr="00EA3C27">
        <w:rPr>
          <w:rFonts w:eastAsia="Calibri"/>
          <w:lang w:val="fr-FR" w:eastAsia="en-US"/>
        </w:rPr>
        <w:t xml:space="preserve"> des besoins en lien avec le MATDR et les autorités locales; </w:t>
      </w:r>
    </w:p>
    <w:p w:rsidR="00D115EC" w:rsidRPr="00EA3C27" w:rsidRDefault="00D115EC" w:rsidP="00B97539">
      <w:pPr>
        <w:numPr>
          <w:ilvl w:val="0"/>
          <w:numId w:val="9"/>
        </w:numPr>
        <w:spacing w:before="100" w:beforeAutospacing="1" w:after="120"/>
        <w:jc w:val="both"/>
        <w:rPr>
          <w:lang w:val="fr-FR"/>
        </w:rPr>
      </w:pPr>
      <w:r w:rsidRPr="00EA3C27">
        <w:rPr>
          <w:lang w:val="fr-FR"/>
        </w:rPr>
        <w:t xml:space="preserve">Reconstitution des capacités des acteurs locaux (matériel/formation); </w:t>
      </w:r>
    </w:p>
    <w:p w:rsidR="002235C4" w:rsidRPr="00EA3C27" w:rsidRDefault="00D115EC" w:rsidP="00B97539">
      <w:pPr>
        <w:numPr>
          <w:ilvl w:val="0"/>
          <w:numId w:val="9"/>
        </w:numPr>
        <w:spacing w:before="100" w:beforeAutospacing="1" w:after="120"/>
        <w:jc w:val="both"/>
        <w:rPr>
          <w:lang w:val="fr-FR"/>
        </w:rPr>
      </w:pPr>
      <w:r w:rsidRPr="00EA3C27">
        <w:rPr>
          <w:lang w:val="fr-FR"/>
        </w:rPr>
        <w:t>Appui à l’élaboration des plans de développement locaux.</w:t>
      </w:r>
      <w:r w:rsidRPr="00EA3C27">
        <w:rPr>
          <w:lang w:val="fr-FR"/>
        </w:rPr>
        <w:tab/>
      </w:r>
    </w:p>
    <w:p w:rsidR="00D115EC" w:rsidRPr="00EA3C27" w:rsidRDefault="00D115EC" w:rsidP="009F1480">
      <w:pPr>
        <w:pStyle w:val="Text2"/>
        <w:spacing w:before="100" w:beforeAutospacing="1"/>
        <w:ind w:left="0"/>
        <w:rPr>
          <w:i/>
          <w:lang w:val="fr-FR"/>
        </w:rPr>
      </w:pPr>
      <w:r w:rsidRPr="00EA3C27">
        <w:rPr>
          <w:i/>
          <w:lang w:val="fr-FR"/>
        </w:rPr>
        <w:t>2 – l'accès au droit pour les populations est amélioré et des mécanismes de médiation sont relancés</w:t>
      </w:r>
    </w:p>
    <w:p w:rsidR="00D115EC" w:rsidRPr="00EA3C27" w:rsidRDefault="000B0569" w:rsidP="009F1480">
      <w:pPr>
        <w:pStyle w:val="Text2"/>
        <w:spacing w:before="100" w:beforeAutospacing="1"/>
        <w:ind w:left="0"/>
        <w:rPr>
          <w:u w:val="single"/>
          <w:lang w:val="fr-FR"/>
        </w:rPr>
      </w:pPr>
      <w:r w:rsidRPr="00EA3C27">
        <w:rPr>
          <w:u w:val="single"/>
          <w:lang w:val="fr-FR"/>
        </w:rPr>
        <w:t>Type d'a</w:t>
      </w:r>
      <w:r w:rsidR="00D115EC" w:rsidRPr="00EA3C27">
        <w:rPr>
          <w:u w:val="single"/>
          <w:lang w:val="fr-FR"/>
        </w:rPr>
        <w:t>ctivités</w:t>
      </w:r>
    </w:p>
    <w:p w:rsidR="00D115EC" w:rsidRPr="00EA3C27" w:rsidRDefault="00D115EC" w:rsidP="00B97539">
      <w:pPr>
        <w:numPr>
          <w:ilvl w:val="0"/>
          <w:numId w:val="9"/>
        </w:numPr>
        <w:spacing w:before="100" w:beforeAutospacing="1" w:after="120"/>
        <w:jc w:val="both"/>
        <w:rPr>
          <w:lang w:val="fr-FR"/>
        </w:rPr>
      </w:pPr>
      <w:r w:rsidRPr="00EA3C27">
        <w:rPr>
          <w:lang w:val="fr-FR"/>
        </w:rPr>
        <w:t>Identification (avec les autorités locales, les représentants coutumiers et religieux, la société civile et les populations) de mécanismes de résolution des conflits les plus adaptés à chaque localité; </w:t>
      </w:r>
    </w:p>
    <w:p w:rsidR="00D115EC" w:rsidRPr="00EA3C27" w:rsidRDefault="00D115EC" w:rsidP="00B97539">
      <w:pPr>
        <w:numPr>
          <w:ilvl w:val="0"/>
          <w:numId w:val="9"/>
        </w:numPr>
        <w:spacing w:before="100" w:beforeAutospacing="1" w:after="120"/>
        <w:jc w:val="both"/>
        <w:rPr>
          <w:lang w:val="fr-FR"/>
        </w:rPr>
      </w:pPr>
      <w:r w:rsidRPr="00EA3C27">
        <w:rPr>
          <w:lang w:val="fr-FR"/>
        </w:rPr>
        <w:t>Formation de professionnels et de personnes issues de la société civile, dont instances traditionnelles.</w:t>
      </w:r>
    </w:p>
    <w:p w:rsidR="00D115EC" w:rsidRPr="00EA3C27" w:rsidRDefault="00D115EC" w:rsidP="009F1480">
      <w:pPr>
        <w:pStyle w:val="Text2"/>
        <w:spacing w:before="100" w:beforeAutospacing="1"/>
        <w:ind w:left="0"/>
        <w:rPr>
          <w:i/>
          <w:lang w:val="fr-FR"/>
        </w:rPr>
      </w:pPr>
      <w:r w:rsidRPr="00EA3C27">
        <w:rPr>
          <w:i/>
          <w:lang w:val="fr-FR"/>
        </w:rPr>
        <w:t>3 – les populations des territoires ciblés par les actions bénéficient de services de base et de l'amélioration de l'activité économique</w:t>
      </w:r>
    </w:p>
    <w:p w:rsidR="00D115EC" w:rsidRPr="00EA3C27" w:rsidRDefault="000B0569" w:rsidP="009F1480">
      <w:pPr>
        <w:pStyle w:val="Text2"/>
        <w:spacing w:before="100" w:beforeAutospacing="1"/>
        <w:ind w:left="0"/>
        <w:rPr>
          <w:u w:val="single"/>
          <w:lang w:val="fr-FR"/>
        </w:rPr>
      </w:pPr>
      <w:r w:rsidRPr="00EA3C27">
        <w:rPr>
          <w:u w:val="single"/>
          <w:lang w:val="fr-FR"/>
        </w:rPr>
        <w:t>Type d'a</w:t>
      </w:r>
      <w:r w:rsidR="00D115EC" w:rsidRPr="00EA3C27">
        <w:rPr>
          <w:u w:val="single"/>
          <w:lang w:val="fr-FR"/>
        </w:rPr>
        <w:t>ctivités</w:t>
      </w:r>
    </w:p>
    <w:p w:rsidR="00D115EC" w:rsidRPr="00EA3C27" w:rsidRDefault="00D115EC" w:rsidP="00B97539">
      <w:pPr>
        <w:numPr>
          <w:ilvl w:val="0"/>
          <w:numId w:val="9"/>
        </w:numPr>
        <w:spacing w:before="100" w:beforeAutospacing="1" w:after="120"/>
        <w:jc w:val="both"/>
        <w:rPr>
          <w:lang w:val="fr-FR"/>
        </w:rPr>
      </w:pPr>
      <w:r w:rsidRPr="00EA3C27">
        <w:rPr>
          <w:lang w:val="fr-FR"/>
        </w:rPr>
        <w:t>Financement de micro-projets pour la délivrance de services de base et la relance de l’activité économique.</w:t>
      </w:r>
    </w:p>
    <w:p w:rsidR="0015292D" w:rsidRPr="00EA3C27" w:rsidRDefault="00B80866" w:rsidP="00620E1D">
      <w:pPr>
        <w:spacing w:before="100" w:beforeAutospacing="1" w:after="120"/>
        <w:jc w:val="both"/>
        <w:rPr>
          <w:b/>
          <w:u w:val="single"/>
          <w:lang w:val="fr-FR"/>
        </w:rPr>
      </w:pPr>
      <w:r w:rsidRPr="00EA3C27">
        <w:rPr>
          <w:b/>
          <w:u w:val="single"/>
          <w:lang w:val="fr-FR"/>
        </w:rPr>
        <w:t xml:space="preserve">Composante 3 : </w:t>
      </w:r>
      <w:r w:rsidR="0015292D" w:rsidRPr="00EA3C27">
        <w:rPr>
          <w:b/>
          <w:u w:val="single"/>
          <w:lang w:val="fr-FR"/>
        </w:rPr>
        <w:t>Appui au retour des PDI et réfugiés centrafricains</w:t>
      </w:r>
    </w:p>
    <w:p w:rsidR="000B344A" w:rsidRPr="00EA3C27" w:rsidRDefault="000B344A" w:rsidP="00620E1D">
      <w:pPr>
        <w:suppressAutoHyphens w:val="0"/>
        <w:autoSpaceDE w:val="0"/>
        <w:autoSpaceDN w:val="0"/>
        <w:adjustRightInd w:val="0"/>
        <w:spacing w:before="100" w:beforeAutospacing="1" w:after="120"/>
        <w:jc w:val="both"/>
        <w:rPr>
          <w:lang w:val="fr-FR" w:eastAsia="en-GB"/>
        </w:rPr>
      </w:pPr>
      <w:r w:rsidRPr="00EA3C27">
        <w:rPr>
          <w:lang w:val="fr-FR" w:eastAsia="en-GB"/>
        </w:rPr>
        <w:t>La succession de crises qu’a connue la Centrafrique depuis 2013 a entrainé des mouvements des populations et des violations de leurs droits sans précédent dans son histoire.</w:t>
      </w:r>
      <w:r w:rsidR="00C67085" w:rsidRPr="00EA3C27">
        <w:rPr>
          <w:lang w:val="fr-FR" w:eastAsia="en-GB"/>
        </w:rPr>
        <w:t xml:space="preserve"> Le retour des réfugiés et déplacés vers leurs localités d'origine ou d'élection est à la fois un indicateur et un facteur de la stabilisation du pays et de la réconciliation entre communautés, d'où l'importance donnée à ce volet dans ce programme.</w:t>
      </w:r>
    </w:p>
    <w:p w:rsidR="000B344A" w:rsidRPr="00EA3C27" w:rsidRDefault="000B344A" w:rsidP="00620E1D">
      <w:pPr>
        <w:suppressAutoHyphens w:val="0"/>
        <w:autoSpaceDE w:val="0"/>
        <w:autoSpaceDN w:val="0"/>
        <w:adjustRightInd w:val="0"/>
        <w:spacing w:before="100" w:beforeAutospacing="1" w:after="120"/>
        <w:jc w:val="both"/>
        <w:rPr>
          <w:lang w:val="fr-FR" w:eastAsia="en-GB"/>
        </w:rPr>
      </w:pPr>
      <w:r w:rsidRPr="00EA3C27">
        <w:rPr>
          <w:lang w:val="fr-FR" w:eastAsia="en-GB"/>
        </w:rPr>
        <w:t xml:space="preserve">En juillet 2014, </w:t>
      </w:r>
      <w:r w:rsidR="00620E1D" w:rsidRPr="00EA3C27">
        <w:rPr>
          <w:lang w:val="fr-FR" w:eastAsia="en-GB"/>
        </w:rPr>
        <w:t>la ville de Bangui comptait 102,</w:t>
      </w:r>
      <w:r w:rsidRPr="00EA3C27">
        <w:rPr>
          <w:lang w:val="fr-FR" w:eastAsia="en-GB"/>
        </w:rPr>
        <w:t>969 déplacés répart</w:t>
      </w:r>
      <w:r w:rsidR="00620E1D" w:rsidRPr="00EA3C27">
        <w:rPr>
          <w:lang w:val="fr-FR" w:eastAsia="en-GB"/>
        </w:rPr>
        <w:t>is au sein de 43 sites, avec 37,</w:t>
      </w:r>
      <w:r w:rsidRPr="00EA3C27">
        <w:rPr>
          <w:lang w:val="fr-FR" w:eastAsia="en-GB"/>
        </w:rPr>
        <w:t>400 personnes sur le plus grand site de M’</w:t>
      </w:r>
      <w:proofErr w:type="spellStart"/>
      <w:r w:rsidRPr="00EA3C27">
        <w:rPr>
          <w:lang w:val="fr-FR" w:eastAsia="en-GB"/>
        </w:rPr>
        <w:t>Poko</w:t>
      </w:r>
      <w:proofErr w:type="spellEnd"/>
      <w:r w:rsidRPr="00EA3C27">
        <w:rPr>
          <w:lang w:val="fr-FR" w:eastAsia="en-GB"/>
        </w:rPr>
        <w:t>. Les retours spontanés des déplacés, entamés depuis le début 2015, ont été favorisé</w:t>
      </w:r>
      <w:r w:rsidR="00351BC1" w:rsidRPr="00EA3C27">
        <w:rPr>
          <w:lang w:val="fr-FR" w:eastAsia="en-GB"/>
        </w:rPr>
        <w:t>s</w:t>
      </w:r>
      <w:r w:rsidRPr="00EA3C27">
        <w:rPr>
          <w:lang w:val="fr-FR" w:eastAsia="en-GB"/>
        </w:rPr>
        <w:t xml:space="preserve"> par une amélioration de la situation sécuritaire, </w:t>
      </w:r>
      <w:r w:rsidR="00620E1D" w:rsidRPr="00EA3C27">
        <w:rPr>
          <w:lang w:val="fr-FR" w:eastAsia="en-GB"/>
        </w:rPr>
        <w:t>notamment dans la capitale. Le g</w:t>
      </w:r>
      <w:r w:rsidRPr="00EA3C27">
        <w:rPr>
          <w:lang w:val="fr-FR" w:eastAsia="en-GB"/>
        </w:rPr>
        <w:t>ouvernement s’est appuyé sur ces mouvements spontanés de PDI pour lancer un premier processus de retour en vue de libérer le site de l'aéroport de M’</w:t>
      </w:r>
      <w:proofErr w:type="spellStart"/>
      <w:r w:rsidRPr="00EA3C27">
        <w:rPr>
          <w:lang w:val="fr-FR" w:eastAsia="en-GB"/>
        </w:rPr>
        <w:t>Poko</w:t>
      </w:r>
      <w:proofErr w:type="spellEnd"/>
      <w:r w:rsidRPr="00EA3C27">
        <w:rPr>
          <w:lang w:val="fr-FR" w:eastAsia="en-GB"/>
        </w:rPr>
        <w:t xml:space="preserve">. Ces mouvements spontanés ont été interrompus par la crise du 26 septembre 2015 qui a, une nouvelle fois, entraîné de nouveaux déplacements de population. </w:t>
      </w:r>
    </w:p>
    <w:p w:rsidR="000B344A" w:rsidRPr="00EA3C27" w:rsidRDefault="000B344A" w:rsidP="00620E1D">
      <w:pPr>
        <w:suppressAutoHyphens w:val="0"/>
        <w:autoSpaceDE w:val="0"/>
        <w:autoSpaceDN w:val="0"/>
        <w:adjustRightInd w:val="0"/>
        <w:spacing w:before="100" w:beforeAutospacing="1" w:after="120"/>
        <w:jc w:val="both"/>
        <w:rPr>
          <w:lang w:val="fr-FR" w:eastAsia="en-GB"/>
        </w:rPr>
      </w:pPr>
      <w:r w:rsidRPr="00EA3C27">
        <w:rPr>
          <w:lang w:val="fr-FR" w:eastAsia="en-GB"/>
        </w:rPr>
        <w:t>A partir de novembre 2015 des mouvements progressifs de retour ont été à nouveau observés. Profitant à nouveau de ces retours spontanés et de l’amélioration de la sit</w:t>
      </w:r>
      <w:r w:rsidR="00620E1D" w:rsidRPr="00EA3C27">
        <w:rPr>
          <w:lang w:val="fr-FR" w:eastAsia="en-GB"/>
        </w:rPr>
        <w:t>uation sécuritaire globale, le g</w:t>
      </w:r>
      <w:r w:rsidRPr="00EA3C27">
        <w:rPr>
          <w:lang w:val="fr-FR" w:eastAsia="en-GB"/>
        </w:rPr>
        <w:t>ouvernement centrafricain a lancé, le 15 décembre 2016, la seconde opération de démantèlement du site de l'aéroport de M’</w:t>
      </w:r>
      <w:proofErr w:type="spellStart"/>
      <w:r w:rsidRPr="00EA3C27">
        <w:rPr>
          <w:lang w:val="fr-FR" w:eastAsia="en-GB"/>
        </w:rPr>
        <w:t>poko</w:t>
      </w:r>
      <w:proofErr w:type="spellEnd"/>
      <w:r w:rsidRPr="00EA3C27">
        <w:rPr>
          <w:lang w:val="fr-FR" w:eastAsia="en-GB"/>
        </w:rPr>
        <w:t xml:space="preserve"> désignée « </w:t>
      </w:r>
      <w:r w:rsidRPr="00EA3C27">
        <w:rPr>
          <w:i/>
          <w:iCs/>
          <w:lang w:val="fr-FR" w:eastAsia="en-GB"/>
        </w:rPr>
        <w:t xml:space="preserve">Noël à la Maison </w:t>
      </w:r>
      <w:r w:rsidRPr="00EA3C27">
        <w:rPr>
          <w:lang w:val="fr-FR" w:eastAsia="en-GB"/>
        </w:rPr>
        <w:t>», pour le retour des déplacés dans leurs quartiers d’origine.</w:t>
      </w:r>
    </w:p>
    <w:p w:rsidR="00841129" w:rsidRPr="00EA3C27" w:rsidRDefault="006A6CF0" w:rsidP="00620E1D">
      <w:pPr>
        <w:spacing w:before="100" w:beforeAutospacing="1" w:after="120"/>
        <w:jc w:val="both"/>
        <w:rPr>
          <w:lang w:val="fr-FR" w:eastAsia="en-GB"/>
        </w:rPr>
      </w:pPr>
      <w:r w:rsidRPr="00EA3C27">
        <w:rPr>
          <w:lang w:val="fr-FR"/>
        </w:rPr>
        <w:lastRenderedPageBreak/>
        <w:t xml:space="preserve">Selon </w:t>
      </w:r>
      <w:r w:rsidR="000B344A" w:rsidRPr="00EA3C27">
        <w:rPr>
          <w:lang w:val="fr-FR" w:eastAsia="en-GB"/>
        </w:rPr>
        <w:t>l'étude de monitoring multisectoriel</w:t>
      </w:r>
      <w:r w:rsidR="00620E1D" w:rsidRPr="00EA3C27">
        <w:rPr>
          <w:lang w:val="fr-FR" w:eastAsia="en-GB"/>
        </w:rPr>
        <w:t>le</w:t>
      </w:r>
      <w:r w:rsidR="000B344A" w:rsidRPr="00EA3C27">
        <w:rPr>
          <w:lang w:val="fr-FR" w:eastAsia="en-GB"/>
        </w:rPr>
        <w:t xml:space="preserve"> </w:t>
      </w:r>
      <w:r w:rsidR="00427605" w:rsidRPr="00EA3C27">
        <w:rPr>
          <w:lang w:val="fr-FR" w:eastAsia="en-GB"/>
        </w:rPr>
        <w:t>de l'UNHCR</w:t>
      </w:r>
      <w:r w:rsidR="000B344A" w:rsidRPr="00EA3C27">
        <w:rPr>
          <w:lang w:val="fr-FR" w:eastAsia="en-GB"/>
        </w:rPr>
        <w:t xml:space="preserve"> partagée avec les partenaires le</w:t>
      </w:r>
      <w:r w:rsidR="00427605" w:rsidRPr="00EA3C27">
        <w:rPr>
          <w:lang w:val="fr-FR" w:eastAsia="en-GB"/>
        </w:rPr>
        <w:t xml:space="preserve"> 17 février 2017, les trois besoins majeurs dans les zones de retour sont la protection, l'accès à l'eau et les moyens d'existence</w:t>
      </w:r>
      <w:r w:rsidR="00841129" w:rsidRPr="00EA3C27">
        <w:rPr>
          <w:lang w:val="fr-FR" w:eastAsia="en-GB"/>
        </w:rPr>
        <w:t>.</w:t>
      </w:r>
    </w:p>
    <w:p w:rsidR="00C67085" w:rsidRPr="00EA3C27" w:rsidRDefault="00C67085" w:rsidP="00620E1D">
      <w:pPr>
        <w:spacing w:before="100" w:beforeAutospacing="1" w:after="120"/>
        <w:jc w:val="both"/>
        <w:rPr>
          <w:lang w:val="fr-FR" w:eastAsia="en-GB"/>
        </w:rPr>
      </w:pPr>
      <w:r w:rsidRPr="00EA3C27">
        <w:rPr>
          <w:lang w:val="fr-FR" w:eastAsia="en-GB"/>
        </w:rPr>
        <w:t xml:space="preserve">Les zones de retour identifiées sont les régions frontalières avec le Cameroun et le Tchad, Bangui ainsi que la ville de Bambari compte tenu </w:t>
      </w:r>
      <w:r w:rsidR="00E56ACD" w:rsidRPr="00EA3C27">
        <w:rPr>
          <w:lang w:val="fr-FR" w:eastAsia="en-GB"/>
        </w:rPr>
        <w:t>des développements positifs</w:t>
      </w:r>
      <w:r w:rsidRPr="00EA3C27">
        <w:rPr>
          <w:lang w:val="fr-FR" w:eastAsia="en-GB"/>
        </w:rPr>
        <w:t xml:space="preserve"> de ces dernières semaines qu'il convient d'accompagner rapidement.</w:t>
      </w:r>
    </w:p>
    <w:p w:rsidR="00FC3E19" w:rsidRPr="00EA3C27" w:rsidRDefault="00FC3E19" w:rsidP="00620E1D">
      <w:pPr>
        <w:spacing w:before="100" w:beforeAutospacing="1" w:after="120"/>
        <w:jc w:val="both"/>
        <w:rPr>
          <w:u w:val="single"/>
          <w:lang w:val="fr-FR"/>
        </w:rPr>
      </w:pPr>
      <w:r w:rsidRPr="00EA3C27">
        <w:rPr>
          <w:u w:val="single"/>
          <w:lang w:val="fr-FR"/>
        </w:rPr>
        <w:t>Résultat attendu</w:t>
      </w:r>
    </w:p>
    <w:p w:rsidR="00B21395" w:rsidRPr="00EA3C27" w:rsidRDefault="00FC3E19" w:rsidP="00620E1D">
      <w:pPr>
        <w:spacing w:before="100" w:beforeAutospacing="1" w:after="120"/>
        <w:jc w:val="both"/>
        <w:rPr>
          <w:lang w:val="fr-FR"/>
        </w:rPr>
      </w:pPr>
      <w:r w:rsidRPr="00EA3C27">
        <w:rPr>
          <w:lang w:val="fr-FR"/>
        </w:rPr>
        <w:t>Le processus de retour est favorisé et soutenu par des appuis de relèvement socio-économique inclusifs sur une base communautaire et coordonnés avec les autres partenaires</w:t>
      </w:r>
      <w:r w:rsidR="00A1716C" w:rsidRPr="00EA3C27">
        <w:rPr>
          <w:lang w:val="fr-FR"/>
        </w:rPr>
        <w:t xml:space="preserve"> techniques et financiers actifs dans le secteur</w:t>
      </w:r>
      <w:r w:rsidR="00084EF2" w:rsidRPr="00EA3C27">
        <w:rPr>
          <w:lang w:val="fr-FR"/>
        </w:rPr>
        <w:t>.</w:t>
      </w:r>
    </w:p>
    <w:p w:rsidR="0015292D" w:rsidRPr="00EA3C27" w:rsidRDefault="009C4FC9" w:rsidP="00620E1D">
      <w:pPr>
        <w:spacing w:before="100" w:beforeAutospacing="1" w:after="120"/>
        <w:jc w:val="both"/>
        <w:rPr>
          <w:i/>
          <w:lang w:val="fr-FR"/>
        </w:rPr>
      </w:pPr>
      <w:r w:rsidRPr="00EA3C27">
        <w:rPr>
          <w:i/>
          <w:lang w:val="fr-FR"/>
        </w:rPr>
        <w:t>(i) Appui au retour sur Bangui</w:t>
      </w:r>
    </w:p>
    <w:p w:rsidR="009C4FC9" w:rsidRPr="00EA3C27" w:rsidRDefault="00F06DFF" w:rsidP="00620E1D">
      <w:pPr>
        <w:spacing w:before="100" w:beforeAutospacing="1" w:after="120"/>
        <w:jc w:val="both"/>
        <w:rPr>
          <w:lang w:val="fr-FR"/>
        </w:rPr>
      </w:pPr>
      <w:r w:rsidRPr="00EA3C27">
        <w:rPr>
          <w:lang w:val="fr-FR"/>
        </w:rPr>
        <w:t>Conformément aux échanges avec les partenaires travaillant sur l'appui au retour sur Bangui et en s'appuyant sur l'analyse des besoins sur le terrain, le Fonds B</w:t>
      </w:r>
      <w:r w:rsidR="007A272E" w:rsidRPr="00EA3C27">
        <w:rPr>
          <w:lang w:val="fr-FR"/>
        </w:rPr>
        <w:t>êkou soutiendra des actions qui complètent et prennent le relais des actions d'urgence menées par les acteurs humanitaires dans la logique LRRD. Au-delà de la seule réponse aux besoins de base de ces populations, le Fonds Bêkou</w:t>
      </w:r>
      <w:r w:rsidRPr="00EA3C27">
        <w:rPr>
          <w:lang w:val="fr-FR"/>
        </w:rPr>
        <w:t xml:space="preserve"> contribuera à renforcer la résilience des communautés dans les quartiers de retour priorisés et ainsi, à apaiser les tensions sociales et à assurer des conditions de vie décentes.</w:t>
      </w:r>
    </w:p>
    <w:p w:rsidR="0011130D" w:rsidRPr="00EA3C27" w:rsidRDefault="0011130D" w:rsidP="00B97539">
      <w:pPr>
        <w:numPr>
          <w:ilvl w:val="0"/>
          <w:numId w:val="17"/>
        </w:numPr>
        <w:spacing w:before="100" w:beforeAutospacing="1" w:after="120"/>
        <w:jc w:val="both"/>
        <w:rPr>
          <w:lang w:val="fr-FR"/>
        </w:rPr>
      </w:pPr>
      <w:r w:rsidRPr="00EA3C27">
        <w:rPr>
          <w:lang w:val="fr-FR"/>
        </w:rPr>
        <w:t>Zone géographique 1: Quartiers de</w:t>
      </w:r>
      <w:r w:rsidR="007A272E" w:rsidRPr="00EA3C27">
        <w:rPr>
          <w:lang w:val="fr-FR"/>
        </w:rPr>
        <w:t xml:space="preserve"> Boei</w:t>
      </w:r>
      <w:r w:rsidRPr="00EA3C27">
        <w:rPr>
          <w:lang w:val="fr-FR"/>
        </w:rPr>
        <w:t xml:space="preserve">ng et </w:t>
      </w:r>
      <w:proofErr w:type="spellStart"/>
      <w:r w:rsidRPr="00EA3C27">
        <w:rPr>
          <w:lang w:val="fr-FR"/>
        </w:rPr>
        <w:t>Fondo</w:t>
      </w:r>
      <w:proofErr w:type="spellEnd"/>
    </w:p>
    <w:p w:rsidR="0011130D" w:rsidRPr="00EA3C27" w:rsidRDefault="0011130D" w:rsidP="00620E1D">
      <w:pPr>
        <w:spacing w:before="100" w:beforeAutospacing="1" w:after="120"/>
        <w:jc w:val="both"/>
        <w:rPr>
          <w:lang w:val="fr-FR"/>
        </w:rPr>
      </w:pPr>
      <w:r w:rsidRPr="00EA3C27">
        <w:rPr>
          <w:lang w:val="fr-FR"/>
        </w:rPr>
        <w:t xml:space="preserve">Depuis l'année passée, plusieurs actions de médiation locale, d'appui en abris et en eau et assainissement sont en cours via des financements d'OCHA et d'ECHO. Avec le nouveau </w:t>
      </w:r>
      <w:r w:rsidR="007A272E" w:rsidRPr="00EA3C27">
        <w:rPr>
          <w:lang w:val="fr-FR"/>
        </w:rPr>
        <w:t>flux de retournés, ECHO poursuit</w:t>
      </w:r>
      <w:r w:rsidRPr="00EA3C27">
        <w:rPr>
          <w:lang w:val="fr-FR"/>
        </w:rPr>
        <w:t xml:space="preserve"> son financement à ACTED pour la reconstruction de maisons dans ces deux quartiers. Une mission conjointe Délégation UE/ECHO</w:t>
      </w:r>
      <w:r w:rsidR="006E65DB" w:rsidRPr="00EA3C27">
        <w:rPr>
          <w:lang w:val="fr-FR"/>
        </w:rPr>
        <w:t>, conduite le 12 janvier 2017,</w:t>
      </w:r>
      <w:r w:rsidRPr="00EA3C27">
        <w:rPr>
          <w:lang w:val="fr-FR"/>
        </w:rPr>
        <w:t xml:space="preserve"> a permis d'apprécier l'état d'avancement du processus de reconstruction des maisons à Boeing.</w:t>
      </w:r>
    </w:p>
    <w:p w:rsidR="007B1809" w:rsidRPr="00EA3C27" w:rsidRDefault="0011130D" w:rsidP="00620E1D">
      <w:pPr>
        <w:spacing w:before="100" w:beforeAutospacing="1" w:after="120"/>
        <w:jc w:val="both"/>
        <w:rPr>
          <w:lang w:val="fr-FR"/>
        </w:rPr>
      </w:pPr>
      <w:r w:rsidRPr="00EA3C27">
        <w:rPr>
          <w:lang w:val="fr-FR"/>
        </w:rPr>
        <w:t xml:space="preserve">L'intervention à financer par le Fonds Bêkou, mettant l'accent sur le lien "urgence – relèvement", complétera les actions en fourniture d'abris par ECHO et en WASH par les autres partenaires. Elle se focalisera sur </w:t>
      </w:r>
      <w:r w:rsidR="00EC45F2" w:rsidRPr="00EA3C27">
        <w:rPr>
          <w:lang w:val="fr-FR"/>
        </w:rPr>
        <w:t>les besoins</w:t>
      </w:r>
      <w:r w:rsidRPr="00EA3C27">
        <w:rPr>
          <w:lang w:val="fr-FR"/>
        </w:rPr>
        <w:t xml:space="preserve"> en termes d'opportunités économiques concernant notamment les jeunes et les femmes</w:t>
      </w:r>
      <w:r w:rsidR="007B1809" w:rsidRPr="00EA3C27">
        <w:rPr>
          <w:lang w:val="fr-FR"/>
        </w:rPr>
        <w:t xml:space="preserve"> avec des activités de c</w:t>
      </w:r>
      <w:r w:rsidR="0000586C" w:rsidRPr="00EA3C27">
        <w:rPr>
          <w:lang w:val="fr-FR"/>
        </w:rPr>
        <w:t xml:space="preserve">réation d'emplois/revenus </w:t>
      </w:r>
      <w:r w:rsidR="007B1809" w:rsidRPr="00EA3C27">
        <w:rPr>
          <w:lang w:val="fr-FR"/>
        </w:rPr>
        <w:t>et</w:t>
      </w:r>
      <w:r w:rsidR="0000586C" w:rsidRPr="00EA3C27">
        <w:rPr>
          <w:lang w:val="fr-FR"/>
        </w:rPr>
        <w:t xml:space="preserve"> de protection</w:t>
      </w:r>
      <w:r w:rsidR="007B1809" w:rsidRPr="00EA3C27">
        <w:rPr>
          <w:lang w:val="fr-FR"/>
        </w:rPr>
        <w:t>.</w:t>
      </w:r>
    </w:p>
    <w:p w:rsidR="0011130D" w:rsidRPr="00EA3C27" w:rsidRDefault="007B1809" w:rsidP="00B97539">
      <w:pPr>
        <w:numPr>
          <w:ilvl w:val="0"/>
          <w:numId w:val="17"/>
        </w:numPr>
        <w:spacing w:before="100" w:beforeAutospacing="1" w:after="120"/>
        <w:jc w:val="both"/>
        <w:rPr>
          <w:lang w:val="fr-FR"/>
        </w:rPr>
      </w:pPr>
      <w:r w:rsidRPr="00EA3C27">
        <w:rPr>
          <w:lang w:val="fr-FR"/>
        </w:rPr>
        <w:t>Zone géographique 2: à identifier avec les partenaires</w:t>
      </w:r>
    </w:p>
    <w:p w:rsidR="007B1809" w:rsidRPr="00EA3C27" w:rsidRDefault="007B1809" w:rsidP="00620E1D">
      <w:pPr>
        <w:spacing w:before="100" w:beforeAutospacing="1" w:after="120"/>
        <w:jc w:val="both"/>
        <w:rPr>
          <w:lang w:val="fr-FR"/>
        </w:rPr>
      </w:pPr>
      <w:r w:rsidRPr="00EA3C27">
        <w:rPr>
          <w:lang w:val="fr-FR"/>
        </w:rPr>
        <w:t xml:space="preserve">Cette zone sera définie en </w:t>
      </w:r>
      <w:r w:rsidR="009E5338" w:rsidRPr="00EA3C27">
        <w:rPr>
          <w:lang w:val="fr-FR"/>
        </w:rPr>
        <w:t>adoptant les critères suivants:</w:t>
      </w:r>
    </w:p>
    <w:p w:rsidR="009E5338" w:rsidRPr="00EA3C27" w:rsidRDefault="009E5338" w:rsidP="00B97539">
      <w:pPr>
        <w:numPr>
          <w:ilvl w:val="0"/>
          <w:numId w:val="28"/>
        </w:numPr>
        <w:spacing w:before="100" w:beforeAutospacing="1" w:after="120"/>
        <w:jc w:val="both"/>
        <w:rPr>
          <w:lang w:val="fr-FR"/>
        </w:rPr>
      </w:pPr>
      <w:r w:rsidRPr="00EA3C27">
        <w:rPr>
          <w:lang w:val="fr-FR"/>
        </w:rPr>
        <w:t>Flux important de retournés</w:t>
      </w:r>
      <w:r w:rsidR="000E16EF" w:rsidRPr="00EA3C27">
        <w:rPr>
          <w:lang w:val="fr-FR"/>
        </w:rPr>
        <w:t xml:space="preserve"> dans Bangui</w:t>
      </w:r>
      <w:r w:rsidRPr="00EA3C27">
        <w:rPr>
          <w:lang w:val="fr-FR"/>
        </w:rPr>
        <w:t xml:space="preserve">; </w:t>
      </w:r>
    </w:p>
    <w:p w:rsidR="00AE3579" w:rsidRPr="00EA3C27" w:rsidRDefault="00AE3579" w:rsidP="00B97539">
      <w:pPr>
        <w:numPr>
          <w:ilvl w:val="0"/>
          <w:numId w:val="28"/>
        </w:numPr>
        <w:spacing w:before="100" w:beforeAutospacing="1" w:after="120"/>
        <w:jc w:val="both"/>
        <w:rPr>
          <w:lang w:val="fr-FR"/>
        </w:rPr>
      </w:pPr>
      <w:r w:rsidRPr="00EA3C27">
        <w:rPr>
          <w:lang w:val="fr-FR"/>
        </w:rPr>
        <w:t>Relative sécurité/stabilité</w:t>
      </w:r>
      <w:r w:rsidR="000E16EF" w:rsidRPr="00EA3C27">
        <w:rPr>
          <w:lang w:val="fr-FR"/>
        </w:rPr>
        <w:t xml:space="preserve"> dans les quartiers de retour à Bangui</w:t>
      </w:r>
      <w:r w:rsidRPr="00EA3C27">
        <w:rPr>
          <w:lang w:val="fr-FR"/>
        </w:rPr>
        <w:t>;</w:t>
      </w:r>
    </w:p>
    <w:p w:rsidR="00AE3579" w:rsidRPr="00EA3C27" w:rsidRDefault="009E5338" w:rsidP="00B97539">
      <w:pPr>
        <w:numPr>
          <w:ilvl w:val="0"/>
          <w:numId w:val="28"/>
        </w:numPr>
        <w:spacing w:before="100" w:beforeAutospacing="1" w:after="120"/>
        <w:jc w:val="both"/>
        <w:rPr>
          <w:lang w:val="fr-FR"/>
        </w:rPr>
      </w:pPr>
      <w:r w:rsidRPr="00EA3C27">
        <w:rPr>
          <w:lang w:val="fr-FR"/>
        </w:rPr>
        <w:t>Interventions d'autres partenaires en cours dans les domaines orientés vers l'urgence (abris, eau, protection);</w:t>
      </w:r>
    </w:p>
    <w:p w:rsidR="009E5338" w:rsidRPr="00EA3C27" w:rsidRDefault="009E5338" w:rsidP="00B97539">
      <w:pPr>
        <w:numPr>
          <w:ilvl w:val="0"/>
          <w:numId w:val="28"/>
        </w:numPr>
        <w:spacing w:before="100" w:beforeAutospacing="1" w:after="120"/>
        <w:jc w:val="both"/>
        <w:rPr>
          <w:lang w:val="fr-FR"/>
        </w:rPr>
      </w:pPr>
      <w:r w:rsidRPr="00EA3C27">
        <w:rPr>
          <w:lang w:val="fr-FR"/>
        </w:rPr>
        <w:t>Existence d'un gap en termes d'actions de relèvement socio-économique.</w:t>
      </w:r>
    </w:p>
    <w:p w:rsidR="00AE3579" w:rsidRPr="00EA3C27" w:rsidRDefault="00F84717" w:rsidP="007B1809">
      <w:pPr>
        <w:spacing w:before="100" w:beforeAutospacing="1" w:after="120"/>
        <w:jc w:val="both"/>
        <w:rPr>
          <w:u w:val="single"/>
          <w:lang w:val="fr-FR"/>
        </w:rPr>
      </w:pPr>
      <w:r w:rsidRPr="00EA3C27">
        <w:rPr>
          <w:u w:val="single"/>
          <w:lang w:val="fr-FR"/>
        </w:rPr>
        <w:t>Type d'a</w:t>
      </w:r>
      <w:r w:rsidR="0012461D" w:rsidRPr="00EA3C27">
        <w:rPr>
          <w:u w:val="single"/>
          <w:lang w:val="fr-FR"/>
        </w:rPr>
        <w:t>ctivités</w:t>
      </w:r>
    </w:p>
    <w:p w:rsidR="0012461D" w:rsidRPr="00EA3C27" w:rsidRDefault="00620E1D" w:rsidP="00B97539">
      <w:pPr>
        <w:numPr>
          <w:ilvl w:val="0"/>
          <w:numId w:val="29"/>
        </w:numPr>
        <w:spacing w:before="100" w:beforeAutospacing="1" w:after="120"/>
        <w:jc w:val="both"/>
        <w:rPr>
          <w:lang w:val="fr-FR"/>
        </w:rPr>
      </w:pPr>
      <w:r w:rsidRPr="00EA3C27">
        <w:rPr>
          <w:lang w:val="fr-FR"/>
        </w:rPr>
        <w:lastRenderedPageBreak/>
        <w:t>Promouvoir les a</w:t>
      </w:r>
      <w:r w:rsidR="0012461D" w:rsidRPr="00EA3C27">
        <w:rPr>
          <w:lang w:val="fr-FR"/>
        </w:rPr>
        <w:t>ctivités génératrices de revenus (agricoles et non agricoles) selon l'approche "Caisses de résilience"</w:t>
      </w:r>
      <w:r w:rsidR="0003689C" w:rsidRPr="00EA3C27">
        <w:rPr>
          <w:lang w:val="fr-FR"/>
        </w:rPr>
        <w:t xml:space="preserve"> et de manière inclusive </w:t>
      </w:r>
      <w:r w:rsidR="000D3652" w:rsidRPr="00EA3C27">
        <w:rPr>
          <w:lang w:val="fr-FR"/>
        </w:rPr>
        <w:t xml:space="preserve">avec un prise en compte des groupes </w:t>
      </w:r>
      <w:r w:rsidR="0003689C" w:rsidRPr="00EA3C27">
        <w:rPr>
          <w:lang w:val="fr-FR"/>
        </w:rPr>
        <w:t xml:space="preserve">de population </w:t>
      </w:r>
      <w:r w:rsidR="000D3652" w:rsidRPr="00EA3C27">
        <w:rPr>
          <w:lang w:val="fr-FR"/>
        </w:rPr>
        <w:t>à besoins spécifiques et marginalisés</w:t>
      </w:r>
      <w:r w:rsidR="0012461D" w:rsidRPr="00EA3C27">
        <w:rPr>
          <w:lang w:val="fr-FR"/>
        </w:rPr>
        <w:t xml:space="preserve">; </w:t>
      </w:r>
    </w:p>
    <w:p w:rsidR="00992E06" w:rsidRPr="00EA3C27" w:rsidRDefault="0000586C" w:rsidP="00B97539">
      <w:pPr>
        <w:numPr>
          <w:ilvl w:val="0"/>
          <w:numId w:val="29"/>
        </w:numPr>
        <w:spacing w:before="100" w:beforeAutospacing="1" w:after="120"/>
        <w:jc w:val="both"/>
        <w:rPr>
          <w:lang w:val="fr-FR"/>
        </w:rPr>
      </w:pPr>
      <w:r w:rsidRPr="00EA3C27">
        <w:rPr>
          <w:lang w:val="fr-FR"/>
        </w:rPr>
        <w:t xml:space="preserve">Réhabiliter </w:t>
      </w:r>
      <w:r w:rsidR="00A1716C" w:rsidRPr="00EA3C27">
        <w:rPr>
          <w:lang w:val="fr-FR"/>
        </w:rPr>
        <w:t xml:space="preserve">ou soutenir </w:t>
      </w:r>
      <w:r w:rsidRPr="00EA3C27">
        <w:rPr>
          <w:lang w:val="fr-FR"/>
        </w:rPr>
        <w:t xml:space="preserve">des infrastructures communautaires susceptibles de favoriser le dialogue et la cohésion sociale (par exemple: maison de jeunes, centre d'écoute, terrains de sport) en utilisant une approche THIMO; </w:t>
      </w:r>
    </w:p>
    <w:p w:rsidR="0000586C" w:rsidRPr="00EA3C27" w:rsidRDefault="0000586C" w:rsidP="00B97539">
      <w:pPr>
        <w:numPr>
          <w:ilvl w:val="0"/>
          <w:numId w:val="29"/>
        </w:numPr>
        <w:spacing w:before="100" w:beforeAutospacing="1" w:after="120"/>
        <w:jc w:val="both"/>
        <w:rPr>
          <w:lang w:val="fr-FR"/>
        </w:rPr>
      </w:pPr>
      <w:r w:rsidRPr="00EA3C27">
        <w:rPr>
          <w:lang w:val="fr-FR"/>
        </w:rPr>
        <w:t xml:space="preserve">Fournir un appui psychosocial (par exemple: écoute active, groupes de discussion); </w:t>
      </w:r>
    </w:p>
    <w:p w:rsidR="0000586C" w:rsidRPr="00EA3C27" w:rsidRDefault="0000586C" w:rsidP="00B97539">
      <w:pPr>
        <w:numPr>
          <w:ilvl w:val="0"/>
          <w:numId w:val="29"/>
        </w:numPr>
        <w:spacing w:before="100" w:beforeAutospacing="1" w:after="120"/>
        <w:jc w:val="both"/>
        <w:rPr>
          <w:lang w:val="fr-FR"/>
        </w:rPr>
      </w:pPr>
      <w:r w:rsidRPr="00EA3C27">
        <w:rPr>
          <w:lang w:val="fr-FR"/>
        </w:rPr>
        <w:t>Appuyer les associations de jeunes dans la conduite d'activités socio-récréatives focalisées sur le vivre ensemble et le dialogue inter- et intracommunautaire.</w:t>
      </w:r>
    </w:p>
    <w:p w:rsidR="00F718DE" w:rsidRPr="00EA3C27" w:rsidRDefault="000E16EF" w:rsidP="00740A96">
      <w:pPr>
        <w:keepNext/>
        <w:spacing w:before="240" w:after="120"/>
        <w:jc w:val="both"/>
        <w:rPr>
          <w:i/>
          <w:lang w:val="fr-FR"/>
        </w:rPr>
      </w:pPr>
      <w:r w:rsidRPr="00EA3C27">
        <w:rPr>
          <w:i/>
          <w:lang w:val="fr-FR"/>
        </w:rPr>
        <w:t xml:space="preserve"> </w:t>
      </w:r>
      <w:r w:rsidR="00F718DE" w:rsidRPr="00EA3C27">
        <w:rPr>
          <w:i/>
          <w:lang w:val="fr-FR"/>
        </w:rPr>
        <w:t>(ii) Appui au retour hors Bangui</w:t>
      </w:r>
    </w:p>
    <w:p w:rsidR="000D2958" w:rsidRPr="00EA3C27" w:rsidRDefault="00D25C9B" w:rsidP="000D2958">
      <w:pPr>
        <w:spacing w:before="100" w:beforeAutospacing="1" w:after="120"/>
        <w:jc w:val="both"/>
        <w:rPr>
          <w:lang w:val="fr-FR" w:eastAsia="en-GB"/>
        </w:rPr>
      </w:pPr>
      <w:r w:rsidRPr="00EA3C27">
        <w:rPr>
          <w:lang w:val="fr-FR"/>
        </w:rPr>
        <w:t xml:space="preserve">Suite à l'étude financée par le Fonds Bêkou en août 2016, les principaux </w:t>
      </w:r>
      <w:r w:rsidR="008C7096" w:rsidRPr="00EA3C27">
        <w:rPr>
          <w:lang w:val="fr-FR"/>
        </w:rPr>
        <w:t xml:space="preserve">mouvements de retour ou de rapatriement étaient enregistrés davantage dans les préfectures de l'Ouham </w:t>
      </w:r>
      <w:proofErr w:type="spellStart"/>
      <w:r w:rsidR="008C7096" w:rsidRPr="00EA3C27">
        <w:rPr>
          <w:lang w:val="fr-FR"/>
        </w:rPr>
        <w:t>Pendé</w:t>
      </w:r>
      <w:proofErr w:type="spellEnd"/>
      <w:r w:rsidR="008C7096" w:rsidRPr="00EA3C27">
        <w:rPr>
          <w:lang w:val="fr-FR"/>
        </w:rPr>
        <w:t xml:space="preserve"> et de la Nana </w:t>
      </w:r>
      <w:proofErr w:type="spellStart"/>
      <w:r w:rsidR="008C7096" w:rsidRPr="00EA3C27">
        <w:rPr>
          <w:lang w:val="fr-FR"/>
        </w:rPr>
        <w:t>Mambéré</w:t>
      </w:r>
      <w:proofErr w:type="spellEnd"/>
      <w:r w:rsidR="008C7096" w:rsidRPr="00EA3C27">
        <w:rPr>
          <w:lang w:val="fr-FR"/>
        </w:rPr>
        <w:t>/</w:t>
      </w:r>
      <w:proofErr w:type="spellStart"/>
      <w:r w:rsidR="008C7096" w:rsidRPr="00EA3C27">
        <w:rPr>
          <w:lang w:val="fr-FR"/>
        </w:rPr>
        <w:t>Mambéré</w:t>
      </w:r>
      <w:proofErr w:type="spellEnd"/>
      <w:r w:rsidR="008C7096" w:rsidRPr="00EA3C27">
        <w:rPr>
          <w:lang w:val="fr-FR"/>
        </w:rPr>
        <w:t xml:space="preserve"> </w:t>
      </w:r>
      <w:proofErr w:type="spellStart"/>
      <w:r w:rsidR="008C7096" w:rsidRPr="00EA3C27">
        <w:rPr>
          <w:lang w:val="fr-FR"/>
        </w:rPr>
        <w:t>Kadei</w:t>
      </w:r>
      <w:proofErr w:type="spellEnd"/>
      <w:r w:rsidR="008C7096" w:rsidRPr="00EA3C27">
        <w:rPr>
          <w:lang w:val="fr-FR"/>
        </w:rPr>
        <w:t xml:space="preserve">. Cette tendance est confirmée par </w:t>
      </w:r>
      <w:r w:rsidR="00752BB0" w:rsidRPr="00EA3C27">
        <w:rPr>
          <w:lang w:val="fr-FR"/>
        </w:rPr>
        <w:t xml:space="preserve">les </w:t>
      </w:r>
      <w:r w:rsidR="008C7096" w:rsidRPr="00EA3C27">
        <w:rPr>
          <w:lang w:val="fr-FR"/>
        </w:rPr>
        <w:t>récentes données</w:t>
      </w:r>
      <w:r w:rsidR="000D2958" w:rsidRPr="00EA3C27">
        <w:rPr>
          <w:lang w:val="fr-FR"/>
        </w:rPr>
        <w:t xml:space="preserve"> du</w:t>
      </w:r>
      <w:r w:rsidR="00D54792" w:rsidRPr="00EA3C27">
        <w:rPr>
          <w:lang w:val="fr-FR"/>
        </w:rPr>
        <w:t xml:space="preserve"> Bulletin d'information Solutions Durables </w:t>
      </w:r>
      <w:r w:rsidR="00747010" w:rsidRPr="00EA3C27">
        <w:rPr>
          <w:lang w:val="fr-FR"/>
        </w:rPr>
        <w:t xml:space="preserve">(janvier 2017) </w:t>
      </w:r>
      <w:r w:rsidR="00747010" w:rsidRPr="00EA3C27">
        <w:rPr>
          <w:bCs/>
          <w:lang w:val="fr-FR" w:eastAsia="en-GB"/>
        </w:rPr>
        <w:t xml:space="preserve">qui estime à </w:t>
      </w:r>
      <w:r w:rsidR="00620E1D" w:rsidRPr="00EA3C27">
        <w:rPr>
          <w:lang w:val="fr-FR" w:eastAsia="en-GB"/>
        </w:rPr>
        <w:t>34,</w:t>
      </w:r>
      <w:r w:rsidR="00747010" w:rsidRPr="00EA3C27">
        <w:rPr>
          <w:lang w:val="fr-FR" w:eastAsia="en-GB"/>
        </w:rPr>
        <w:t>351 le nombre de réfugiés qui se sont spontanément rapatriés e</w:t>
      </w:r>
      <w:r w:rsidR="00620E1D" w:rsidRPr="00EA3C27">
        <w:rPr>
          <w:lang w:val="fr-FR" w:eastAsia="en-GB"/>
        </w:rPr>
        <w:t>n Centrafrique en 2016, dont 6,</w:t>
      </w:r>
      <w:r w:rsidR="00747010" w:rsidRPr="00EA3C27">
        <w:rPr>
          <w:lang w:val="fr-FR" w:eastAsia="en-GB"/>
        </w:rPr>
        <w:t xml:space="preserve">872 </w:t>
      </w:r>
      <w:r w:rsidR="00747010" w:rsidRPr="00EA3C27">
        <w:rPr>
          <w:bCs/>
          <w:lang w:val="fr-FR" w:eastAsia="en-GB"/>
        </w:rPr>
        <w:t xml:space="preserve">dans </w:t>
      </w:r>
      <w:r w:rsidR="00747010" w:rsidRPr="00EA3C27">
        <w:rPr>
          <w:lang w:val="fr-FR" w:eastAsia="en-GB"/>
        </w:rPr>
        <w:t xml:space="preserve">l’Ouham </w:t>
      </w:r>
      <w:proofErr w:type="spellStart"/>
      <w:r w:rsidR="00747010" w:rsidRPr="00EA3C27">
        <w:rPr>
          <w:lang w:val="fr-FR" w:eastAsia="en-GB"/>
        </w:rPr>
        <w:t>Pendé</w:t>
      </w:r>
      <w:proofErr w:type="spellEnd"/>
      <w:r w:rsidR="00747010" w:rsidRPr="00EA3C27">
        <w:rPr>
          <w:lang w:val="fr-FR" w:eastAsia="en-GB"/>
        </w:rPr>
        <w:t xml:space="preserve"> qui reste la zone principale de retours</w:t>
      </w:r>
      <w:r w:rsidR="00747010" w:rsidRPr="00EA3C27">
        <w:rPr>
          <w:lang w:val="fr-FR"/>
        </w:rPr>
        <w:t>.</w:t>
      </w:r>
    </w:p>
    <w:p w:rsidR="000D2958" w:rsidRPr="00EA3C27" w:rsidRDefault="00FC3E19" w:rsidP="000D2958">
      <w:pPr>
        <w:spacing w:before="100" w:beforeAutospacing="1" w:after="120"/>
        <w:jc w:val="both"/>
        <w:rPr>
          <w:lang w:val="fr-FR"/>
        </w:rPr>
      </w:pPr>
      <w:r w:rsidRPr="00EA3C27">
        <w:rPr>
          <w:lang w:val="fr-FR"/>
        </w:rPr>
        <w:t xml:space="preserve">Ainsi, un soutien aux retours spontanés sera mis en place dans </w:t>
      </w:r>
      <w:r w:rsidR="00740A96">
        <w:rPr>
          <w:lang w:val="fr-FR"/>
        </w:rPr>
        <w:t xml:space="preserve">les zones propices, </w:t>
      </w:r>
      <w:r w:rsidR="00740A96" w:rsidRPr="00CF0F91">
        <w:rPr>
          <w:lang w:val="fr-FR"/>
        </w:rPr>
        <w:t>de façon indicative</w:t>
      </w:r>
      <w:r w:rsidR="00740A96">
        <w:rPr>
          <w:lang w:val="fr-FR"/>
        </w:rPr>
        <w:t xml:space="preserve"> dans </w:t>
      </w:r>
      <w:r w:rsidRPr="00740A96">
        <w:rPr>
          <w:lang w:val="fr-FR"/>
        </w:rPr>
        <w:t>la zone plus frontalière avec le Cameroun</w:t>
      </w:r>
      <w:r w:rsidR="00EC45F2" w:rsidRPr="00740A96">
        <w:rPr>
          <w:lang w:val="fr-FR"/>
        </w:rPr>
        <w:t>, pays accu</w:t>
      </w:r>
      <w:r w:rsidR="00C67085" w:rsidRPr="00740A96">
        <w:rPr>
          <w:lang w:val="fr-FR"/>
        </w:rPr>
        <w:t>e</w:t>
      </w:r>
      <w:r w:rsidR="00620E1D" w:rsidRPr="00740A96">
        <w:rPr>
          <w:lang w:val="fr-FR"/>
        </w:rPr>
        <w:t>illant plus de 250,000 ré</w:t>
      </w:r>
      <w:r w:rsidR="00EC45F2" w:rsidRPr="00740A96">
        <w:rPr>
          <w:lang w:val="fr-FR"/>
        </w:rPr>
        <w:t>fugiés centrafricains,</w:t>
      </w:r>
      <w:r w:rsidRPr="00740A96">
        <w:rPr>
          <w:lang w:val="fr-FR"/>
        </w:rPr>
        <w:t xml:space="preserve"> (Nana </w:t>
      </w:r>
      <w:proofErr w:type="spellStart"/>
      <w:r w:rsidRPr="00740A96">
        <w:rPr>
          <w:lang w:val="fr-FR"/>
        </w:rPr>
        <w:t>Mambéré</w:t>
      </w:r>
      <w:proofErr w:type="spellEnd"/>
      <w:r w:rsidR="00620E1D" w:rsidRPr="00740A96">
        <w:rPr>
          <w:lang w:val="fr-FR"/>
        </w:rPr>
        <w:t xml:space="preserve"> </w:t>
      </w:r>
      <w:r w:rsidRPr="00740A96">
        <w:rPr>
          <w:lang w:val="fr-FR"/>
        </w:rPr>
        <w:t>/</w:t>
      </w:r>
      <w:r w:rsidR="00620E1D" w:rsidRPr="00740A96">
        <w:rPr>
          <w:lang w:val="fr-FR"/>
        </w:rPr>
        <w:t xml:space="preserve"> </w:t>
      </w:r>
      <w:proofErr w:type="spellStart"/>
      <w:r w:rsidRPr="00740A96">
        <w:rPr>
          <w:lang w:val="fr-FR"/>
        </w:rPr>
        <w:t>Mambéré</w:t>
      </w:r>
      <w:proofErr w:type="spellEnd"/>
      <w:r w:rsidRPr="00740A96">
        <w:rPr>
          <w:lang w:val="fr-FR"/>
        </w:rPr>
        <w:t xml:space="preserve"> </w:t>
      </w:r>
      <w:proofErr w:type="spellStart"/>
      <w:r w:rsidRPr="00740A96">
        <w:rPr>
          <w:lang w:val="fr-FR"/>
        </w:rPr>
        <w:t>Kadei</w:t>
      </w:r>
      <w:proofErr w:type="spellEnd"/>
      <w:r w:rsidR="00740A96" w:rsidRPr="00740A96">
        <w:rPr>
          <w:lang w:val="fr-FR"/>
        </w:rPr>
        <w:t xml:space="preserve">, </w:t>
      </w:r>
      <w:r w:rsidR="00740A96" w:rsidRPr="00CF0F91">
        <w:rPr>
          <w:lang w:val="fr-FR"/>
        </w:rPr>
        <w:t>Sangha-</w:t>
      </w:r>
      <w:proofErr w:type="spellStart"/>
      <w:r w:rsidR="00740A96" w:rsidRPr="00CF0F91">
        <w:rPr>
          <w:lang w:val="fr-FR"/>
        </w:rPr>
        <w:t>Mbaéré</w:t>
      </w:r>
      <w:proofErr w:type="spellEnd"/>
      <w:r w:rsidRPr="00CF0F91">
        <w:rPr>
          <w:lang w:val="fr-FR"/>
        </w:rPr>
        <w:t>)</w:t>
      </w:r>
      <w:r w:rsidRPr="00740A96">
        <w:rPr>
          <w:lang w:val="fr-FR"/>
        </w:rPr>
        <w:t xml:space="preserve"> et celle avec le Tchad</w:t>
      </w:r>
      <w:r w:rsidR="00620E1D" w:rsidRPr="00740A96">
        <w:rPr>
          <w:lang w:val="fr-FR"/>
        </w:rPr>
        <w:t xml:space="preserve"> </w:t>
      </w:r>
      <w:r w:rsidRPr="00740A96">
        <w:rPr>
          <w:lang w:val="fr-FR"/>
        </w:rPr>
        <w:t>(Ouha</w:t>
      </w:r>
      <w:r w:rsidRPr="00EA3C27">
        <w:rPr>
          <w:lang w:val="fr-FR"/>
        </w:rPr>
        <w:t xml:space="preserve">m </w:t>
      </w:r>
      <w:proofErr w:type="spellStart"/>
      <w:r w:rsidRPr="00EA3C27">
        <w:rPr>
          <w:lang w:val="fr-FR"/>
        </w:rPr>
        <w:t>Pendé</w:t>
      </w:r>
      <w:proofErr w:type="spellEnd"/>
      <w:r w:rsidR="00620E1D" w:rsidRPr="00EA3C27">
        <w:rPr>
          <w:lang w:val="fr-FR"/>
        </w:rPr>
        <w:t xml:space="preserve"> </w:t>
      </w:r>
      <w:r w:rsidRPr="00EA3C27">
        <w:rPr>
          <w:lang w:val="fr-FR"/>
        </w:rPr>
        <w:t>/</w:t>
      </w:r>
      <w:r w:rsidR="00620E1D" w:rsidRPr="00EA3C27">
        <w:rPr>
          <w:lang w:val="fr-FR"/>
        </w:rPr>
        <w:t xml:space="preserve"> </w:t>
      </w:r>
      <w:r w:rsidRPr="00EA3C27">
        <w:rPr>
          <w:lang w:val="fr-FR"/>
        </w:rPr>
        <w:t>Ouham).</w:t>
      </w:r>
      <w:r w:rsidR="003B4D4D" w:rsidRPr="00EA3C27">
        <w:rPr>
          <w:lang w:val="fr-FR"/>
        </w:rPr>
        <w:t xml:space="preserve"> </w:t>
      </w:r>
    </w:p>
    <w:p w:rsidR="00F718DE" w:rsidRPr="00EA3C27" w:rsidRDefault="003B4D4D" w:rsidP="000D2958">
      <w:pPr>
        <w:spacing w:before="100" w:beforeAutospacing="1" w:after="120"/>
        <w:jc w:val="both"/>
        <w:rPr>
          <w:lang w:val="fr-FR"/>
        </w:rPr>
      </w:pPr>
      <w:r w:rsidRPr="00EA3C27">
        <w:rPr>
          <w:lang w:val="fr-FR"/>
        </w:rPr>
        <w:t>Par ailleurs, suite au retrait</w:t>
      </w:r>
      <w:r w:rsidR="000D2958" w:rsidRPr="00EA3C27">
        <w:rPr>
          <w:lang w:val="fr-FR"/>
        </w:rPr>
        <w:t xml:space="preserve"> récent</w:t>
      </w:r>
      <w:r w:rsidRPr="00EA3C27">
        <w:rPr>
          <w:lang w:val="fr-FR"/>
        </w:rPr>
        <w:t xml:space="preserve"> des groupes armés </w:t>
      </w:r>
      <w:r w:rsidR="00C67085" w:rsidRPr="00EA3C27">
        <w:rPr>
          <w:lang w:val="fr-FR"/>
        </w:rPr>
        <w:t>de</w:t>
      </w:r>
      <w:r w:rsidRPr="00EA3C27">
        <w:rPr>
          <w:lang w:val="fr-FR"/>
        </w:rPr>
        <w:t xml:space="preserve"> </w:t>
      </w:r>
      <w:r w:rsidRPr="00740A96">
        <w:rPr>
          <w:lang w:val="fr-FR"/>
        </w:rPr>
        <w:t>Bambari</w:t>
      </w:r>
      <w:r w:rsidR="008E2D83" w:rsidRPr="00740A96">
        <w:rPr>
          <w:lang w:val="fr-FR"/>
        </w:rPr>
        <w:t xml:space="preserve"> (</w:t>
      </w:r>
      <w:proofErr w:type="spellStart"/>
      <w:r w:rsidR="008E2D83" w:rsidRPr="00740A96">
        <w:rPr>
          <w:lang w:val="fr-FR"/>
        </w:rPr>
        <w:t>Ouaka</w:t>
      </w:r>
      <w:proofErr w:type="spellEnd"/>
      <w:r w:rsidR="008E2D83" w:rsidRPr="00740A96">
        <w:rPr>
          <w:lang w:val="fr-FR"/>
        </w:rPr>
        <w:t>)</w:t>
      </w:r>
      <w:r w:rsidRPr="00740A96">
        <w:rPr>
          <w:lang w:val="fr-FR"/>
        </w:rPr>
        <w:t>,</w:t>
      </w:r>
      <w:r w:rsidR="000D2958" w:rsidRPr="00740A96">
        <w:rPr>
          <w:lang w:val="fr-FR"/>
        </w:rPr>
        <w:t xml:space="preserve"> il</w:t>
      </w:r>
      <w:r w:rsidR="000D2958" w:rsidRPr="00EA3C27">
        <w:rPr>
          <w:lang w:val="fr-FR"/>
        </w:rPr>
        <w:t xml:space="preserve"> s'avère nécessaire selon l</w:t>
      </w:r>
      <w:r w:rsidR="00825434" w:rsidRPr="00EA3C27">
        <w:rPr>
          <w:lang w:val="fr-FR"/>
        </w:rPr>
        <w:t>e</w:t>
      </w:r>
      <w:r w:rsidR="00620E1D" w:rsidRPr="00EA3C27">
        <w:rPr>
          <w:lang w:val="fr-FR"/>
        </w:rPr>
        <w:t xml:space="preserve"> g</w:t>
      </w:r>
      <w:r w:rsidR="000D2958" w:rsidRPr="00EA3C27">
        <w:rPr>
          <w:lang w:val="fr-FR"/>
        </w:rPr>
        <w:t xml:space="preserve">ouvernement et </w:t>
      </w:r>
      <w:r w:rsidR="00825434" w:rsidRPr="00EA3C27">
        <w:rPr>
          <w:lang w:val="fr-FR"/>
        </w:rPr>
        <w:t>s</w:t>
      </w:r>
      <w:r w:rsidR="000D2958" w:rsidRPr="00EA3C27">
        <w:rPr>
          <w:lang w:val="fr-FR"/>
        </w:rPr>
        <w:t>es principaux P</w:t>
      </w:r>
      <w:r w:rsidR="00825434" w:rsidRPr="00EA3C27">
        <w:rPr>
          <w:lang w:val="fr-FR"/>
        </w:rPr>
        <w:t>artenaires Techniques et Financiers</w:t>
      </w:r>
      <w:r w:rsidR="000D2958" w:rsidRPr="00EA3C27">
        <w:rPr>
          <w:lang w:val="fr-FR"/>
        </w:rPr>
        <w:t xml:space="preserve"> d'initier le plus rapidement possible des actions </w:t>
      </w:r>
      <w:r w:rsidR="00825434" w:rsidRPr="00EA3C27">
        <w:rPr>
          <w:lang w:val="fr-FR"/>
        </w:rPr>
        <w:t>en faveur de</w:t>
      </w:r>
      <w:r w:rsidR="000D2958" w:rsidRPr="00EA3C27">
        <w:rPr>
          <w:lang w:val="fr-FR"/>
        </w:rPr>
        <w:t xml:space="preserve"> l'appui au retour,</w:t>
      </w:r>
      <w:r w:rsidR="00825434" w:rsidRPr="00EA3C27">
        <w:rPr>
          <w:lang w:val="fr-FR"/>
        </w:rPr>
        <w:t xml:space="preserve"> </w:t>
      </w:r>
      <w:r w:rsidR="000D2958" w:rsidRPr="00EA3C27">
        <w:rPr>
          <w:lang w:val="fr-FR"/>
        </w:rPr>
        <w:t xml:space="preserve">l'apaisement des tensions sociales et </w:t>
      </w:r>
      <w:r w:rsidR="00825434" w:rsidRPr="00EA3C27">
        <w:rPr>
          <w:lang w:val="fr-FR"/>
        </w:rPr>
        <w:t>du</w:t>
      </w:r>
      <w:r w:rsidR="000D2958" w:rsidRPr="00EA3C27">
        <w:rPr>
          <w:lang w:val="fr-FR"/>
        </w:rPr>
        <w:t xml:space="preserve"> renforcement de</w:t>
      </w:r>
      <w:r w:rsidR="00825434" w:rsidRPr="00EA3C27">
        <w:rPr>
          <w:lang w:val="fr-FR"/>
        </w:rPr>
        <w:t xml:space="preserve"> la</w:t>
      </w:r>
      <w:r w:rsidR="00740A96">
        <w:rPr>
          <w:lang w:val="fr-FR"/>
        </w:rPr>
        <w:t xml:space="preserve"> </w:t>
      </w:r>
      <w:r w:rsidR="000D2958" w:rsidRPr="00EA3C27">
        <w:rPr>
          <w:lang w:val="fr-FR"/>
        </w:rPr>
        <w:t xml:space="preserve">résilience des communautés </w:t>
      </w:r>
      <w:r w:rsidR="00825434" w:rsidRPr="00EA3C27">
        <w:rPr>
          <w:lang w:val="fr-FR"/>
        </w:rPr>
        <w:t>affectées</w:t>
      </w:r>
      <w:r w:rsidR="000D2958" w:rsidRPr="00EA3C27">
        <w:rPr>
          <w:lang w:val="fr-FR"/>
        </w:rPr>
        <w:t>.</w:t>
      </w:r>
    </w:p>
    <w:p w:rsidR="00FC3E19" w:rsidRPr="00EA3C27" w:rsidRDefault="000B0569" w:rsidP="00620E1D">
      <w:pPr>
        <w:spacing w:before="100" w:beforeAutospacing="1" w:after="120"/>
        <w:jc w:val="both"/>
        <w:rPr>
          <w:u w:val="single"/>
          <w:lang w:val="fr-FR"/>
        </w:rPr>
      </w:pPr>
      <w:r w:rsidRPr="00EA3C27">
        <w:rPr>
          <w:u w:val="single"/>
          <w:lang w:val="fr-FR"/>
        </w:rPr>
        <w:t>Type d'a</w:t>
      </w:r>
      <w:r w:rsidR="00FC3E19" w:rsidRPr="00EA3C27">
        <w:rPr>
          <w:u w:val="single"/>
          <w:lang w:val="fr-FR"/>
        </w:rPr>
        <w:t xml:space="preserve">ctivités </w:t>
      </w:r>
    </w:p>
    <w:p w:rsidR="00FC3E19" w:rsidRPr="00EA3C27" w:rsidRDefault="00FC3E19" w:rsidP="00B97539">
      <w:pPr>
        <w:numPr>
          <w:ilvl w:val="0"/>
          <w:numId w:val="30"/>
        </w:numPr>
        <w:spacing w:before="100" w:beforeAutospacing="1" w:after="120"/>
        <w:jc w:val="both"/>
        <w:rPr>
          <w:lang w:val="fr-FR"/>
        </w:rPr>
      </w:pPr>
      <w:r w:rsidRPr="00EA3C27">
        <w:rPr>
          <w:lang w:val="fr-FR"/>
        </w:rPr>
        <w:t xml:space="preserve">Favoriser le dialogue intercommunautaire; </w:t>
      </w:r>
    </w:p>
    <w:p w:rsidR="00FC3E19" w:rsidRPr="00EA3C27" w:rsidRDefault="00FC3E19" w:rsidP="00B97539">
      <w:pPr>
        <w:numPr>
          <w:ilvl w:val="0"/>
          <w:numId w:val="30"/>
        </w:numPr>
        <w:spacing w:before="100" w:beforeAutospacing="1" w:after="120"/>
        <w:jc w:val="both"/>
        <w:rPr>
          <w:lang w:val="fr-FR"/>
        </w:rPr>
      </w:pPr>
      <w:r w:rsidRPr="00EA3C27">
        <w:rPr>
          <w:lang w:val="fr-FR"/>
        </w:rPr>
        <w:t xml:space="preserve">Fournir une assistance individuelle de protection aux plus vulnérables; </w:t>
      </w:r>
    </w:p>
    <w:p w:rsidR="00FC3E19" w:rsidRPr="00EA3C27" w:rsidRDefault="00FC3E19" w:rsidP="00B97539">
      <w:pPr>
        <w:numPr>
          <w:ilvl w:val="0"/>
          <w:numId w:val="30"/>
        </w:numPr>
        <w:spacing w:before="100" w:beforeAutospacing="1" w:after="120"/>
        <w:jc w:val="both"/>
        <w:rPr>
          <w:lang w:val="fr-FR"/>
        </w:rPr>
      </w:pPr>
      <w:r w:rsidRPr="00EA3C27">
        <w:rPr>
          <w:lang w:val="fr-FR"/>
        </w:rPr>
        <w:t xml:space="preserve">Fournir un appui psychosocial; </w:t>
      </w:r>
    </w:p>
    <w:p w:rsidR="00FC3E19" w:rsidRPr="00EA3C27" w:rsidRDefault="00FC3E19" w:rsidP="00B97539">
      <w:pPr>
        <w:numPr>
          <w:ilvl w:val="0"/>
          <w:numId w:val="30"/>
        </w:numPr>
        <w:spacing w:before="100" w:beforeAutospacing="1" w:after="120"/>
        <w:jc w:val="both"/>
        <w:rPr>
          <w:lang w:val="fr-FR"/>
        </w:rPr>
      </w:pPr>
      <w:r w:rsidRPr="00EA3C27">
        <w:rPr>
          <w:lang w:val="fr-FR"/>
        </w:rPr>
        <w:t xml:space="preserve">Fournir un appui en abris; </w:t>
      </w:r>
    </w:p>
    <w:p w:rsidR="00FC3E19" w:rsidRPr="00EA3C27" w:rsidRDefault="00FC3E19" w:rsidP="00B97539">
      <w:pPr>
        <w:numPr>
          <w:ilvl w:val="0"/>
          <w:numId w:val="30"/>
        </w:numPr>
        <w:spacing w:before="100" w:beforeAutospacing="1" w:after="120"/>
        <w:jc w:val="both"/>
        <w:rPr>
          <w:lang w:val="fr-FR"/>
        </w:rPr>
      </w:pPr>
      <w:r w:rsidRPr="00EA3C27">
        <w:rPr>
          <w:lang w:val="fr-FR"/>
        </w:rPr>
        <w:t xml:space="preserve">Contribuer à l'accès à l'eau et assainissement; </w:t>
      </w:r>
    </w:p>
    <w:p w:rsidR="00FC3E19" w:rsidRPr="00EA3C27" w:rsidRDefault="00FC3E19" w:rsidP="00B97539">
      <w:pPr>
        <w:numPr>
          <w:ilvl w:val="0"/>
          <w:numId w:val="30"/>
        </w:numPr>
        <w:spacing w:before="100" w:beforeAutospacing="1" w:after="120"/>
        <w:jc w:val="both"/>
        <w:rPr>
          <w:lang w:val="fr-FR"/>
        </w:rPr>
      </w:pPr>
      <w:r w:rsidRPr="00EA3C27">
        <w:rPr>
          <w:lang w:val="fr-FR"/>
        </w:rPr>
        <w:t>Mettre en œuvre des THIMO</w:t>
      </w:r>
      <w:r w:rsidR="00752BB0" w:rsidRPr="00EA3C27">
        <w:rPr>
          <w:lang w:val="fr-FR"/>
        </w:rPr>
        <w:t xml:space="preserve"> pour la réhabilitation d'infrastructures</w:t>
      </w:r>
      <w:r w:rsidRPr="00EA3C27">
        <w:rPr>
          <w:lang w:val="fr-FR"/>
        </w:rPr>
        <w:t xml:space="preserve">; </w:t>
      </w:r>
    </w:p>
    <w:p w:rsidR="00FC3E19" w:rsidRPr="00EA3C27" w:rsidRDefault="00192849" w:rsidP="00B97539">
      <w:pPr>
        <w:numPr>
          <w:ilvl w:val="0"/>
          <w:numId w:val="30"/>
        </w:numPr>
        <w:spacing w:before="100" w:beforeAutospacing="1" w:after="120"/>
        <w:jc w:val="both"/>
        <w:rPr>
          <w:lang w:val="fr-FR"/>
        </w:rPr>
      </w:pPr>
      <w:r w:rsidRPr="00EA3C27">
        <w:rPr>
          <w:lang w:val="fr-FR"/>
        </w:rPr>
        <w:t>Promouvoir les AGR (agricoles et non agricoles) selon l'approche "</w:t>
      </w:r>
      <w:r w:rsidR="00084EF2" w:rsidRPr="00EA3C27">
        <w:rPr>
          <w:lang w:val="fr-FR"/>
        </w:rPr>
        <w:t>c</w:t>
      </w:r>
      <w:r w:rsidRPr="00EA3C27">
        <w:rPr>
          <w:lang w:val="fr-FR"/>
        </w:rPr>
        <w:t>aisses de résilience"</w:t>
      </w:r>
      <w:r w:rsidR="00825434" w:rsidRPr="00EA3C27">
        <w:rPr>
          <w:lang w:val="fr-FR"/>
        </w:rPr>
        <w:t xml:space="preserve"> de manière </w:t>
      </w:r>
      <w:r w:rsidR="000D3652" w:rsidRPr="00EA3C27">
        <w:rPr>
          <w:lang w:val="fr-FR"/>
        </w:rPr>
        <w:t>inclusi</w:t>
      </w:r>
      <w:r w:rsidR="00825434" w:rsidRPr="00EA3C27">
        <w:rPr>
          <w:lang w:val="fr-FR"/>
        </w:rPr>
        <w:t xml:space="preserve">ve prenant </w:t>
      </w:r>
      <w:r w:rsidR="000D3652" w:rsidRPr="00EA3C27">
        <w:rPr>
          <w:lang w:val="fr-FR"/>
        </w:rPr>
        <w:t xml:space="preserve">en compte les groupes </w:t>
      </w:r>
      <w:r w:rsidR="00825434" w:rsidRPr="00EA3C27">
        <w:rPr>
          <w:lang w:val="fr-FR"/>
        </w:rPr>
        <w:t xml:space="preserve">de population </w:t>
      </w:r>
      <w:r w:rsidR="000D3652" w:rsidRPr="00EA3C27">
        <w:rPr>
          <w:lang w:val="fr-FR"/>
        </w:rPr>
        <w:t>à besoins spécifique</w:t>
      </w:r>
      <w:r w:rsidR="00825434" w:rsidRPr="00EA3C27">
        <w:rPr>
          <w:lang w:val="fr-FR"/>
        </w:rPr>
        <w:t>s</w:t>
      </w:r>
      <w:r w:rsidR="000D3652" w:rsidRPr="00EA3C27">
        <w:rPr>
          <w:lang w:val="fr-FR"/>
        </w:rPr>
        <w:t xml:space="preserve"> et marginalisés</w:t>
      </w:r>
      <w:r w:rsidRPr="00EA3C27">
        <w:rPr>
          <w:lang w:val="fr-FR"/>
        </w:rPr>
        <w:t xml:space="preserve">; </w:t>
      </w:r>
    </w:p>
    <w:p w:rsidR="00192849" w:rsidRPr="00EA3C27" w:rsidRDefault="00192849" w:rsidP="00B97539">
      <w:pPr>
        <w:numPr>
          <w:ilvl w:val="0"/>
          <w:numId w:val="30"/>
        </w:numPr>
        <w:spacing w:before="100" w:beforeAutospacing="1" w:after="120"/>
        <w:jc w:val="both"/>
        <w:rPr>
          <w:lang w:val="fr-FR"/>
        </w:rPr>
      </w:pPr>
      <w:r w:rsidRPr="00EA3C27">
        <w:rPr>
          <w:lang w:val="fr-FR"/>
        </w:rPr>
        <w:t xml:space="preserve">Appuyer les autorités locales (mairie, ACDA, ANDE, services décentralisés de l'Etat); </w:t>
      </w:r>
    </w:p>
    <w:p w:rsidR="00A1716C" w:rsidRPr="00EA3C27" w:rsidRDefault="00192849" w:rsidP="00B97539">
      <w:pPr>
        <w:numPr>
          <w:ilvl w:val="0"/>
          <w:numId w:val="30"/>
        </w:numPr>
        <w:spacing w:before="100" w:beforeAutospacing="1" w:after="120"/>
        <w:jc w:val="both"/>
        <w:rPr>
          <w:lang w:val="fr-FR"/>
        </w:rPr>
      </w:pPr>
      <w:r w:rsidRPr="00EA3C27">
        <w:rPr>
          <w:lang w:val="fr-FR"/>
        </w:rPr>
        <w:lastRenderedPageBreak/>
        <w:t>Appuyer les associations de jeunes pour la conduite d'activités socio-récréatives focalisées sur le vivre ensemble et le dialogue inter- et intracommunautaire.</w:t>
      </w:r>
    </w:p>
    <w:p w:rsidR="00425649" w:rsidRPr="00EA3C27" w:rsidRDefault="00B443FC" w:rsidP="00620E1D">
      <w:pPr>
        <w:pStyle w:val="Text2"/>
        <w:spacing w:before="100" w:beforeAutospacing="1"/>
        <w:ind w:left="0"/>
        <w:rPr>
          <w:b/>
          <w:u w:val="single"/>
          <w:lang w:val="fr-FR"/>
        </w:rPr>
      </w:pPr>
      <w:r w:rsidRPr="00EA3C27">
        <w:rPr>
          <w:b/>
          <w:u w:val="single"/>
          <w:lang w:val="fr-FR"/>
        </w:rPr>
        <w:t xml:space="preserve">Composante </w:t>
      </w:r>
      <w:r w:rsidR="00B80866" w:rsidRPr="00EA3C27">
        <w:rPr>
          <w:b/>
          <w:u w:val="single"/>
          <w:lang w:val="fr-FR"/>
        </w:rPr>
        <w:t>4</w:t>
      </w:r>
      <w:r w:rsidRPr="00EA3C27">
        <w:rPr>
          <w:b/>
          <w:u w:val="single"/>
          <w:lang w:val="fr-FR"/>
        </w:rPr>
        <w:t xml:space="preserve"> : soutien aux medias </w:t>
      </w:r>
      <w:r w:rsidR="00B80866" w:rsidRPr="00EA3C27">
        <w:rPr>
          <w:b/>
          <w:u w:val="single"/>
          <w:lang w:val="fr-FR"/>
        </w:rPr>
        <w:t>centrafricains</w:t>
      </w:r>
    </w:p>
    <w:p w:rsidR="00A7545C" w:rsidRPr="00EA3C27" w:rsidRDefault="00A7545C" w:rsidP="00620E1D">
      <w:pPr>
        <w:spacing w:before="100" w:beforeAutospacing="1" w:after="120"/>
        <w:jc w:val="both"/>
        <w:rPr>
          <w:rFonts w:eastAsia="Calibri"/>
          <w:lang w:val="fr-FR" w:eastAsia="ar-SA"/>
        </w:rPr>
      </w:pPr>
      <w:r w:rsidRPr="00EA3C27">
        <w:rPr>
          <w:rFonts w:eastAsia="Calibri"/>
          <w:lang w:val="fr-FR" w:eastAsia="ar-SA"/>
        </w:rPr>
        <w:t xml:space="preserve">La radio est le média le plus important en Centrafrique. Entre deux tiers et trois quarts des ménages disposent d’un récepteur radio. </w:t>
      </w:r>
    </w:p>
    <w:p w:rsidR="00A7545C" w:rsidRPr="00EA3C27" w:rsidRDefault="00A7545C" w:rsidP="00620E1D">
      <w:pPr>
        <w:spacing w:before="100" w:beforeAutospacing="1" w:after="120"/>
        <w:jc w:val="both"/>
        <w:rPr>
          <w:rFonts w:eastAsia="Calibri"/>
          <w:lang w:val="fr-FR" w:eastAsia="ar-SA"/>
        </w:rPr>
      </w:pPr>
      <w:r w:rsidRPr="00EA3C27">
        <w:rPr>
          <w:rFonts w:eastAsia="Calibri"/>
          <w:b/>
          <w:lang w:val="fr-FR" w:eastAsia="ar-SA"/>
        </w:rPr>
        <w:t>L’Association des Radios Communautaires de Centrafrique (ARC – Centrafrique)</w:t>
      </w:r>
      <w:r w:rsidR="00740A96">
        <w:rPr>
          <w:rFonts w:eastAsia="Calibri"/>
          <w:lang w:val="fr-FR" w:eastAsia="ar-SA"/>
        </w:rPr>
        <w:t xml:space="preserve"> </w:t>
      </w:r>
      <w:r w:rsidRPr="00EA3C27">
        <w:rPr>
          <w:rFonts w:eastAsia="Calibri"/>
          <w:lang w:val="fr-FR" w:eastAsia="ar-SA"/>
        </w:rPr>
        <w:t>a été créée le 13 juin 2009 en réponse au contexte socio-économique et aux conflits qui font le quotidien de ce pays. L’ARC se veut une plateforme qui protège les intérêts des radios communautaires confessionnelles ou non confessionnelles et mutualise leurs moyens pour renforcer les capacités de chacune d’entre elles.</w:t>
      </w:r>
    </w:p>
    <w:p w:rsidR="00A7545C" w:rsidRPr="00EA3C27" w:rsidRDefault="00A7545C" w:rsidP="00620E1D">
      <w:pPr>
        <w:spacing w:before="100" w:beforeAutospacing="1" w:after="120"/>
        <w:jc w:val="both"/>
        <w:rPr>
          <w:rFonts w:eastAsia="Calibri"/>
          <w:lang w:val="fr-FR" w:eastAsia="ar-SA"/>
        </w:rPr>
      </w:pPr>
      <w:r w:rsidRPr="00EA3C27">
        <w:rPr>
          <w:rFonts w:eastAsia="Calibri"/>
          <w:lang w:val="fr-FR" w:eastAsia="ar-SA"/>
        </w:rPr>
        <w:t>Le conflit qui a rava</w:t>
      </w:r>
      <w:r w:rsidR="00620E1D" w:rsidRPr="00EA3C27">
        <w:rPr>
          <w:rFonts w:eastAsia="Calibri"/>
          <w:lang w:val="fr-FR" w:eastAsia="ar-SA"/>
        </w:rPr>
        <w:t>gé l'ensemble de la République c</w:t>
      </w:r>
      <w:r w:rsidRPr="00EA3C27">
        <w:rPr>
          <w:rFonts w:eastAsia="Calibri"/>
          <w:lang w:val="fr-FR" w:eastAsia="ar-SA"/>
        </w:rPr>
        <w:t>entrafricaine n'a pas épargné les medias.</w:t>
      </w:r>
      <w:r w:rsidR="00740A96">
        <w:rPr>
          <w:rFonts w:eastAsia="Calibri"/>
          <w:lang w:val="fr-FR" w:eastAsia="ar-SA"/>
        </w:rPr>
        <w:t xml:space="preserve"> </w:t>
      </w:r>
    </w:p>
    <w:p w:rsidR="00933805" w:rsidRPr="00EA3C27" w:rsidRDefault="00A7545C" w:rsidP="00620E1D">
      <w:pPr>
        <w:spacing w:before="100" w:beforeAutospacing="1" w:after="120"/>
        <w:jc w:val="both"/>
        <w:rPr>
          <w:rFonts w:eastAsia="Calibri"/>
          <w:lang w:val="fr-FR" w:eastAsia="ar-SA"/>
        </w:rPr>
      </w:pPr>
      <w:r w:rsidRPr="00EA3C27">
        <w:rPr>
          <w:rFonts w:eastAsia="Calibri"/>
          <w:lang w:val="fr-FR" w:eastAsia="ar-SA"/>
        </w:rPr>
        <w:t xml:space="preserve">La plupart, cibles de militaires, milices et politiciens, a été pillée ou empêchée de fonctionner. La situation sécuritaire n’a pas permis aux journalistes de travailler de manière indépendante avec pour résultat une propagation de rumeurs et de désinformation dans l’ensemble du pays. </w:t>
      </w:r>
    </w:p>
    <w:p w:rsidR="00B80866" w:rsidRPr="00EA3C27" w:rsidRDefault="00A7545C" w:rsidP="00620E1D">
      <w:pPr>
        <w:spacing w:before="100" w:beforeAutospacing="1" w:after="120"/>
        <w:jc w:val="both"/>
        <w:rPr>
          <w:rFonts w:eastAsia="Calibri"/>
          <w:lang w:val="fr-FR" w:eastAsia="ar-SA"/>
        </w:rPr>
      </w:pPr>
      <w:r w:rsidRPr="00EA3C27">
        <w:rPr>
          <w:rFonts w:eastAsia="Calibri"/>
          <w:lang w:val="fr-FR" w:eastAsia="ar-SA"/>
        </w:rPr>
        <w:t>Plus affaiblie que jamais, la radio aura un rôle très important à jouer pour informer les populatio</w:t>
      </w:r>
      <w:r w:rsidR="009817C7" w:rsidRPr="00EA3C27">
        <w:rPr>
          <w:rFonts w:eastAsia="Calibri"/>
          <w:lang w:val="fr-FR" w:eastAsia="ar-SA"/>
        </w:rPr>
        <w:t xml:space="preserve">ns et désamorcer les tensions. </w:t>
      </w:r>
    </w:p>
    <w:p w:rsidR="00A7545C" w:rsidRPr="00EA3C27" w:rsidRDefault="00A7545C" w:rsidP="00620E1D">
      <w:pPr>
        <w:spacing w:before="100" w:beforeAutospacing="1" w:after="120"/>
        <w:jc w:val="both"/>
        <w:rPr>
          <w:rFonts w:eastAsia="Calibri"/>
          <w:lang w:val="fr-FR" w:eastAsia="ar-SA"/>
        </w:rPr>
      </w:pPr>
      <w:r w:rsidRPr="00EA3C27">
        <w:rPr>
          <w:rFonts w:eastAsia="Calibri"/>
          <w:b/>
          <w:lang w:val="fr-FR" w:eastAsia="ar-SA"/>
        </w:rPr>
        <w:t xml:space="preserve">Radio </w:t>
      </w:r>
      <w:proofErr w:type="spellStart"/>
      <w:r w:rsidRPr="00EA3C27">
        <w:rPr>
          <w:rFonts w:eastAsia="Calibri"/>
          <w:b/>
          <w:lang w:val="fr-FR" w:eastAsia="ar-SA"/>
        </w:rPr>
        <w:t>Ndeke</w:t>
      </w:r>
      <w:proofErr w:type="spellEnd"/>
      <w:r w:rsidRPr="00EA3C27">
        <w:rPr>
          <w:rFonts w:eastAsia="Calibri"/>
          <w:b/>
          <w:lang w:val="fr-FR" w:eastAsia="ar-SA"/>
        </w:rPr>
        <w:t xml:space="preserve"> Luka</w:t>
      </w:r>
      <w:r w:rsidRPr="00EA3C27">
        <w:rPr>
          <w:rFonts w:eastAsia="Calibri"/>
          <w:lang w:val="fr-FR" w:eastAsia="ar-SA"/>
        </w:rPr>
        <w:t xml:space="preserve"> (RNL) a survécu la crise déclenchée en 2013. Crée en 2000 par la Fondation Hirondelle, cette radio en 15 ans n’a connu que deux jours d’interruption en décembre 2013. La population, rassurée de l’entendre à nouveau, a manifesté sa joie à l’antenne. </w:t>
      </w:r>
    </w:p>
    <w:p w:rsidR="00A7545C" w:rsidRPr="00EA3C27" w:rsidRDefault="00A7545C" w:rsidP="00620E1D">
      <w:pPr>
        <w:spacing w:before="100" w:beforeAutospacing="1" w:after="120"/>
        <w:jc w:val="both"/>
        <w:rPr>
          <w:rFonts w:eastAsia="Calibri"/>
          <w:lang w:val="fr-FR" w:eastAsia="ar-SA"/>
        </w:rPr>
      </w:pPr>
      <w:r w:rsidRPr="00EA3C27">
        <w:rPr>
          <w:rFonts w:eastAsia="Calibri"/>
          <w:lang w:val="fr-FR" w:eastAsia="ar-SA"/>
        </w:rPr>
        <w:t xml:space="preserve">RNL est la seule radio en RCA qui émet en direct 24h/24 et 7 jours/7 en français et en </w:t>
      </w:r>
      <w:proofErr w:type="spellStart"/>
      <w:r w:rsidRPr="00EA3C27">
        <w:rPr>
          <w:rFonts w:eastAsia="Calibri"/>
          <w:lang w:val="fr-FR" w:eastAsia="ar-SA"/>
        </w:rPr>
        <w:t>sango</w:t>
      </w:r>
      <w:proofErr w:type="spellEnd"/>
      <w:r w:rsidRPr="00EA3C27">
        <w:rPr>
          <w:rFonts w:eastAsia="Calibri"/>
          <w:lang w:val="fr-FR" w:eastAsia="ar-SA"/>
        </w:rPr>
        <w:t>. Les émissions sont présentées uniquement par des Centrafricains. La radio compte maintenant une vingtaine de correspondants sur l’ensemble du territoire.</w:t>
      </w:r>
    </w:p>
    <w:p w:rsidR="007D1F95" w:rsidRPr="00EA3C27" w:rsidRDefault="00A7545C" w:rsidP="00620E1D">
      <w:pPr>
        <w:spacing w:before="100" w:beforeAutospacing="1" w:after="120"/>
        <w:jc w:val="both"/>
        <w:rPr>
          <w:rFonts w:eastAsia="Calibri"/>
          <w:lang w:val="fr-FR" w:eastAsia="ar-SA"/>
        </w:rPr>
      </w:pPr>
      <w:r w:rsidRPr="00EA3C27">
        <w:rPr>
          <w:rFonts w:eastAsia="Calibri"/>
          <w:lang w:val="fr-FR" w:eastAsia="ar-SA"/>
        </w:rPr>
        <w:t xml:space="preserve">Malgré le contexte sécuritaire difficile, RNL a maintenu ses plans de déploiement dans le pays et compte maintenant 4 émetteurs FM, diffuse deux heures d’émissions en Ondes courtes, est présente sur </w:t>
      </w:r>
      <w:r w:rsidR="007D1F95" w:rsidRPr="00EA3C27">
        <w:rPr>
          <w:rFonts w:eastAsia="Calibri"/>
          <w:lang w:val="fr-FR" w:eastAsia="ar-SA"/>
        </w:rPr>
        <w:t>l'internet</w:t>
      </w:r>
      <w:r w:rsidRPr="00EA3C27">
        <w:rPr>
          <w:rFonts w:eastAsia="Calibri"/>
          <w:lang w:val="fr-FR" w:eastAsia="ar-SA"/>
        </w:rPr>
        <w:t xml:space="preserve"> 24h/24 et sur le bouquet de Canal Satellite Afrique (n°248), ce qui lui permet aujourd’hui d’être reçu partout dans le pays. </w:t>
      </w:r>
    </w:p>
    <w:p w:rsidR="00B443FC" w:rsidRPr="00EA3C27" w:rsidRDefault="00B443FC" w:rsidP="00620E1D">
      <w:pPr>
        <w:spacing w:before="100" w:beforeAutospacing="1" w:after="120"/>
        <w:jc w:val="both"/>
        <w:rPr>
          <w:lang w:val="fr-FR"/>
        </w:rPr>
      </w:pPr>
      <w:r w:rsidRPr="00EA3C27">
        <w:rPr>
          <w:lang w:val="fr-FR"/>
        </w:rPr>
        <w:t>Ce</w:t>
      </w:r>
      <w:r w:rsidR="00F33907" w:rsidRPr="00EA3C27">
        <w:rPr>
          <w:lang w:val="fr-FR"/>
        </w:rPr>
        <w:t>tte composante</w:t>
      </w:r>
      <w:r w:rsidRPr="00EA3C27">
        <w:rPr>
          <w:lang w:val="fr-FR"/>
        </w:rPr>
        <w:t xml:space="preserve"> s’inscrit dans la continuité des actions menées dans le développement</w:t>
      </w:r>
      <w:r w:rsidR="00F33907" w:rsidRPr="00EA3C27">
        <w:rPr>
          <w:lang w:val="fr-FR"/>
        </w:rPr>
        <w:t xml:space="preserve"> et le renforcement</w:t>
      </w:r>
      <w:r w:rsidRPr="00EA3C27">
        <w:rPr>
          <w:lang w:val="fr-FR"/>
        </w:rPr>
        <w:t xml:space="preserve"> de Radio </w:t>
      </w:r>
      <w:proofErr w:type="spellStart"/>
      <w:r w:rsidRPr="00EA3C27">
        <w:rPr>
          <w:lang w:val="fr-FR"/>
        </w:rPr>
        <w:t>Ndeke</w:t>
      </w:r>
      <w:proofErr w:type="spellEnd"/>
      <w:r w:rsidRPr="00EA3C27">
        <w:rPr>
          <w:lang w:val="fr-FR"/>
        </w:rPr>
        <w:t xml:space="preserve"> Luka</w:t>
      </w:r>
      <w:r w:rsidR="006B3C45" w:rsidRPr="00EA3C27">
        <w:rPr>
          <w:lang w:val="fr-FR"/>
        </w:rPr>
        <w:t xml:space="preserve"> (RNL)</w:t>
      </w:r>
      <w:r w:rsidRPr="00EA3C27">
        <w:rPr>
          <w:lang w:val="fr-FR"/>
        </w:rPr>
        <w:t xml:space="preserve"> et des radios communautaires en RCA. Il permet l’accès à une information indépendante et de qualité dans une période d’instabilité et de rumeurs, permet le développement et le fonctionnement de</w:t>
      </w:r>
      <w:r w:rsidR="00740A96">
        <w:rPr>
          <w:lang w:val="fr-FR"/>
        </w:rPr>
        <w:t xml:space="preserve"> </w:t>
      </w:r>
      <w:r w:rsidRPr="00EA3C27">
        <w:rPr>
          <w:lang w:val="fr-FR"/>
        </w:rPr>
        <w:t xml:space="preserve">Radio </w:t>
      </w:r>
      <w:proofErr w:type="spellStart"/>
      <w:r w:rsidRPr="00EA3C27">
        <w:rPr>
          <w:lang w:val="fr-FR"/>
        </w:rPr>
        <w:t>Ndeke</w:t>
      </w:r>
      <w:proofErr w:type="spellEnd"/>
      <w:r w:rsidRPr="00EA3C27">
        <w:rPr>
          <w:lang w:val="fr-FR"/>
        </w:rPr>
        <w:t xml:space="preserve"> Luka comme fournisseur de ces informations,</w:t>
      </w:r>
      <w:r w:rsidR="00F33907" w:rsidRPr="00EA3C27">
        <w:rPr>
          <w:lang w:val="fr-FR"/>
        </w:rPr>
        <w:t xml:space="preserve"> ainsi que</w:t>
      </w:r>
      <w:r w:rsidRPr="00EA3C27">
        <w:rPr>
          <w:lang w:val="fr-FR"/>
        </w:rPr>
        <w:t xml:space="preserve"> l’extension du soutien aux autres acteurs radios locales. </w:t>
      </w:r>
    </w:p>
    <w:p w:rsidR="00B443FC" w:rsidRPr="00EA3C27" w:rsidRDefault="00B85FE7" w:rsidP="001A581E">
      <w:pPr>
        <w:spacing w:before="120" w:after="120"/>
        <w:jc w:val="both"/>
        <w:rPr>
          <w:u w:val="single"/>
          <w:lang w:val="fr-FR"/>
        </w:rPr>
      </w:pPr>
      <w:r w:rsidRPr="00EA3C27">
        <w:rPr>
          <w:u w:val="single"/>
          <w:lang w:val="fr-FR"/>
        </w:rPr>
        <w:t>Résultats attendus</w:t>
      </w:r>
    </w:p>
    <w:p w:rsidR="00743287" w:rsidRPr="00EA3C27" w:rsidRDefault="00CF7841" w:rsidP="001A581E">
      <w:pPr>
        <w:spacing w:before="100" w:beforeAutospacing="1" w:after="120"/>
        <w:jc w:val="both"/>
        <w:rPr>
          <w:i/>
          <w:lang w:val="fr-FR"/>
        </w:rPr>
      </w:pPr>
      <w:r w:rsidRPr="00EA3C27">
        <w:rPr>
          <w:i/>
          <w:lang w:val="fr-FR"/>
        </w:rPr>
        <w:t>1 – u</w:t>
      </w:r>
      <w:r w:rsidR="00300793" w:rsidRPr="00EA3C27">
        <w:rPr>
          <w:i/>
          <w:lang w:val="fr-FR"/>
        </w:rPr>
        <w:t>ne i</w:t>
      </w:r>
      <w:r w:rsidR="00743287" w:rsidRPr="00EA3C27">
        <w:rPr>
          <w:i/>
          <w:lang w:val="fr-FR"/>
        </w:rPr>
        <w:t>nformation</w:t>
      </w:r>
      <w:r w:rsidR="00300793" w:rsidRPr="00EA3C27">
        <w:rPr>
          <w:i/>
          <w:lang w:val="fr-FR"/>
        </w:rPr>
        <w:t xml:space="preserve"> responsable </w:t>
      </w:r>
      <w:r w:rsidR="00743287" w:rsidRPr="00EA3C27">
        <w:rPr>
          <w:i/>
          <w:lang w:val="fr-FR"/>
        </w:rPr>
        <w:t xml:space="preserve">sur les </w:t>
      </w:r>
      <w:r w:rsidR="00C26E47" w:rsidRPr="00EA3C27">
        <w:rPr>
          <w:i/>
          <w:lang w:val="fr-FR"/>
        </w:rPr>
        <w:t xml:space="preserve">principaux événements de la vie publique </w:t>
      </w:r>
      <w:r w:rsidR="00300793" w:rsidRPr="00EA3C27">
        <w:rPr>
          <w:i/>
          <w:lang w:val="fr-FR"/>
        </w:rPr>
        <w:t xml:space="preserve">est </w:t>
      </w:r>
      <w:r w:rsidR="00C26E47" w:rsidRPr="00EA3C27">
        <w:rPr>
          <w:i/>
          <w:lang w:val="fr-FR"/>
        </w:rPr>
        <w:t xml:space="preserve">assurée </w:t>
      </w:r>
      <w:r w:rsidR="00743287" w:rsidRPr="00EA3C27">
        <w:rPr>
          <w:i/>
          <w:lang w:val="fr-FR"/>
        </w:rPr>
        <w:t xml:space="preserve">et </w:t>
      </w:r>
      <w:r w:rsidR="00300793" w:rsidRPr="00EA3C27">
        <w:rPr>
          <w:i/>
          <w:lang w:val="fr-FR"/>
        </w:rPr>
        <w:t>la radio, à travers ses programmes, soutient les</w:t>
      </w:r>
      <w:r w:rsidR="00743287" w:rsidRPr="00EA3C27">
        <w:rPr>
          <w:i/>
          <w:lang w:val="fr-FR"/>
        </w:rPr>
        <w:t xml:space="preserve"> initiatives de réconciliation et de reconstruction du pays</w:t>
      </w:r>
    </w:p>
    <w:p w:rsidR="00B443FC" w:rsidRPr="00EA3C27" w:rsidRDefault="000B0569" w:rsidP="001A581E">
      <w:pPr>
        <w:spacing w:before="100" w:beforeAutospacing="1" w:after="120"/>
        <w:jc w:val="both"/>
        <w:rPr>
          <w:u w:val="single"/>
          <w:lang w:val="fr-FR"/>
        </w:rPr>
      </w:pPr>
      <w:r w:rsidRPr="00EA3C27">
        <w:rPr>
          <w:u w:val="single"/>
          <w:lang w:val="fr-FR"/>
        </w:rPr>
        <w:t>Type d'a</w:t>
      </w:r>
      <w:r w:rsidR="00620E1D" w:rsidRPr="00EA3C27">
        <w:rPr>
          <w:u w:val="single"/>
          <w:lang w:val="fr-FR"/>
        </w:rPr>
        <w:t>ctivités</w:t>
      </w:r>
      <w:r w:rsidR="00803C80">
        <w:rPr>
          <w:u w:val="single"/>
          <w:lang w:val="fr-FR"/>
        </w:rPr>
        <w:t xml:space="preserve"> </w:t>
      </w:r>
      <w:r w:rsidR="00803C80" w:rsidRPr="00CF0F91">
        <w:rPr>
          <w:u w:val="single"/>
          <w:lang w:val="fr-FR"/>
        </w:rPr>
        <w:t>(liste indicative)</w:t>
      </w:r>
    </w:p>
    <w:p w:rsidR="00B443FC" w:rsidRDefault="00974EDB" w:rsidP="00B97539">
      <w:pPr>
        <w:numPr>
          <w:ilvl w:val="0"/>
          <w:numId w:val="9"/>
        </w:numPr>
        <w:spacing w:before="100" w:beforeAutospacing="1" w:after="120"/>
        <w:jc w:val="both"/>
        <w:rPr>
          <w:lang w:val="fr-FR"/>
        </w:rPr>
      </w:pPr>
      <w:r w:rsidRPr="00EA3C27">
        <w:rPr>
          <w:lang w:val="fr-FR"/>
        </w:rPr>
        <w:lastRenderedPageBreak/>
        <w:t>Assurer</w:t>
      </w:r>
      <w:r w:rsidR="00B443FC" w:rsidRPr="00EA3C27">
        <w:rPr>
          <w:lang w:val="fr-FR"/>
        </w:rPr>
        <w:t xml:space="preserve"> l’accès aux programmes de Radio </w:t>
      </w:r>
      <w:proofErr w:type="spellStart"/>
      <w:r w:rsidR="00B443FC" w:rsidRPr="00EA3C27">
        <w:rPr>
          <w:lang w:val="fr-FR"/>
        </w:rPr>
        <w:t>Ndeke</w:t>
      </w:r>
      <w:proofErr w:type="spellEnd"/>
      <w:r w:rsidR="00B443FC" w:rsidRPr="00EA3C27">
        <w:rPr>
          <w:lang w:val="fr-FR"/>
        </w:rPr>
        <w:t xml:space="preserve"> Luka et la rediffusio</w:t>
      </w:r>
      <w:r w:rsidR="009817C7" w:rsidRPr="00EA3C27">
        <w:rPr>
          <w:lang w:val="fr-FR"/>
        </w:rPr>
        <w:t>n par les radios communautaires</w:t>
      </w:r>
      <w:r w:rsidR="00034637" w:rsidRPr="00EA3C27">
        <w:rPr>
          <w:lang w:val="fr-FR"/>
        </w:rPr>
        <w:t>;</w:t>
      </w:r>
    </w:p>
    <w:p w:rsidR="00740A96" w:rsidRPr="00CF0F91" w:rsidRDefault="00740A96" w:rsidP="00B97539">
      <w:pPr>
        <w:numPr>
          <w:ilvl w:val="0"/>
          <w:numId w:val="9"/>
        </w:numPr>
        <w:spacing w:before="100" w:beforeAutospacing="1" w:after="120"/>
        <w:jc w:val="both"/>
        <w:rPr>
          <w:lang w:val="fr-FR"/>
        </w:rPr>
      </w:pPr>
      <w:r w:rsidRPr="00CF0F91">
        <w:rPr>
          <w:lang w:val="fr-FR"/>
        </w:rPr>
        <w:t xml:space="preserve">Contribuer au renforcement de la gouvernance, à </w:t>
      </w:r>
      <w:r w:rsidR="00C8711A" w:rsidRPr="00CF0F91">
        <w:rPr>
          <w:lang w:val="fr-FR"/>
        </w:rPr>
        <w:t>l</w:t>
      </w:r>
      <w:r w:rsidRPr="00CF0F91">
        <w:rPr>
          <w:lang w:val="fr-FR"/>
        </w:rPr>
        <w:t xml:space="preserve">'autonomisation et la pérennisation de la radio </w:t>
      </w:r>
      <w:proofErr w:type="spellStart"/>
      <w:r w:rsidRPr="00CF0F91">
        <w:rPr>
          <w:lang w:val="fr-FR"/>
        </w:rPr>
        <w:t>Ndeke</w:t>
      </w:r>
      <w:proofErr w:type="spellEnd"/>
      <w:r w:rsidRPr="00CF0F91">
        <w:rPr>
          <w:lang w:val="fr-FR"/>
        </w:rPr>
        <w:t xml:space="preserve"> Luka;</w:t>
      </w:r>
    </w:p>
    <w:p w:rsidR="00B443FC" w:rsidRPr="00EA3C27" w:rsidRDefault="00B443FC" w:rsidP="00B97539">
      <w:pPr>
        <w:numPr>
          <w:ilvl w:val="0"/>
          <w:numId w:val="9"/>
        </w:numPr>
        <w:spacing w:before="100" w:beforeAutospacing="1" w:after="120"/>
        <w:jc w:val="both"/>
        <w:rPr>
          <w:lang w:val="fr-FR"/>
        </w:rPr>
      </w:pPr>
      <w:r w:rsidRPr="00EA3C27">
        <w:rPr>
          <w:lang w:val="fr-FR"/>
        </w:rPr>
        <w:t xml:space="preserve">Couvrir de manière responsable </w:t>
      </w:r>
      <w:r w:rsidR="00C26E47" w:rsidRPr="00EA3C27">
        <w:rPr>
          <w:lang w:val="fr-FR"/>
        </w:rPr>
        <w:t xml:space="preserve">les principaux événements de la vie publique </w:t>
      </w:r>
      <w:r w:rsidR="009817C7" w:rsidRPr="00EA3C27">
        <w:rPr>
          <w:lang w:val="fr-FR"/>
        </w:rPr>
        <w:t>dans toutes les provinces</w:t>
      </w:r>
      <w:r w:rsidR="00034637" w:rsidRPr="00EA3C27">
        <w:rPr>
          <w:lang w:val="fr-FR"/>
        </w:rPr>
        <w:t>;</w:t>
      </w:r>
    </w:p>
    <w:p w:rsidR="00B443FC" w:rsidRPr="00740A96" w:rsidRDefault="009817C7" w:rsidP="00740A96">
      <w:pPr>
        <w:numPr>
          <w:ilvl w:val="0"/>
          <w:numId w:val="9"/>
        </w:numPr>
        <w:spacing w:before="100" w:beforeAutospacing="1" w:after="120"/>
        <w:jc w:val="both"/>
        <w:rPr>
          <w:lang w:val="fr-FR"/>
        </w:rPr>
      </w:pPr>
      <w:r w:rsidRPr="00EA3C27">
        <w:rPr>
          <w:lang w:val="fr-FR"/>
        </w:rPr>
        <w:t>Valoriser les</w:t>
      </w:r>
      <w:r w:rsidR="00B443FC" w:rsidRPr="00EA3C27">
        <w:rPr>
          <w:lang w:val="fr-FR"/>
        </w:rPr>
        <w:t xml:space="preserve"> initiatives de réconciliation, permettre des débats entre </w:t>
      </w:r>
      <w:r w:rsidR="00F33907" w:rsidRPr="00EA3C27">
        <w:rPr>
          <w:lang w:val="fr-FR"/>
        </w:rPr>
        <w:t>communautés</w:t>
      </w:r>
      <w:r w:rsidR="00740A96">
        <w:rPr>
          <w:lang w:val="fr-FR"/>
        </w:rPr>
        <w:t xml:space="preserve"> </w:t>
      </w:r>
      <w:r w:rsidR="00B443FC" w:rsidRPr="00EA3C27">
        <w:rPr>
          <w:lang w:val="fr-FR"/>
        </w:rPr>
        <w:t>qui s’</w:t>
      </w:r>
      <w:r w:rsidR="00F33907" w:rsidRPr="00EA3C27">
        <w:rPr>
          <w:lang w:val="fr-FR"/>
        </w:rPr>
        <w:t xml:space="preserve">opposent, permettre un espace de dialogue entre </w:t>
      </w:r>
      <w:r w:rsidR="00B443FC" w:rsidRPr="00EA3C27">
        <w:rPr>
          <w:lang w:val="fr-FR"/>
        </w:rPr>
        <w:t xml:space="preserve">les </w:t>
      </w:r>
      <w:r w:rsidR="00F33907" w:rsidRPr="00EA3C27">
        <w:rPr>
          <w:lang w:val="fr-FR"/>
        </w:rPr>
        <w:t>diffé</w:t>
      </w:r>
      <w:r w:rsidRPr="00EA3C27">
        <w:rPr>
          <w:lang w:val="fr-FR"/>
        </w:rPr>
        <w:t>rents groupes de la population</w:t>
      </w:r>
      <w:r w:rsidR="00034637" w:rsidRPr="00740A96">
        <w:rPr>
          <w:lang w:val="fr-FR"/>
        </w:rPr>
        <w:t>.</w:t>
      </w:r>
      <w:r w:rsidRPr="00740A96">
        <w:rPr>
          <w:lang w:val="fr-FR"/>
        </w:rPr>
        <w:t xml:space="preserve"> </w:t>
      </w:r>
    </w:p>
    <w:p w:rsidR="00B443FC" w:rsidRPr="00EA3C27" w:rsidRDefault="00300793" w:rsidP="001A581E">
      <w:pPr>
        <w:spacing w:before="100" w:beforeAutospacing="1" w:after="120"/>
        <w:jc w:val="both"/>
        <w:rPr>
          <w:i/>
          <w:lang w:val="fr-FR"/>
        </w:rPr>
      </w:pPr>
      <w:r w:rsidRPr="00EA3C27">
        <w:rPr>
          <w:i/>
          <w:lang w:val="fr-FR"/>
        </w:rPr>
        <w:t>2 -</w:t>
      </w:r>
      <w:r w:rsidR="00B443FC" w:rsidRPr="00EA3C27">
        <w:rPr>
          <w:i/>
          <w:lang w:val="fr-FR"/>
        </w:rPr>
        <w:t xml:space="preserve"> </w:t>
      </w:r>
      <w:r w:rsidR="00CF7841" w:rsidRPr="00EA3C27">
        <w:rPr>
          <w:i/>
          <w:lang w:val="fr-FR"/>
        </w:rPr>
        <w:t>l</w:t>
      </w:r>
      <w:r w:rsidR="00F33907" w:rsidRPr="00EA3C27">
        <w:rPr>
          <w:i/>
          <w:lang w:val="fr-FR"/>
        </w:rPr>
        <w:t xml:space="preserve">es capacités de production et de diffusion des </w:t>
      </w:r>
      <w:r w:rsidR="006B3C45" w:rsidRPr="00EA3C27">
        <w:rPr>
          <w:i/>
          <w:lang w:val="fr-FR"/>
        </w:rPr>
        <w:t>radios communautaires</w:t>
      </w:r>
      <w:r w:rsidR="00F33907" w:rsidRPr="00EA3C27">
        <w:rPr>
          <w:i/>
          <w:lang w:val="fr-FR"/>
        </w:rPr>
        <w:t xml:space="preserve"> sont </w:t>
      </w:r>
      <w:r w:rsidR="006B3C45" w:rsidRPr="00EA3C27">
        <w:rPr>
          <w:i/>
          <w:lang w:val="fr-FR"/>
        </w:rPr>
        <w:t>renforcées</w:t>
      </w:r>
    </w:p>
    <w:p w:rsidR="00B443FC" w:rsidRPr="00EA3C27" w:rsidRDefault="000B0569" w:rsidP="001A581E">
      <w:pPr>
        <w:spacing w:before="100" w:beforeAutospacing="1" w:after="120"/>
        <w:jc w:val="both"/>
        <w:rPr>
          <w:u w:val="single"/>
          <w:lang w:val="fr-FR"/>
        </w:rPr>
      </w:pPr>
      <w:r w:rsidRPr="00EA3C27">
        <w:rPr>
          <w:u w:val="single"/>
          <w:lang w:val="fr-FR"/>
        </w:rPr>
        <w:t xml:space="preserve">Type </w:t>
      </w:r>
      <w:r w:rsidRPr="00CF0F91">
        <w:rPr>
          <w:u w:val="single"/>
          <w:lang w:val="fr-FR"/>
        </w:rPr>
        <w:t>d'a</w:t>
      </w:r>
      <w:r w:rsidR="00B443FC" w:rsidRPr="00CF0F91">
        <w:rPr>
          <w:u w:val="single"/>
          <w:lang w:val="fr-FR"/>
        </w:rPr>
        <w:t>ctivités </w:t>
      </w:r>
      <w:r w:rsidR="00803C80" w:rsidRPr="00CF0F91">
        <w:rPr>
          <w:u w:val="single"/>
          <w:lang w:val="fr-FR"/>
        </w:rPr>
        <w:t>(liste indicative)</w:t>
      </w:r>
    </w:p>
    <w:p w:rsidR="00B443FC" w:rsidRPr="00EA3C27" w:rsidRDefault="006B3C45" w:rsidP="00B97539">
      <w:pPr>
        <w:numPr>
          <w:ilvl w:val="0"/>
          <w:numId w:val="10"/>
        </w:numPr>
        <w:spacing w:before="100" w:beforeAutospacing="1" w:after="120"/>
        <w:jc w:val="both"/>
        <w:rPr>
          <w:lang w:val="fr-FR"/>
        </w:rPr>
      </w:pPr>
      <w:r w:rsidRPr="00EA3C27">
        <w:rPr>
          <w:lang w:val="fr-FR"/>
        </w:rPr>
        <w:t>Renforcement</w:t>
      </w:r>
      <w:r w:rsidR="00740A96">
        <w:rPr>
          <w:lang w:val="fr-FR"/>
        </w:rPr>
        <w:t xml:space="preserve"> </w:t>
      </w:r>
      <w:r w:rsidRPr="00EA3C27">
        <w:rPr>
          <w:lang w:val="fr-FR"/>
        </w:rPr>
        <w:t>de la gouvernance et de la viabilité des radios communautaires;</w:t>
      </w:r>
    </w:p>
    <w:p w:rsidR="00B443FC" w:rsidRPr="00EA3C27" w:rsidRDefault="00740A96" w:rsidP="00B97539">
      <w:pPr>
        <w:numPr>
          <w:ilvl w:val="0"/>
          <w:numId w:val="10"/>
        </w:numPr>
        <w:spacing w:before="100" w:beforeAutospacing="1" w:after="120"/>
        <w:jc w:val="both"/>
        <w:rPr>
          <w:lang w:val="fr-FR"/>
        </w:rPr>
      </w:pPr>
      <w:r>
        <w:rPr>
          <w:lang w:val="fr-FR"/>
        </w:rPr>
        <w:t>Organisation de c</w:t>
      </w:r>
      <w:r w:rsidR="006B3C45" w:rsidRPr="00EA3C27">
        <w:rPr>
          <w:lang w:val="fr-FR"/>
        </w:rPr>
        <w:t>yc</w:t>
      </w:r>
      <w:r w:rsidR="009817C7" w:rsidRPr="00EA3C27">
        <w:rPr>
          <w:lang w:val="fr-FR"/>
        </w:rPr>
        <w:t>les de formation sont organisés</w:t>
      </w:r>
      <w:r>
        <w:rPr>
          <w:lang w:val="fr-FR"/>
        </w:rPr>
        <w:t>, notamment pour les journalistes et animateurs</w:t>
      </w:r>
      <w:r w:rsidR="00034637" w:rsidRPr="00EA3C27">
        <w:rPr>
          <w:lang w:val="fr-FR"/>
        </w:rPr>
        <w:t>;</w:t>
      </w:r>
    </w:p>
    <w:p w:rsidR="00B443FC" w:rsidRDefault="006B3C45" w:rsidP="00B97539">
      <w:pPr>
        <w:numPr>
          <w:ilvl w:val="0"/>
          <w:numId w:val="10"/>
        </w:numPr>
        <w:spacing w:before="100" w:beforeAutospacing="1" w:after="120"/>
        <w:jc w:val="both"/>
        <w:rPr>
          <w:lang w:val="fr-FR"/>
        </w:rPr>
      </w:pPr>
      <w:r w:rsidRPr="00EA3C27">
        <w:rPr>
          <w:lang w:val="fr-FR"/>
        </w:rPr>
        <w:t>Appui au fonctionnement de l'Association des radios commu</w:t>
      </w:r>
      <w:r w:rsidR="009817C7" w:rsidRPr="00EA3C27">
        <w:rPr>
          <w:lang w:val="fr-FR"/>
        </w:rPr>
        <w:t>nautaires de Centrafrique (ARC</w:t>
      </w:r>
      <w:r w:rsidR="009817C7" w:rsidRPr="00CF0F91">
        <w:rPr>
          <w:lang w:val="fr-FR"/>
        </w:rPr>
        <w:t>)</w:t>
      </w:r>
      <w:r w:rsidR="00740A96" w:rsidRPr="00CF0F91">
        <w:rPr>
          <w:lang w:val="fr-FR"/>
        </w:rPr>
        <w:t xml:space="preserve">, notamment </w:t>
      </w:r>
      <w:r w:rsidR="00740A96" w:rsidRPr="00CF0F91">
        <w:rPr>
          <w:lang w:val="fr-BE"/>
        </w:rPr>
        <w:t>sur les aspects de gestion, plaidoyer et d'intermédiation financière</w:t>
      </w:r>
      <w:r w:rsidR="00B27EDC">
        <w:rPr>
          <w:lang w:val="fr-BE"/>
        </w:rPr>
        <w:t>.</w:t>
      </w:r>
    </w:p>
    <w:p w:rsidR="00841129" w:rsidRPr="00EA3C27" w:rsidRDefault="00841129" w:rsidP="00093D50">
      <w:pPr>
        <w:jc w:val="both"/>
        <w:rPr>
          <w:lang w:val="fr-FR"/>
        </w:rPr>
      </w:pPr>
    </w:p>
    <w:p w:rsidR="00892DAE" w:rsidRPr="00EA3C27" w:rsidRDefault="00892DAE" w:rsidP="00892DAE">
      <w:pPr>
        <w:pStyle w:val="Heading2"/>
        <w:tabs>
          <w:tab w:val="clear" w:pos="850"/>
          <w:tab w:val="left" w:pos="840"/>
        </w:tabs>
        <w:spacing w:before="240"/>
        <w:ind w:left="851" w:hanging="851"/>
        <w:rPr>
          <w:szCs w:val="24"/>
          <w:lang w:val="fr-FR"/>
        </w:rPr>
      </w:pPr>
      <w:r w:rsidRPr="00EA3C27">
        <w:rPr>
          <w:szCs w:val="24"/>
          <w:lang w:val="fr-FR"/>
        </w:rPr>
        <w:t>Risques et hypothèses</w:t>
      </w:r>
    </w:p>
    <w:p w:rsidR="00687809" w:rsidRPr="00EA3C27" w:rsidRDefault="00687809" w:rsidP="00A1716C">
      <w:pPr>
        <w:pStyle w:val="Heading2"/>
        <w:numPr>
          <w:ilvl w:val="0"/>
          <w:numId w:val="0"/>
        </w:numPr>
        <w:spacing w:before="60" w:after="60"/>
        <w:rPr>
          <w:szCs w:val="24"/>
          <w:lang w:val="fr-FR"/>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3141"/>
        <w:gridCol w:w="4835"/>
      </w:tblGrid>
      <w:tr w:rsidR="007D1F95" w:rsidRPr="00EA3C27" w:rsidTr="00C55C4A">
        <w:trPr>
          <w:trHeight w:val="459"/>
        </w:trPr>
        <w:tc>
          <w:tcPr>
            <w:tcW w:w="207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1F95" w:rsidRPr="00EA3C27" w:rsidRDefault="007D1F95" w:rsidP="00C55C4A">
            <w:pPr>
              <w:jc w:val="center"/>
              <w:rPr>
                <w:rFonts w:eastAsia="MS Mincho"/>
                <w:b/>
                <w:i/>
                <w:lang w:val="fr-FR"/>
              </w:rPr>
            </w:pPr>
            <w:r w:rsidRPr="00EA3C27">
              <w:rPr>
                <w:rFonts w:eastAsia="MS Mincho"/>
                <w:b/>
                <w:i/>
                <w:lang w:val="fr-FR"/>
              </w:rPr>
              <w:t>Catégorie</w:t>
            </w:r>
          </w:p>
        </w:tc>
        <w:tc>
          <w:tcPr>
            <w:tcW w:w="31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1F95" w:rsidRPr="00EA3C27" w:rsidRDefault="007D1F95" w:rsidP="00C55C4A">
            <w:pPr>
              <w:jc w:val="center"/>
              <w:rPr>
                <w:rFonts w:eastAsia="MS Mincho"/>
                <w:b/>
                <w:i/>
                <w:lang w:val="fr-FR"/>
              </w:rPr>
            </w:pPr>
            <w:r w:rsidRPr="00EA3C27">
              <w:rPr>
                <w:rFonts w:eastAsia="MS Mincho"/>
                <w:b/>
                <w:i/>
                <w:lang w:val="fr-FR"/>
              </w:rPr>
              <w:t>Descriptif</w:t>
            </w:r>
          </w:p>
        </w:tc>
        <w:tc>
          <w:tcPr>
            <w:tcW w:w="48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1F95" w:rsidRPr="00EA3C27" w:rsidRDefault="007D1F95" w:rsidP="00C55C4A">
            <w:pPr>
              <w:jc w:val="center"/>
              <w:rPr>
                <w:rFonts w:eastAsia="MS Mincho"/>
                <w:b/>
                <w:i/>
                <w:lang w:val="fr-FR"/>
              </w:rPr>
            </w:pPr>
            <w:r w:rsidRPr="00EA3C27">
              <w:rPr>
                <w:rFonts w:eastAsia="MS Mincho"/>
                <w:b/>
                <w:i/>
                <w:lang w:val="fr-FR"/>
              </w:rPr>
              <w:t>Stratégie de mitigation</w:t>
            </w:r>
          </w:p>
        </w:tc>
      </w:tr>
      <w:tr w:rsidR="007D1F95" w:rsidRPr="00824E91" w:rsidTr="00C55C4A">
        <w:tc>
          <w:tcPr>
            <w:tcW w:w="2079" w:type="dxa"/>
            <w:tcBorders>
              <w:top w:val="single" w:sz="4" w:space="0" w:color="auto"/>
              <w:left w:val="single" w:sz="4" w:space="0" w:color="auto"/>
              <w:bottom w:val="single" w:sz="4" w:space="0" w:color="auto"/>
              <w:right w:val="single" w:sz="4" w:space="0" w:color="auto"/>
            </w:tcBorders>
            <w:shd w:val="clear" w:color="auto" w:fill="FFFFFF"/>
            <w:hideMark/>
          </w:tcPr>
          <w:p w:rsidR="007D1F95" w:rsidRPr="00EA3C27" w:rsidRDefault="007D1F95" w:rsidP="007D1F95">
            <w:pPr>
              <w:rPr>
                <w:rFonts w:eastAsia="MS Mincho"/>
                <w:b/>
                <w:lang w:val="fr-FR"/>
              </w:rPr>
            </w:pPr>
            <w:r w:rsidRPr="00EA3C27">
              <w:rPr>
                <w:rFonts w:eastAsia="MS Mincho"/>
                <w:b/>
                <w:lang w:val="fr-FR"/>
              </w:rPr>
              <w:t>Risques sécuritaires</w:t>
            </w:r>
          </w:p>
        </w:tc>
        <w:tc>
          <w:tcPr>
            <w:tcW w:w="3144" w:type="dxa"/>
            <w:tcBorders>
              <w:top w:val="single" w:sz="4" w:space="0" w:color="auto"/>
              <w:left w:val="single" w:sz="4" w:space="0" w:color="auto"/>
              <w:bottom w:val="single" w:sz="4" w:space="0" w:color="auto"/>
              <w:right w:val="single" w:sz="4" w:space="0" w:color="auto"/>
            </w:tcBorders>
            <w:shd w:val="clear" w:color="auto" w:fill="FFFFFF"/>
            <w:hideMark/>
          </w:tcPr>
          <w:p w:rsidR="007D1F95" w:rsidRPr="00EA3C27" w:rsidRDefault="007D1F95" w:rsidP="009817C7">
            <w:pPr>
              <w:rPr>
                <w:rFonts w:eastAsia="MS Mincho"/>
                <w:lang w:val="fr-FR"/>
              </w:rPr>
            </w:pPr>
            <w:r w:rsidRPr="00EA3C27">
              <w:rPr>
                <w:rFonts w:eastAsia="MS Mincho"/>
                <w:lang w:val="fr-FR"/>
              </w:rPr>
              <w:t xml:space="preserve">La RCA demeure instable et les risques sécuritaires sont particulièrement </w:t>
            </w:r>
            <w:r w:rsidR="009817C7" w:rsidRPr="00EA3C27">
              <w:rPr>
                <w:rFonts w:eastAsia="MS Mincho"/>
                <w:lang w:val="fr-FR"/>
              </w:rPr>
              <w:t>élevés</w:t>
            </w:r>
            <w:r w:rsidRPr="00EA3C27">
              <w:rPr>
                <w:rFonts w:eastAsia="MS Mincho"/>
                <w:lang w:val="fr-FR"/>
              </w:rPr>
              <w:t>. Par ailleurs, la période électorale pourrait donner lieu à une recrudescence des violences.</w:t>
            </w:r>
          </w:p>
        </w:tc>
        <w:tc>
          <w:tcPr>
            <w:tcW w:w="4842" w:type="dxa"/>
            <w:tcBorders>
              <w:top w:val="single" w:sz="4" w:space="0" w:color="auto"/>
              <w:left w:val="single" w:sz="4" w:space="0" w:color="auto"/>
              <w:bottom w:val="single" w:sz="4" w:space="0" w:color="auto"/>
              <w:right w:val="single" w:sz="4" w:space="0" w:color="auto"/>
            </w:tcBorders>
            <w:shd w:val="clear" w:color="auto" w:fill="FFFFFF"/>
            <w:hideMark/>
          </w:tcPr>
          <w:p w:rsidR="007D1F95" w:rsidRPr="00EA3C27" w:rsidRDefault="007D1F95" w:rsidP="00B97539">
            <w:pPr>
              <w:numPr>
                <w:ilvl w:val="0"/>
                <w:numId w:val="5"/>
              </w:numPr>
              <w:suppressAutoHyphens w:val="0"/>
              <w:rPr>
                <w:rFonts w:eastAsia="MS Mincho"/>
                <w:lang w:val="fr-FR"/>
              </w:rPr>
            </w:pPr>
            <w:r w:rsidRPr="00EA3C27">
              <w:rPr>
                <w:rFonts w:eastAsia="MS Mincho"/>
                <w:lang w:val="fr-FR"/>
              </w:rPr>
              <w:t>Un lien avec les forces de sécurité, surtout la MINUSCA, sera maintenu durant la mise en œuvre du projet.</w:t>
            </w:r>
          </w:p>
          <w:p w:rsidR="007D1F95" w:rsidRPr="00EA3C27" w:rsidRDefault="007D1F95" w:rsidP="00B97539">
            <w:pPr>
              <w:numPr>
                <w:ilvl w:val="0"/>
                <w:numId w:val="5"/>
              </w:numPr>
              <w:suppressAutoHyphens w:val="0"/>
              <w:rPr>
                <w:rFonts w:eastAsia="MS Mincho"/>
                <w:lang w:val="fr-FR"/>
              </w:rPr>
            </w:pPr>
            <w:r w:rsidRPr="00EA3C27">
              <w:rPr>
                <w:rFonts w:eastAsia="MS Mincho"/>
                <w:lang w:val="fr-FR"/>
              </w:rPr>
              <w:t>En concertation avec le bailleur et les partenaires, il pourra être décidé d’arrêter, temporairement ou définitivement tout ou partie du projet, si la situation l’exigeait.</w:t>
            </w:r>
          </w:p>
        </w:tc>
      </w:tr>
      <w:tr w:rsidR="00F15F4E" w:rsidRPr="00824E91" w:rsidTr="00C55C4A">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7D1F95" w:rsidRPr="00EA3C27" w:rsidRDefault="007D1F95" w:rsidP="007D1F95">
            <w:pPr>
              <w:rPr>
                <w:rFonts w:eastAsia="MS Mincho"/>
                <w:lang w:val="fr-FR"/>
              </w:rPr>
            </w:pPr>
            <w:r w:rsidRPr="00EA3C27">
              <w:rPr>
                <w:rFonts w:eastAsia="MS Mincho"/>
                <w:b/>
                <w:lang w:val="fr-FR"/>
              </w:rPr>
              <w:t>Risques logistiques</w:t>
            </w:r>
          </w:p>
        </w:tc>
        <w:tc>
          <w:tcPr>
            <w:tcW w:w="3144" w:type="dxa"/>
            <w:tcBorders>
              <w:top w:val="single" w:sz="4" w:space="0" w:color="auto"/>
              <w:left w:val="single" w:sz="4" w:space="0" w:color="auto"/>
              <w:bottom w:val="single" w:sz="4" w:space="0" w:color="auto"/>
              <w:right w:val="single" w:sz="4" w:space="0" w:color="auto"/>
            </w:tcBorders>
            <w:shd w:val="clear" w:color="auto" w:fill="auto"/>
            <w:hideMark/>
          </w:tcPr>
          <w:p w:rsidR="007D1F95" w:rsidRPr="00EA3C27" w:rsidRDefault="007D1F95" w:rsidP="00F15F4E">
            <w:pPr>
              <w:rPr>
                <w:rFonts w:eastAsia="MS Mincho"/>
                <w:lang w:val="fr-FR"/>
              </w:rPr>
            </w:pPr>
            <w:r w:rsidRPr="00EA3C27">
              <w:rPr>
                <w:rFonts w:eastAsia="MS Mincho"/>
                <w:lang w:val="fr-FR"/>
              </w:rPr>
              <w:t>Les difficultés d’accès aux territoires d’intervention pourraient compromettre la mi</w:t>
            </w:r>
            <w:r w:rsidR="00F15F4E" w:rsidRPr="00EA3C27">
              <w:rPr>
                <w:rFonts w:eastAsia="MS Mincho"/>
                <w:lang w:val="fr-FR"/>
              </w:rPr>
              <w:t>se en œuvre effective du projet.</w:t>
            </w:r>
          </w:p>
        </w:tc>
        <w:tc>
          <w:tcPr>
            <w:tcW w:w="4842" w:type="dxa"/>
            <w:tcBorders>
              <w:top w:val="single" w:sz="4" w:space="0" w:color="auto"/>
              <w:left w:val="single" w:sz="4" w:space="0" w:color="auto"/>
              <w:bottom w:val="single" w:sz="4" w:space="0" w:color="auto"/>
              <w:right w:val="single" w:sz="4" w:space="0" w:color="auto"/>
            </w:tcBorders>
            <w:shd w:val="clear" w:color="auto" w:fill="auto"/>
            <w:hideMark/>
          </w:tcPr>
          <w:p w:rsidR="007D1F95" w:rsidRPr="00EA3C27" w:rsidRDefault="007D1F95" w:rsidP="00B97539">
            <w:pPr>
              <w:numPr>
                <w:ilvl w:val="0"/>
                <w:numId w:val="6"/>
              </w:numPr>
              <w:suppressAutoHyphens w:val="0"/>
              <w:rPr>
                <w:rFonts w:eastAsia="MS Mincho"/>
                <w:lang w:val="fr-FR"/>
              </w:rPr>
            </w:pPr>
            <w:r w:rsidRPr="00EA3C27">
              <w:rPr>
                <w:rFonts w:eastAsia="MS Mincho"/>
                <w:lang w:val="fr-FR"/>
              </w:rPr>
              <w:t>Appui et accords avec la</w:t>
            </w:r>
            <w:r w:rsidR="00740A96">
              <w:rPr>
                <w:rFonts w:eastAsia="MS Mincho"/>
                <w:lang w:val="fr-FR"/>
              </w:rPr>
              <w:t xml:space="preserve"> </w:t>
            </w:r>
            <w:r w:rsidRPr="00EA3C27">
              <w:rPr>
                <w:rFonts w:eastAsia="MS Mincho"/>
                <w:lang w:val="fr-FR"/>
              </w:rPr>
              <w:t>MINUSCA et UNHAS pour accéder aux territoires d’intervention.</w:t>
            </w:r>
          </w:p>
          <w:p w:rsidR="007D1F95" w:rsidRPr="00EA3C27" w:rsidRDefault="007D1F95" w:rsidP="00B97539">
            <w:pPr>
              <w:numPr>
                <w:ilvl w:val="0"/>
                <w:numId w:val="6"/>
              </w:numPr>
              <w:suppressAutoHyphens w:val="0"/>
              <w:rPr>
                <w:rFonts w:eastAsia="MS Mincho"/>
                <w:lang w:val="fr-FR"/>
              </w:rPr>
            </w:pPr>
            <w:r w:rsidRPr="00EA3C27">
              <w:rPr>
                <w:rFonts w:eastAsia="MS Mincho"/>
                <w:lang w:val="fr-FR"/>
              </w:rPr>
              <w:t>Des moyens financiers et logistiques sont prévus dans le cadre du projet afin d’assurer les déplacements des équipes, leur sécurité, le transport des biens et équipements.</w:t>
            </w:r>
          </w:p>
        </w:tc>
      </w:tr>
      <w:tr w:rsidR="00F15F4E" w:rsidRPr="00824E91" w:rsidTr="00C55C4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D1F95" w:rsidRPr="00EA3C27" w:rsidRDefault="00F15F4E" w:rsidP="00C55C4A">
            <w:pPr>
              <w:suppressAutoHyphens w:val="0"/>
              <w:rPr>
                <w:rFonts w:eastAsia="MS Mincho"/>
                <w:b/>
                <w:lang w:val="fr-FR"/>
              </w:rPr>
            </w:pPr>
            <w:r w:rsidRPr="00EA3C27">
              <w:rPr>
                <w:rFonts w:eastAsia="MS Mincho"/>
                <w:b/>
                <w:lang w:val="fr-FR"/>
              </w:rPr>
              <w:t>Risques financiers</w:t>
            </w:r>
          </w:p>
        </w:tc>
        <w:tc>
          <w:tcPr>
            <w:tcW w:w="3144" w:type="dxa"/>
            <w:tcBorders>
              <w:top w:val="single" w:sz="4" w:space="0" w:color="auto"/>
              <w:left w:val="single" w:sz="4" w:space="0" w:color="auto"/>
              <w:bottom w:val="single" w:sz="4" w:space="0" w:color="auto"/>
              <w:right w:val="single" w:sz="4" w:space="0" w:color="auto"/>
            </w:tcBorders>
            <w:shd w:val="clear" w:color="auto" w:fill="auto"/>
          </w:tcPr>
          <w:p w:rsidR="007D1F95" w:rsidRPr="00EA3C27" w:rsidRDefault="007D1F95" w:rsidP="007D1F95">
            <w:pPr>
              <w:rPr>
                <w:rFonts w:eastAsia="MS Mincho"/>
                <w:lang w:val="fr-FR"/>
              </w:rPr>
            </w:pPr>
            <w:r w:rsidRPr="00EA3C27">
              <w:rPr>
                <w:rFonts w:eastAsia="MS Mincho"/>
                <w:lang w:val="fr-FR"/>
              </w:rPr>
              <w:t>Les partenaires locaux pourraient connaitre des difficultés d’absorption du budget et en limiter par conséquent la consommation.</w:t>
            </w:r>
          </w:p>
          <w:p w:rsidR="007D1F95" w:rsidRPr="00EA3C27" w:rsidRDefault="007D1F95" w:rsidP="007D1F95">
            <w:pPr>
              <w:rPr>
                <w:rFonts w:eastAsia="MS Mincho"/>
                <w:lang w:val="fr-FR"/>
              </w:rPr>
            </w:pPr>
          </w:p>
        </w:tc>
        <w:tc>
          <w:tcPr>
            <w:tcW w:w="4842" w:type="dxa"/>
            <w:tcBorders>
              <w:top w:val="single" w:sz="4" w:space="0" w:color="auto"/>
              <w:left w:val="single" w:sz="4" w:space="0" w:color="auto"/>
              <w:bottom w:val="single" w:sz="4" w:space="0" w:color="auto"/>
              <w:right w:val="single" w:sz="4" w:space="0" w:color="auto"/>
            </w:tcBorders>
            <w:shd w:val="clear" w:color="auto" w:fill="auto"/>
            <w:hideMark/>
          </w:tcPr>
          <w:p w:rsidR="007D1F95" w:rsidRPr="00EA3C27" w:rsidRDefault="007D1F95" w:rsidP="00B97539">
            <w:pPr>
              <w:numPr>
                <w:ilvl w:val="0"/>
                <w:numId w:val="7"/>
              </w:numPr>
              <w:suppressAutoHyphens w:val="0"/>
              <w:rPr>
                <w:rFonts w:eastAsia="MS Mincho"/>
                <w:lang w:val="fr-FR"/>
              </w:rPr>
            </w:pPr>
            <w:r w:rsidRPr="00EA3C27">
              <w:rPr>
                <w:rFonts w:eastAsia="MS Mincho"/>
                <w:lang w:val="fr-FR"/>
              </w:rPr>
              <w:t>Le projet renforcera les capacités des partenaires locaux afin de leur permettre de mieux absorber le budget.</w:t>
            </w:r>
          </w:p>
          <w:p w:rsidR="007D1F95" w:rsidRPr="00EA3C27" w:rsidRDefault="007D1F95" w:rsidP="00B97539">
            <w:pPr>
              <w:numPr>
                <w:ilvl w:val="0"/>
                <w:numId w:val="7"/>
              </w:numPr>
              <w:suppressAutoHyphens w:val="0"/>
              <w:rPr>
                <w:rFonts w:eastAsia="MS Mincho"/>
                <w:lang w:val="fr-FR"/>
              </w:rPr>
            </w:pPr>
            <w:r w:rsidRPr="00EA3C27">
              <w:rPr>
                <w:rFonts w:eastAsia="MS Mincho"/>
                <w:lang w:val="fr-FR"/>
              </w:rPr>
              <w:t>Une réorientation des activités voire une demande de prolongation sans augmentation budgétaire pourrait également être envisagée.</w:t>
            </w:r>
          </w:p>
        </w:tc>
      </w:tr>
      <w:tr w:rsidR="00F15F4E" w:rsidRPr="00824E91" w:rsidTr="00C55C4A">
        <w:tc>
          <w:tcPr>
            <w:tcW w:w="2079" w:type="dxa"/>
            <w:tcBorders>
              <w:top w:val="single" w:sz="4" w:space="0" w:color="auto"/>
              <w:left w:val="single" w:sz="4" w:space="0" w:color="auto"/>
              <w:bottom w:val="single" w:sz="4" w:space="0" w:color="auto"/>
              <w:right w:val="single" w:sz="4" w:space="0" w:color="auto"/>
            </w:tcBorders>
            <w:shd w:val="clear" w:color="auto" w:fill="auto"/>
            <w:hideMark/>
          </w:tcPr>
          <w:p w:rsidR="007D1F95" w:rsidRPr="00EA3C27" w:rsidRDefault="007D1F95" w:rsidP="007D1F95">
            <w:pPr>
              <w:rPr>
                <w:rFonts w:eastAsia="MS Mincho"/>
                <w:lang w:val="fr-FR"/>
              </w:rPr>
            </w:pPr>
            <w:r w:rsidRPr="00EA3C27">
              <w:rPr>
                <w:rFonts w:eastAsia="MS Mincho"/>
                <w:b/>
                <w:lang w:val="fr-FR"/>
              </w:rPr>
              <w:lastRenderedPageBreak/>
              <w:t>Risques en termes de ressources humaines </w:t>
            </w:r>
          </w:p>
        </w:tc>
        <w:tc>
          <w:tcPr>
            <w:tcW w:w="3144" w:type="dxa"/>
            <w:tcBorders>
              <w:top w:val="single" w:sz="4" w:space="0" w:color="auto"/>
              <w:left w:val="single" w:sz="4" w:space="0" w:color="auto"/>
              <w:bottom w:val="single" w:sz="4" w:space="0" w:color="auto"/>
              <w:right w:val="single" w:sz="4" w:space="0" w:color="auto"/>
            </w:tcBorders>
            <w:shd w:val="clear" w:color="auto" w:fill="auto"/>
            <w:hideMark/>
          </w:tcPr>
          <w:p w:rsidR="00F15F4E" w:rsidRPr="00EA3C27" w:rsidRDefault="00F15F4E" w:rsidP="007D1F95">
            <w:pPr>
              <w:rPr>
                <w:rFonts w:eastAsia="MS Mincho"/>
                <w:lang w:val="fr-FR"/>
              </w:rPr>
            </w:pPr>
            <w:r w:rsidRPr="00EA3C27">
              <w:rPr>
                <w:rFonts w:eastAsia="MS Mincho"/>
                <w:lang w:val="fr-FR"/>
              </w:rPr>
              <w:t>Les ONG et OSC internationaux et/ou centrafricaines pourraient prochainement arriver à une saturation en termes de ressources humaines, et/ou les ressources humaines disponible n'ont pas la capacité nécessaire pour la mise en œuvre du projet.</w:t>
            </w:r>
          </w:p>
          <w:p w:rsidR="007D1F95" w:rsidRPr="00EA3C27" w:rsidRDefault="007D1F95" w:rsidP="007D1F95">
            <w:pPr>
              <w:rPr>
                <w:rFonts w:eastAsia="MS Mincho"/>
                <w:lang w:val="fr-FR"/>
              </w:rPr>
            </w:pPr>
          </w:p>
        </w:tc>
        <w:tc>
          <w:tcPr>
            <w:tcW w:w="4842" w:type="dxa"/>
            <w:tcBorders>
              <w:top w:val="single" w:sz="4" w:space="0" w:color="auto"/>
              <w:left w:val="single" w:sz="4" w:space="0" w:color="auto"/>
              <w:bottom w:val="single" w:sz="4" w:space="0" w:color="auto"/>
              <w:right w:val="single" w:sz="4" w:space="0" w:color="auto"/>
            </w:tcBorders>
            <w:shd w:val="clear" w:color="auto" w:fill="auto"/>
            <w:hideMark/>
          </w:tcPr>
          <w:p w:rsidR="007D1F95" w:rsidRPr="00EA3C27" w:rsidRDefault="007D1F95" w:rsidP="00B97539">
            <w:pPr>
              <w:numPr>
                <w:ilvl w:val="0"/>
                <w:numId w:val="8"/>
              </w:numPr>
              <w:suppressAutoHyphens w:val="0"/>
              <w:rPr>
                <w:rFonts w:eastAsia="MS Mincho"/>
                <w:lang w:val="fr-FR"/>
              </w:rPr>
            </w:pPr>
            <w:r w:rsidRPr="00EA3C27">
              <w:rPr>
                <w:rFonts w:eastAsia="MS Mincho"/>
                <w:lang w:val="fr-FR"/>
              </w:rPr>
              <w:t>Un renforcement des capacités de partenaires locaux au travers de formations et de ressources humaines et matérielles sera conduit afin de permettre à ces derniers d’appuyer au mieux à la conduite des activités.</w:t>
            </w:r>
          </w:p>
        </w:tc>
      </w:tr>
    </w:tbl>
    <w:p w:rsidR="006F01AF" w:rsidRPr="00EA3C27" w:rsidRDefault="00C44885" w:rsidP="00620E1D">
      <w:pPr>
        <w:pStyle w:val="Heading2"/>
        <w:tabs>
          <w:tab w:val="clear" w:pos="850"/>
          <w:tab w:val="left" w:pos="840"/>
        </w:tabs>
        <w:spacing w:before="240"/>
        <w:ind w:left="851" w:hanging="851"/>
        <w:rPr>
          <w:szCs w:val="24"/>
          <w:lang w:val="fr-FR"/>
        </w:rPr>
      </w:pPr>
      <w:r w:rsidRPr="00EA3C27">
        <w:rPr>
          <w:szCs w:val="24"/>
          <w:lang w:val="fr-FR"/>
        </w:rPr>
        <w:t>Questions transversales</w:t>
      </w:r>
    </w:p>
    <w:p w:rsidR="00620E1D" w:rsidRPr="00EA3C27" w:rsidRDefault="006F01AF" w:rsidP="00620E1D">
      <w:pPr>
        <w:pStyle w:val="Paragraphedeliste1"/>
        <w:spacing w:before="100" w:beforeAutospacing="1" w:after="120"/>
        <w:ind w:left="0"/>
        <w:jc w:val="both"/>
        <w:rPr>
          <w:szCs w:val="24"/>
        </w:rPr>
      </w:pPr>
      <w:r w:rsidRPr="00EA3C27">
        <w:rPr>
          <w:i/>
          <w:szCs w:val="24"/>
        </w:rPr>
        <w:t>Appui à l’approche du genre</w:t>
      </w:r>
      <w:r w:rsidR="00EF42A0" w:rsidRPr="00EA3C27">
        <w:rPr>
          <w:i/>
          <w:szCs w:val="24"/>
        </w:rPr>
        <w:t xml:space="preserve"> et exclusion sociale</w:t>
      </w:r>
      <w:r w:rsidRPr="00EA3C27">
        <w:rPr>
          <w:szCs w:val="24"/>
        </w:rPr>
        <w:t xml:space="preserve"> - un effort tout particulier sera mis en œuvre pour assurer une</w:t>
      </w:r>
      <w:r w:rsidR="00740A96">
        <w:rPr>
          <w:szCs w:val="24"/>
        </w:rPr>
        <w:t xml:space="preserve"> </w:t>
      </w:r>
      <w:r w:rsidRPr="00EA3C27">
        <w:rPr>
          <w:szCs w:val="24"/>
        </w:rPr>
        <w:t xml:space="preserve">répartition équitable entre les hommes et les femmes lors des réunions communautaires et de la mise en œuvre directe de toutes les activités de </w:t>
      </w:r>
      <w:r w:rsidR="00EF42A0" w:rsidRPr="00EA3C27">
        <w:rPr>
          <w:szCs w:val="24"/>
        </w:rPr>
        <w:t>l'action. Toutes les activités prévues veilleront à contribuer à l'inclusion des groupes les plus vulnérables (déplacés</w:t>
      </w:r>
      <w:r w:rsidR="00392DCC" w:rsidRPr="00EA3C27">
        <w:rPr>
          <w:szCs w:val="24"/>
        </w:rPr>
        <w:t>, minorités ethniques</w:t>
      </w:r>
      <w:r w:rsidR="00EF42A0" w:rsidRPr="00EA3C27">
        <w:rPr>
          <w:szCs w:val="24"/>
        </w:rPr>
        <w:t>).</w:t>
      </w:r>
    </w:p>
    <w:p w:rsidR="006F01AF" w:rsidRPr="00EA3C27" w:rsidRDefault="006F01AF" w:rsidP="00620E1D">
      <w:pPr>
        <w:pStyle w:val="Paragraphedeliste1"/>
        <w:spacing w:before="100" w:beforeAutospacing="1" w:after="120"/>
        <w:ind w:left="0"/>
        <w:jc w:val="both"/>
        <w:rPr>
          <w:szCs w:val="24"/>
        </w:rPr>
      </w:pPr>
      <w:r w:rsidRPr="00EA3C27">
        <w:rPr>
          <w:i/>
          <w:szCs w:val="24"/>
        </w:rPr>
        <w:t>Respect des normes environnementales</w:t>
      </w:r>
      <w:r w:rsidRPr="00EA3C27">
        <w:rPr>
          <w:szCs w:val="24"/>
        </w:rPr>
        <w:t xml:space="preserve"> - l’impact sur l’environnement sera un facteur déterminant dans la sélection et mise en œuvre des projets communautaires. L’importance du</w:t>
      </w:r>
      <w:r w:rsidR="00740A96">
        <w:rPr>
          <w:szCs w:val="24"/>
        </w:rPr>
        <w:t xml:space="preserve"> </w:t>
      </w:r>
      <w:r w:rsidRPr="00EA3C27">
        <w:rPr>
          <w:szCs w:val="24"/>
        </w:rPr>
        <w:t xml:space="preserve">respect de l’environnement sera un sujet abordé avec toutes les communautés et les autorités lors de la phase de conceptualisation des projets. </w:t>
      </w:r>
    </w:p>
    <w:p w:rsidR="00892DAE" w:rsidRPr="00EA3C27" w:rsidRDefault="00892DAE" w:rsidP="001A581E">
      <w:pPr>
        <w:pStyle w:val="Paragraphedeliste1"/>
        <w:spacing w:before="100" w:beforeAutospacing="1" w:after="120"/>
        <w:ind w:left="0"/>
        <w:jc w:val="both"/>
        <w:rPr>
          <w:szCs w:val="24"/>
        </w:rPr>
      </w:pPr>
    </w:p>
    <w:p w:rsidR="00892DAE" w:rsidRPr="00EA3C27" w:rsidRDefault="00892DAE" w:rsidP="00892DAE">
      <w:pPr>
        <w:pStyle w:val="Heading2"/>
        <w:tabs>
          <w:tab w:val="clear" w:pos="850"/>
          <w:tab w:val="left" w:pos="840"/>
        </w:tabs>
        <w:spacing w:before="240"/>
        <w:ind w:left="851" w:hanging="851"/>
        <w:rPr>
          <w:szCs w:val="24"/>
          <w:lang w:val="fr-FR"/>
        </w:rPr>
      </w:pPr>
      <w:r w:rsidRPr="00EA3C27">
        <w:rPr>
          <w:szCs w:val="24"/>
          <w:lang w:val="fr-FR"/>
        </w:rPr>
        <w:t>Parties prenantes</w:t>
      </w:r>
    </w:p>
    <w:p w:rsidR="007D6513" w:rsidRPr="00EA3C27" w:rsidRDefault="007D6513" w:rsidP="007D6513">
      <w:pPr>
        <w:pStyle w:val="Text2"/>
        <w:ind w:left="0"/>
        <w:rPr>
          <w:lang w:val="fr-FR"/>
        </w:rPr>
      </w:pPr>
      <w:r w:rsidRPr="00EA3C27">
        <w:rPr>
          <w:lang w:val="fr-FR"/>
        </w:rPr>
        <w:t>Voir sections 2.4 Actions complémentaires et 2.5. Coordination des donateurs.</w:t>
      </w:r>
    </w:p>
    <w:p w:rsidR="00C44885" w:rsidRPr="00EA3C27" w:rsidRDefault="00C44885" w:rsidP="001A581E">
      <w:pPr>
        <w:pStyle w:val="Heading1"/>
        <w:tabs>
          <w:tab w:val="left" w:pos="720"/>
        </w:tabs>
        <w:spacing w:before="240"/>
        <w:ind w:left="851" w:hanging="851"/>
        <w:rPr>
          <w:szCs w:val="24"/>
          <w:lang w:val="fr-FR"/>
        </w:rPr>
      </w:pPr>
      <w:r w:rsidRPr="00EA3C27">
        <w:rPr>
          <w:szCs w:val="24"/>
          <w:lang w:val="fr-FR"/>
        </w:rPr>
        <w:t>Questions de mise en œuvre</w:t>
      </w:r>
    </w:p>
    <w:p w:rsidR="00892DAE" w:rsidRPr="00EA3C27" w:rsidRDefault="00892DAE" w:rsidP="00620E1D">
      <w:pPr>
        <w:pStyle w:val="Heading2"/>
        <w:tabs>
          <w:tab w:val="clear" w:pos="850"/>
          <w:tab w:val="left" w:pos="840"/>
        </w:tabs>
        <w:spacing w:before="240"/>
        <w:ind w:left="851" w:hanging="851"/>
        <w:rPr>
          <w:szCs w:val="24"/>
          <w:lang w:val="fr-FR"/>
        </w:rPr>
      </w:pPr>
      <w:r w:rsidRPr="00EA3C27">
        <w:rPr>
          <w:szCs w:val="24"/>
          <w:lang w:val="fr-FR"/>
        </w:rPr>
        <w:t>Convention de financement</w:t>
      </w:r>
    </w:p>
    <w:p w:rsidR="00084EF2" w:rsidRPr="00EA3C27" w:rsidRDefault="00084EF2" w:rsidP="00620E1D">
      <w:pPr>
        <w:pStyle w:val="Paragraphedeliste1"/>
        <w:spacing w:before="100" w:beforeAutospacing="1" w:after="120"/>
        <w:ind w:left="0"/>
        <w:jc w:val="both"/>
      </w:pPr>
      <w:r w:rsidRPr="00EA3C27">
        <w:rPr>
          <w:szCs w:val="24"/>
        </w:rPr>
        <w:t xml:space="preserve">Pour mettre en œuvre cette action, il n'est pas envisagé de signer une convention de financement avec le pays partenaire. La République centrafricaine est membre observateur dans les instances </w:t>
      </w:r>
      <w:r w:rsidR="00DD0C7F" w:rsidRPr="00EA3C27">
        <w:rPr>
          <w:szCs w:val="24"/>
        </w:rPr>
        <w:t xml:space="preserve">de gouvernance </w:t>
      </w:r>
      <w:r w:rsidRPr="00EA3C27">
        <w:rPr>
          <w:szCs w:val="24"/>
        </w:rPr>
        <w:t>du Fonds fiduciaire Bêkou et sera associée à ce titre aux réflexions stratégiques en amont des décisions à adopter par le Comité de Gestion du Fonds.</w:t>
      </w:r>
      <w:r w:rsidR="007D6513" w:rsidRPr="00EA3C27">
        <w:rPr>
          <w:szCs w:val="24"/>
        </w:rPr>
        <w:t xml:space="preserve"> Par ailleurs un </w:t>
      </w:r>
      <w:r w:rsidR="00901F54" w:rsidRPr="00EA3C27">
        <w:rPr>
          <w:szCs w:val="24"/>
        </w:rPr>
        <w:t>mécanisme</w:t>
      </w:r>
      <w:r w:rsidR="007D6513" w:rsidRPr="00EA3C27">
        <w:rPr>
          <w:szCs w:val="24"/>
        </w:rPr>
        <w:t xml:space="preserve"> de coordination est en train d'</w:t>
      </w:r>
      <w:r w:rsidR="00901F54" w:rsidRPr="00EA3C27">
        <w:rPr>
          <w:szCs w:val="24"/>
        </w:rPr>
        <w:t>être</w:t>
      </w:r>
      <w:r w:rsidR="007D6513" w:rsidRPr="00EA3C27">
        <w:rPr>
          <w:szCs w:val="24"/>
        </w:rPr>
        <w:t xml:space="preserve"> mis en place dans le cadre du RCPCA.</w:t>
      </w:r>
    </w:p>
    <w:p w:rsidR="00892DAE" w:rsidRPr="00EA3C27" w:rsidRDefault="00892DAE" w:rsidP="00892DAE">
      <w:pPr>
        <w:pStyle w:val="Heading2"/>
        <w:tabs>
          <w:tab w:val="clear" w:pos="850"/>
          <w:tab w:val="left" w:pos="840"/>
        </w:tabs>
        <w:spacing w:before="240"/>
        <w:ind w:left="851" w:hanging="851"/>
        <w:rPr>
          <w:szCs w:val="24"/>
          <w:lang w:val="fr-FR"/>
        </w:rPr>
      </w:pPr>
      <w:r w:rsidRPr="00EA3C27">
        <w:rPr>
          <w:szCs w:val="24"/>
          <w:lang w:val="fr-FR"/>
        </w:rPr>
        <w:t>Période indicative de mise en œuvre opérationnelle</w:t>
      </w:r>
    </w:p>
    <w:p w:rsidR="00F60C81" w:rsidRPr="00F80E25" w:rsidRDefault="00F60C81" w:rsidP="00F60C81">
      <w:pPr>
        <w:jc w:val="both"/>
        <w:rPr>
          <w:lang w:val="fr-BE"/>
        </w:rPr>
      </w:pPr>
      <w:r w:rsidRPr="00F80E25">
        <w:rPr>
          <w:sz w:val="23"/>
          <w:szCs w:val="23"/>
          <w:lang w:val="fr-BE"/>
        </w:rPr>
        <w:t>La période de mise en œuvre opérationnelle</w:t>
      </w:r>
      <w:r w:rsidR="007B21A2">
        <w:rPr>
          <w:sz w:val="23"/>
          <w:szCs w:val="23"/>
          <w:lang w:val="fr-BE"/>
        </w:rPr>
        <w:t xml:space="preserve"> </w:t>
      </w:r>
      <w:r w:rsidRPr="00F80E25">
        <w:rPr>
          <w:sz w:val="23"/>
          <w:szCs w:val="23"/>
          <w:lang w:val="fr-BE"/>
        </w:rPr>
        <w:t xml:space="preserve">de cette action est de maximum </w:t>
      </w:r>
      <w:r w:rsidRPr="00F80E25">
        <w:rPr>
          <w:b/>
          <w:bCs/>
          <w:sz w:val="23"/>
          <w:szCs w:val="23"/>
          <w:lang w:val="fr-BE"/>
        </w:rPr>
        <w:t xml:space="preserve">42 mois </w:t>
      </w:r>
      <w:r w:rsidRPr="00CF0F91">
        <w:rPr>
          <w:sz w:val="23"/>
          <w:szCs w:val="23"/>
          <w:lang w:val="fr-BE"/>
        </w:rPr>
        <w:t>à compter de la date d'entrée en vigueur des contrats de subvention et de services.</w:t>
      </w:r>
    </w:p>
    <w:p w:rsidR="00C44885" w:rsidRPr="00EA3C27" w:rsidRDefault="00C44885" w:rsidP="001A581E">
      <w:pPr>
        <w:pStyle w:val="Text1"/>
        <w:spacing w:before="100" w:beforeAutospacing="1"/>
        <w:ind w:left="0"/>
        <w:rPr>
          <w:u w:val="single"/>
          <w:lang w:val="fr-FR"/>
        </w:rPr>
      </w:pPr>
      <w:r w:rsidRPr="00EA3C27">
        <w:rPr>
          <w:b/>
          <w:lang w:val="fr-FR"/>
        </w:rPr>
        <w:t>Couverture géographique</w:t>
      </w:r>
      <w:r w:rsidR="00740A96">
        <w:rPr>
          <w:b/>
          <w:lang w:val="fr-FR"/>
        </w:rPr>
        <w:t xml:space="preserve"> (indicative)</w:t>
      </w:r>
      <w:r w:rsidRPr="00EA3C27">
        <w:rPr>
          <w:b/>
          <w:lang w:val="fr-FR"/>
        </w:rPr>
        <w:t xml:space="preserve">: </w:t>
      </w:r>
    </w:p>
    <w:p w:rsidR="00406D5F" w:rsidRPr="00EA3C27" w:rsidRDefault="00406D5F" w:rsidP="00B079B1">
      <w:pPr>
        <w:pStyle w:val="FootnoteText"/>
        <w:spacing w:before="100" w:beforeAutospacing="1" w:after="120"/>
        <w:ind w:left="0" w:firstLine="0"/>
        <w:rPr>
          <w:i/>
          <w:sz w:val="24"/>
          <w:szCs w:val="24"/>
          <w:lang w:val="fr-FR"/>
        </w:rPr>
      </w:pPr>
      <w:r w:rsidRPr="00EA3C27">
        <w:rPr>
          <w:i/>
          <w:sz w:val="24"/>
          <w:szCs w:val="24"/>
          <w:u w:val="single"/>
          <w:lang w:val="fr-FR"/>
        </w:rPr>
        <w:t xml:space="preserve">Composante 1 </w:t>
      </w:r>
      <w:r w:rsidR="00A56EB9" w:rsidRPr="00EA3C27">
        <w:rPr>
          <w:i/>
          <w:sz w:val="24"/>
          <w:szCs w:val="24"/>
          <w:u w:val="single"/>
          <w:lang w:val="fr-FR"/>
        </w:rPr>
        <w:t xml:space="preserve">- renforcement des capacités </w:t>
      </w:r>
      <w:r w:rsidR="00FD7CBF" w:rsidRPr="00EA3C27">
        <w:rPr>
          <w:i/>
          <w:sz w:val="24"/>
          <w:szCs w:val="24"/>
          <w:u w:val="single"/>
          <w:lang w:val="fr-FR"/>
        </w:rPr>
        <w:t>de la société civile centrafricaine</w:t>
      </w:r>
      <w:r w:rsidRPr="00EA3C27">
        <w:rPr>
          <w:i/>
          <w:sz w:val="24"/>
          <w:szCs w:val="24"/>
          <w:lang w:val="fr-FR"/>
        </w:rPr>
        <w:t>:</w:t>
      </w:r>
    </w:p>
    <w:p w:rsidR="00817206" w:rsidRPr="00EA3C27" w:rsidRDefault="00817206" w:rsidP="00B079B1">
      <w:pPr>
        <w:spacing w:before="100" w:beforeAutospacing="1" w:after="120"/>
        <w:jc w:val="both"/>
        <w:rPr>
          <w:lang w:val="fr-FR"/>
        </w:rPr>
      </w:pPr>
      <w:r w:rsidRPr="00EA3C27">
        <w:rPr>
          <w:lang w:val="fr-FR"/>
        </w:rPr>
        <w:t>Bangui</w:t>
      </w:r>
      <w:r w:rsidR="001A581E" w:rsidRPr="00EA3C27">
        <w:rPr>
          <w:lang w:val="fr-FR"/>
        </w:rPr>
        <w:t xml:space="preserve"> (phase pilote)</w:t>
      </w:r>
    </w:p>
    <w:p w:rsidR="00FC1C72" w:rsidRPr="00EA3C27" w:rsidRDefault="00FC1C72" w:rsidP="000B0569">
      <w:pPr>
        <w:pStyle w:val="FootnoteText"/>
        <w:spacing w:before="100" w:beforeAutospacing="1" w:after="120"/>
        <w:ind w:left="0" w:firstLine="0"/>
        <w:rPr>
          <w:i/>
          <w:sz w:val="24"/>
          <w:szCs w:val="24"/>
          <w:lang w:val="fr-FR"/>
        </w:rPr>
      </w:pPr>
      <w:r w:rsidRPr="00EA3C27">
        <w:rPr>
          <w:i/>
          <w:sz w:val="24"/>
          <w:szCs w:val="24"/>
          <w:u w:val="single"/>
          <w:lang w:val="fr-FR"/>
        </w:rPr>
        <w:lastRenderedPageBreak/>
        <w:t xml:space="preserve">Composante 2 </w:t>
      </w:r>
      <w:r w:rsidR="00A56EB9" w:rsidRPr="00EA3C27">
        <w:rPr>
          <w:i/>
          <w:sz w:val="24"/>
          <w:szCs w:val="24"/>
          <w:u w:val="single"/>
          <w:lang w:val="fr-FR"/>
        </w:rPr>
        <w:t xml:space="preserve">- appui au </w:t>
      </w:r>
      <w:r w:rsidR="00E56ACD" w:rsidRPr="00EA3C27">
        <w:rPr>
          <w:i/>
          <w:sz w:val="24"/>
          <w:szCs w:val="24"/>
          <w:u w:val="single"/>
          <w:lang w:val="fr-FR"/>
        </w:rPr>
        <w:t>redéploiement</w:t>
      </w:r>
      <w:r w:rsidR="00A56EB9" w:rsidRPr="00EA3C27">
        <w:rPr>
          <w:i/>
          <w:sz w:val="24"/>
          <w:szCs w:val="24"/>
          <w:u w:val="single"/>
          <w:lang w:val="fr-FR"/>
        </w:rPr>
        <w:t xml:space="preserve"> des autorités locales et promotion de la </w:t>
      </w:r>
      <w:r w:rsidR="00E56ACD" w:rsidRPr="00EA3C27">
        <w:rPr>
          <w:i/>
          <w:sz w:val="24"/>
          <w:szCs w:val="24"/>
          <w:u w:val="single"/>
          <w:lang w:val="fr-FR"/>
        </w:rPr>
        <w:t>cohésion</w:t>
      </w:r>
      <w:r w:rsidR="00A56EB9" w:rsidRPr="00EA3C27">
        <w:rPr>
          <w:i/>
          <w:sz w:val="24"/>
          <w:szCs w:val="24"/>
          <w:u w:val="single"/>
          <w:lang w:val="fr-FR"/>
        </w:rPr>
        <w:t xml:space="preserve"> sociale</w:t>
      </w:r>
      <w:r w:rsidRPr="00EA3C27">
        <w:rPr>
          <w:i/>
          <w:sz w:val="24"/>
          <w:szCs w:val="24"/>
          <w:lang w:val="fr-FR"/>
        </w:rPr>
        <w:t xml:space="preserve">: </w:t>
      </w:r>
    </w:p>
    <w:p w:rsidR="00F84717" w:rsidRPr="00EA3C27" w:rsidRDefault="00F84717" w:rsidP="00F84717">
      <w:pPr>
        <w:pStyle w:val="FootnoteText"/>
        <w:ind w:left="0" w:firstLine="0"/>
        <w:rPr>
          <w:sz w:val="24"/>
          <w:szCs w:val="24"/>
          <w:lang w:val="fr-FR"/>
        </w:rPr>
      </w:pPr>
      <w:r w:rsidRPr="00EA3C27">
        <w:rPr>
          <w:sz w:val="24"/>
          <w:szCs w:val="24"/>
          <w:lang w:val="fr-FR"/>
        </w:rPr>
        <w:t>Les zones d'intervention seront définies pendant la phase de diagnostic (premiers 6 mois de l'action) en prenant en compte le contexte sécuritaire qui prévaudra alors. Les zones pré-identifiées, sans préjudice du choix qui sera finalement arrê</w:t>
      </w:r>
      <w:r w:rsidR="00620E1D" w:rsidRPr="00EA3C27">
        <w:rPr>
          <w:sz w:val="24"/>
          <w:szCs w:val="24"/>
          <w:lang w:val="fr-FR"/>
        </w:rPr>
        <w:t>té, sont : Bambari et Berberati</w:t>
      </w:r>
      <w:r w:rsidRPr="00EA3C27">
        <w:rPr>
          <w:sz w:val="24"/>
          <w:szCs w:val="24"/>
          <w:lang w:val="fr-FR"/>
        </w:rPr>
        <w:t xml:space="preserve">; Bria et </w:t>
      </w:r>
      <w:proofErr w:type="spellStart"/>
      <w:r w:rsidRPr="00EA3C27">
        <w:rPr>
          <w:sz w:val="24"/>
          <w:szCs w:val="24"/>
          <w:lang w:val="fr-FR"/>
        </w:rPr>
        <w:t>Ndélé</w:t>
      </w:r>
      <w:proofErr w:type="spellEnd"/>
      <w:r w:rsidRPr="00EA3C27">
        <w:rPr>
          <w:sz w:val="24"/>
          <w:szCs w:val="24"/>
          <w:lang w:val="fr-FR"/>
        </w:rPr>
        <w:t>.</w:t>
      </w:r>
    </w:p>
    <w:p w:rsidR="004821DE" w:rsidRPr="00EA3C27" w:rsidRDefault="004821DE" w:rsidP="00B079B1">
      <w:pPr>
        <w:spacing w:before="100" w:beforeAutospacing="1" w:after="120"/>
        <w:jc w:val="both"/>
        <w:rPr>
          <w:i/>
          <w:lang w:val="fr-FR"/>
        </w:rPr>
      </w:pPr>
      <w:r w:rsidRPr="00EA3C27">
        <w:rPr>
          <w:i/>
          <w:u w:val="single"/>
          <w:lang w:val="fr-FR"/>
        </w:rPr>
        <w:t xml:space="preserve">Composante 3 </w:t>
      </w:r>
      <w:r w:rsidR="00A56EB9" w:rsidRPr="00EA3C27">
        <w:rPr>
          <w:i/>
          <w:u w:val="single"/>
          <w:lang w:val="fr-FR"/>
        </w:rPr>
        <w:t>- appui au retour des PDI et réfugiés centrafricain</w:t>
      </w:r>
      <w:r w:rsidR="00620E1D" w:rsidRPr="00EA3C27">
        <w:rPr>
          <w:i/>
          <w:u w:val="single"/>
          <w:lang w:val="fr-FR"/>
        </w:rPr>
        <w:t>s</w:t>
      </w:r>
      <w:r w:rsidRPr="00EA3C27">
        <w:rPr>
          <w:i/>
          <w:lang w:val="fr-FR"/>
        </w:rPr>
        <w:t xml:space="preserve">: </w:t>
      </w:r>
    </w:p>
    <w:p w:rsidR="00897E30" w:rsidRPr="00EA3C27" w:rsidRDefault="00897E30" w:rsidP="00897E30">
      <w:pPr>
        <w:spacing w:before="100" w:beforeAutospacing="1" w:after="120"/>
        <w:jc w:val="both"/>
        <w:rPr>
          <w:lang w:val="fr-FR"/>
        </w:rPr>
      </w:pPr>
      <w:r w:rsidRPr="00EA3C27">
        <w:rPr>
          <w:lang w:val="fr-FR"/>
        </w:rPr>
        <w:t xml:space="preserve">Bangui, Ouham </w:t>
      </w:r>
      <w:proofErr w:type="spellStart"/>
      <w:r w:rsidRPr="00EA3C27">
        <w:rPr>
          <w:lang w:val="fr-FR"/>
        </w:rPr>
        <w:t>Pendé</w:t>
      </w:r>
      <w:proofErr w:type="spellEnd"/>
      <w:r w:rsidRPr="00EA3C27">
        <w:rPr>
          <w:lang w:val="fr-FR"/>
        </w:rPr>
        <w:t xml:space="preserve">/Ouham, Nana </w:t>
      </w:r>
      <w:proofErr w:type="spellStart"/>
      <w:r w:rsidRPr="00EA3C27">
        <w:rPr>
          <w:lang w:val="fr-FR"/>
        </w:rPr>
        <w:t>Mambéré</w:t>
      </w:r>
      <w:proofErr w:type="spellEnd"/>
      <w:r w:rsidRPr="00EA3C27">
        <w:rPr>
          <w:lang w:val="fr-FR"/>
        </w:rPr>
        <w:t>/</w:t>
      </w:r>
      <w:proofErr w:type="spellStart"/>
      <w:r w:rsidRPr="00EA3C27">
        <w:rPr>
          <w:lang w:val="fr-FR"/>
        </w:rPr>
        <w:t>Mambéré</w:t>
      </w:r>
      <w:proofErr w:type="spellEnd"/>
      <w:r w:rsidRPr="00EA3C27">
        <w:rPr>
          <w:lang w:val="fr-FR"/>
        </w:rPr>
        <w:t xml:space="preserve"> </w:t>
      </w:r>
      <w:proofErr w:type="spellStart"/>
      <w:r w:rsidRPr="00EA3C27">
        <w:rPr>
          <w:lang w:val="fr-FR"/>
        </w:rPr>
        <w:t>Kadei</w:t>
      </w:r>
      <w:proofErr w:type="spellEnd"/>
      <w:r w:rsidR="00740A96">
        <w:rPr>
          <w:lang w:val="fr-FR"/>
        </w:rPr>
        <w:t>/</w:t>
      </w:r>
      <w:r w:rsidR="00740A96" w:rsidRPr="00740A96">
        <w:rPr>
          <w:lang w:val="fr-FR"/>
        </w:rPr>
        <w:t xml:space="preserve"> </w:t>
      </w:r>
      <w:r w:rsidR="00740A96" w:rsidRPr="00CF0F91">
        <w:rPr>
          <w:lang w:val="fr-FR"/>
        </w:rPr>
        <w:t>Sangha-</w:t>
      </w:r>
      <w:proofErr w:type="spellStart"/>
      <w:r w:rsidR="00740A96" w:rsidRPr="00CF0F91">
        <w:rPr>
          <w:lang w:val="fr-FR"/>
        </w:rPr>
        <w:t>Mbaéré</w:t>
      </w:r>
      <w:proofErr w:type="spellEnd"/>
      <w:r w:rsidRPr="00EA3C27">
        <w:rPr>
          <w:lang w:val="fr-FR"/>
        </w:rPr>
        <w:t xml:space="preserve"> et </w:t>
      </w:r>
      <w:proofErr w:type="spellStart"/>
      <w:r w:rsidR="008E2D83" w:rsidRPr="00EA3C27">
        <w:rPr>
          <w:lang w:val="fr-FR"/>
        </w:rPr>
        <w:t>Ouaka</w:t>
      </w:r>
      <w:proofErr w:type="spellEnd"/>
      <w:r w:rsidRPr="00EA3C27">
        <w:rPr>
          <w:lang w:val="fr-FR"/>
        </w:rPr>
        <w:t>.</w:t>
      </w:r>
    </w:p>
    <w:p w:rsidR="00137A6C" w:rsidRPr="00EA3C27" w:rsidRDefault="00240AF4" w:rsidP="001A581E">
      <w:pPr>
        <w:pStyle w:val="Text2"/>
        <w:spacing w:before="100" w:beforeAutospacing="1"/>
        <w:ind w:left="0"/>
        <w:rPr>
          <w:i/>
          <w:u w:val="single"/>
          <w:lang w:val="fr-FR"/>
        </w:rPr>
      </w:pPr>
      <w:r w:rsidRPr="00EA3C27">
        <w:rPr>
          <w:i/>
          <w:u w:val="single"/>
          <w:lang w:val="fr-FR"/>
        </w:rPr>
        <w:t xml:space="preserve">Composante </w:t>
      </w:r>
      <w:r w:rsidR="00841129" w:rsidRPr="00EA3C27">
        <w:rPr>
          <w:i/>
          <w:u w:val="single"/>
          <w:lang w:val="fr-FR"/>
        </w:rPr>
        <w:t>4 -</w:t>
      </w:r>
      <w:r w:rsidR="00740A96">
        <w:rPr>
          <w:i/>
          <w:u w:val="single"/>
          <w:lang w:val="fr-FR"/>
        </w:rPr>
        <w:t xml:space="preserve"> </w:t>
      </w:r>
      <w:r w:rsidR="000B0569" w:rsidRPr="00EA3C27">
        <w:rPr>
          <w:i/>
          <w:u w:val="single"/>
          <w:lang w:val="fr-FR"/>
        </w:rPr>
        <w:t>s</w:t>
      </w:r>
      <w:r w:rsidR="00620E1D" w:rsidRPr="00EA3C27">
        <w:rPr>
          <w:i/>
          <w:u w:val="single"/>
          <w:lang w:val="fr-FR"/>
        </w:rPr>
        <w:t>outien aux medias centrafricains:</w:t>
      </w:r>
    </w:p>
    <w:p w:rsidR="00897E30" w:rsidRPr="00EA3C27" w:rsidRDefault="00897E30" w:rsidP="00897E30">
      <w:pPr>
        <w:pStyle w:val="Text2"/>
        <w:spacing w:before="100" w:beforeAutospacing="1"/>
        <w:ind w:left="0"/>
        <w:rPr>
          <w:lang w:val="fr-FR"/>
        </w:rPr>
      </w:pPr>
      <w:r w:rsidRPr="00EA3C27">
        <w:rPr>
          <w:lang w:val="fr-FR"/>
        </w:rPr>
        <w:t>Bangui et ensemble du pays.</w:t>
      </w:r>
    </w:p>
    <w:p w:rsidR="00897E30" w:rsidRPr="00EA3C27" w:rsidRDefault="00897E30" w:rsidP="00897E30">
      <w:pPr>
        <w:spacing w:before="100" w:beforeAutospacing="1" w:after="120"/>
        <w:jc w:val="both"/>
        <w:rPr>
          <w:lang w:val="fr-FR"/>
        </w:rPr>
      </w:pPr>
      <w:r w:rsidRPr="00EA3C27">
        <w:rPr>
          <w:lang w:val="fr-FR"/>
        </w:rPr>
        <w:t xml:space="preserve">Radio </w:t>
      </w:r>
      <w:proofErr w:type="spellStart"/>
      <w:r w:rsidRPr="00EA3C27">
        <w:rPr>
          <w:lang w:val="fr-FR"/>
        </w:rPr>
        <w:t>Ndeke</w:t>
      </w:r>
      <w:proofErr w:type="spellEnd"/>
      <w:r w:rsidRPr="00EA3C27">
        <w:rPr>
          <w:lang w:val="fr-FR"/>
        </w:rPr>
        <w:t xml:space="preserve"> Luka émet en FM sept jours sur sept, 24 heures sur 24, et en ondes courtes 2 heures par jour sur l’ensemble du pays et les pays limitrophes. On estime qu’elle est écoutée par plus d’un million d’auditeurs.</w:t>
      </w:r>
    </w:p>
    <w:p w:rsidR="00C44885" w:rsidRPr="00EA3C27" w:rsidRDefault="00C44885" w:rsidP="00B079B1">
      <w:pPr>
        <w:pStyle w:val="Heading2"/>
        <w:tabs>
          <w:tab w:val="clear" w:pos="850"/>
          <w:tab w:val="left" w:pos="840"/>
        </w:tabs>
        <w:spacing w:before="240"/>
        <w:ind w:left="851" w:hanging="851"/>
        <w:rPr>
          <w:szCs w:val="24"/>
          <w:lang w:val="fr-FR"/>
        </w:rPr>
      </w:pPr>
      <w:r w:rsidRPr="00EA3C27">
        <w:rPr>
          <w:szCs w:val="24"/>
          <w:lang w:val="fr-FR"/>
        </w:rPr>
        <w:t xml:space="preserve">Modules et volets de la mise en œuvre </w:t>
      </w:r>
    </w:p>
    <w:p w:rsidR="00FF0D39" w:rsidRPr="00EA3C27" w:rsidRDefault="00C44885" w:rsidP="00B079B1">
      <w:pPr>
        <w:pStyle w:val="Text2"/>
        <w:spacing w:before="100" w:beforeAutospacing="1"/>
        <w:ind w:left="0"/>
        <w:rPr>
          <w:lang w:val="fr-FR"/>
        </w:rPr>
      </w:pPr>
      <w:r w:rsidRPr="00EA3C27">
        <w:rPr>
          <w:lang w:val="fr-FR"/>
        </w:rPr>
        <w:t>L</w:t>
      </w:r>
      <w:r w:rsidR="00FF0D39" w:rsidRPr="00EA3C27">
        <w:rPr>
          <w:lang w:val="fr-FR"/>
        </w:rPr>
        <w:t xml:space="preserve">e programme sera géré à travers: </w:t>
      </w:r>
    </w:p>
    <w:p w:rsidR="00620E1D" w:rsidRPr="00EA3C27" w:rsidRDefault="00897E30" w:rsidP="00B079B1">
      <w:pPr>
        <w:pStyle w:val="Text2"/>
        <w:spacing w:before="100" w:beforeAutospacing="1"/>
        <w:ind w:left="0"/>
        <w:rPr>
          <w:lang w:val="fr-FR"/>
        </w:rPr>
      </w:pPr>
      <w:r w:rsidRPr="00EA3C27">
        <w:rPr>
          <w:u w:val="single"/>
          <w:lang w:val="fr-FR"/>
        </w:rPr>
        <w:t xml:space="preserve">Composante </w:t>
      </w:r>
      <w:r w:rsidR="00FF0D39" w:rsidRPr="00EA3C27">
        <w:rPr>
          <w:u w:val="single"/>
          <w:lang w:val="fr-FR"/>
        </w:rPr>
        <w:t>1 -</w:t>
      </w:r>
      <w:r w:rsidR="00A56EB9" w:rsidRPr="00EA3C27">
        <w:rPr>
          <w:rFonts w:eastAsia="Calibri"/>
          <w:u w:val="single"/>
          <w:lang w:val="fr-FR" w:eastAsia="en-US"/>
        </w:rPr>
        <w:t xml:space="preserve"> </w:t>
      </w:r>
      <w:r w:rsidR="00841129" w:rsidRPr="00EA3C27">
        <w:rPr>
          <w:u w:val="single"/>
          <w:lang w:val="fr-FR"/>
        </w:rPr>
        <w:t>r</w:t>
      </w:r>
      <w:r w:rsidR="00A56EB9" w:rsidRPr="00EA3C27">
        <w:rPr>
          <w:u w:val="single"/>
          <w:lang w:val="fr-FR"/>
        </w:rPr>
        <w:t xml:space="preserve">enforcement des capacités </w:t>
      </w:r>
      <w:r w:rsidR="00FD7CBF" w:rsidRPr="00EA3C27">
        <w:rPr>
          <w:u w:val="single"/>
          <w:lang w:val="fr-FR"/>
        </w:rPr>
        <w:t>de la société civile centrafricaine</w:t>
      </w:r>
      <w:r w:rsidR="00A56EB9" w:rsidRPr="00EA3C27">
        <w:rPr>
          <w:lang w:val="fr-FR"/>
        </w:rPr>
        <w:t xml:space="preserve"> :</w:t>
      </w:r>
      <w:r w:rsidR="008806CA" w:rsidRPr="00EA3C27">
        <w:rPr>
          <w:lang w:val="fr-FR"/>
        </w:rPr>
        <w:t xml:space="preserve"> </w:t>
      </w:r>
    </w:p>
    <w:p w:rsidR="009C40FD" w:rsidRPr="00CF0F91" w:rsidRDefault="00F76DC0" w:rsidP="00B079B1">
      <w:pPr>
        <w:pStyle w:val="Text2"/>
        <w:spacing w:before="100" w:beforeAutospacing="1"/>
        <w:ind w:left="0"/>
        <w:rPr>
          <w:i/>
          <w:lang w:val="fr-FR"/>
        </w:rPr>
      </w:pPr>
      <w:r w:rsidRPr="00CF0F91">
        <w:rPr>
          <w:lang w:val="fr-FR"/>
        </w:rPr>
        <w:t xml:space="preserve">Appui </w:t>
      </w:r>
      <w:r w:rsidR="00620E1D" w:rsidRPr="00CF0F91">
        <w:rPr>
          <w:lang w:val="fr-FR"/>
        </w:rPr>
        <w:t xml:space="preserve">aux OSC: </w:t>
      </w:r>
      <w:r w:rsidR="009C40FD" w:rsidRPr="00CF0F91">
        <w:rPr>
          <w:i/>
          <w:lang w:val="fr-BE"/>
        </w:rPr>
        <w:t>un contrat de subvention avec une ou plusieurs organisations à but non lucratif</w:t>
      </w:r>
      <w:r w:rsidR="00740A96" w:rsidRPr="00CF0F91">
        <w:rPr>
          <w:i/>
          <w:lang w:val="fr-BE"/>
        </w:rPr>
        <w:t xml:space="preserve"> </w:t>
      </w:r>
      <w:r w:rsidR="009C40FD" w:rsidRPr="00CF0F91">
        <w:rPr>
          <w:i/>
          <w:lang w:val="fr-BE"/>
        </w:rPr>
        <w:t>internationales et/ou locales spécialisées dans le renforcement des capacités de la société civile, suivant une procédure d'attribution directe précédée d'un appel à manifestation d'intérêt.</w:t>
      </w:r>
    </w:p>
    <w:p w:rsidR="009C40FD" w:rsidRPr="00EA3C27" w:rsidRDefault="005B268E" w:rsidP="00B079B1">
      <w:pPr>
        <w:pStyle w:val="Text2"/>
        <w:spacing w:before="100" w:beforeAutospacing="1"/>
        <w:ind w:left="0"/>
        <w:rPr>
          <w:i/>
          <w:lang w:val="fr-FR" w:eastAsia="en-US"/>
        </w:rPr>
      </w:pPr>
      <w:r w:rsidRPr="00CF0F91">
        <w:rPr>
          <w:lang w:val="fr-FR"/>
        </w:rPr>
        <w:t>Appui au SPONG</w:t>
      </w:r>
      <w:r w:rsidRPr="00CF0F91">
        <w:rPr>
          <w:i/>
          <w:lang w:val="fr-FR"/>
        </w:rPr>
        <w:t>:</w:t>
      </w:r>
      <w:r w:rsidR="00F76DC0" w:rsidRPr="00CF0F91">
        <w:rPr>
          <w:lang w:val="fr-FR"/>
        </w:rPr>
        <w:t xml:space="preserve"> </w:t>
      </w:r>
      <w:r w:rsidR="009C40FD" w:rsidRPr="00CF0F91">
        <w:rPr>
          <w:i/>
          <w:lang w:val="fr-BE"/>
        </w:rPr>
        <w:t>un contrat de subvention avec une ou plusieurs organisations à but non lucratif internationales</w:t>
      </w:r>
      <w:r w:rsidR="008D43AC" w:rsidRPr="00CF0F91">
        <w:rPr>
          <w:i/>
          <w:lang w:val="fr-BE"/>
        </w:rPr>
        <w:t xml:space="preserve"> et/ou locales</w:t>
      </w:r>
      <w:r w:rsidR="009C40FD" w:rsidRPr="00CF0F91">
        <w:rPr>
          <w:i/>
          <w:lang w:val="fr-BE"/>
        </w:rPr>
        <w:t xml:space="preserve"> spécialisées dans le renforcement des capacités d'institutions publiques, suivant une procédure d'attribution directe précédée d'un appel à manifestation d'intérêt.</w:t>
      </w:r>
    </w:p>
    <w:p w:rsidR="00151AFD" w:rsidRDefault="00897E30" w:rsidP="00841129">
      <w:pPr>
        <w:suppressAutoHyphens w:val="0"/>
        <w:spacing w:before="100" w:beforeAutospacing="1" w:after="120"/>
        <w:jc w:val="both"/>
        <w:rPr>
          <w:bCs/>
          <w:lang w:val="fr-FR"/>
        </w:rPr>
      </w:pPr>
      <w:r w:rsidRPr="00EA3C27">
        <w:rPr>
          <w:u w:val="single"/>
          <w:lang w:val="fr-FR"/>
        </w:rPr>
        <w:t xml:space="preserve">Composante </w:t>
      </w:r>
      <w:r w:rsidR="00FF0D39" w:rsidRPr="00EA3C27">
        <w:rPr>
          <w:u w:val="single"/>
          <w:lang w:val="fr-FR"/>
        </w:rPr>
        <w:t xml:space="preserve">2 – </w:t>
      </w:r>
      <w:r w:rsidR="00841129" w:rsidRPr="00EA3C27">
        <w:rPr>
          <w:u w:val="single"/>
          <w:lang w:val="fr-FR"/>
        </w:rPr>
        <w:t>a</w:t>
      </w:r>
      <w:r w:rsidR="00A56EB9" w:rsidRPr="00EA3C27">
        <w:rPr>
          <w:rFonts w:eastAsia="Calibri"/>
          <w:u w:val="single"/>
          <w:lang w:val="fr-FR" w:eastAsia="en-US"/>
        </w:rPr>
        <w:t xml:space="preserve">ppui au </w:t>
      </w:r>
      <w:r w:rsidR="00901F54" w:rsidRPr="00EA3C27">
        <w:rPr>
          <w:rFonts w:eastAsia="Calibri"/>
          <w:u w:val="single"/>
          <w:lang w:val="fr-FR" w:eastAsia="en-US"/>
        </w:rPr>
        <w:t>redéploiement</w:t>
      </w:r>
      <w:r w:rsidR="00A56EB9" w:rsidRPr="00EA3C27">
        <w:rPr>
          <w:rFonts w:eastAsia="Calibri"/>
          <w:u w:val="single"/>
          <w:lang w:val="fr-FR" w:eastAsia="en-US"/>
        </w:rPr>
        <w:t xml:space="preserve"> des autorités locales et promotion de la </w:t>
      </w:r>
      <w:r w:rsidR="00901F54" w:rsidRPr="00EA3C27">
        <w:rPr>
          <w:rFonts w:eastAsia="Calibri"/>
          <w:u w:val="single"/>
          <w:lang w:val="fr-FR" w:eastAsia="en-US"/>
        </w:rPr>
        <w:t>cohésion</w:t>
      </w:r>
      <w:r w:rsidR="00A56EB9" w:rsidRPr="00EA3C27">
        <w:rPr>
          <w:rFonts w:eastAsia="Calibri"/>
          <w:u w:val="single"/>
          <w:lang w:val="fr-FR" w:eastAsia="en-US"/>
        </w:rPr>
        <w:t xml:space="preserve"> sociale</w:t>
      </w:r>
      <w:r w:rsidR="00A56EB9" w:rsidRPr="00EA3C27">
        <w:rPr>
          <w:rFonts w:eastAsia="Calibri"/>
          <w:b/>
          <w:lang w:val="fr-FR" w:eastAsia="en-US"/>
        </w:rPr>
        <w:t xml:space="preserve"> : </w:t>
      </w:r>
      <w:r w:rsidR="00FF0D39" w:rsidRPr="00EA3C27">
        <w:rPr>
          <w:i/>
          <w:lang w:val="fr-FR"/>
        </w:rPr>
        <w:t>une convent</w:t>
      </w:r>
      <w:r w:rsidR="00D3482B" w:rsidRPr="00EA3C27">
        <w:rPr>
          <w:i/>
          <w:lang w:val="fr-FR"/>
        </w:rPr>
        <w:t>ion de d</w:t>
      </w:r>
      <w:r w:rsidR="00300793" w:rsidRPr="00EA3C27">
        <w:rPr>
          <w:i/>
          <w:lang w:val="fr-FR"/>
        </w:rPr>
        <w:t xml:space="preserve">élégation </w:t>
      </w:r>
      <w:r w:rsidR="00A81883" w:rsidRPr="00EA3C27">
        <w:rPr>
          <w:i/>
          <w:lang w:val="fr-FR"/>
        </w:rPr>
        <w:t>avec</w:t>
      </w:r>
      <w:r w:rsidR="00FF0D39" w:rsidRPr="00EA3C27">
        <w:rPr>
          <w:i/>
          <w:lang w:val="fr-FR"/>
        </w:rPr>
        <w:t xml:space="preserve"> Expertise France </w:t>
      </w:r>
      <w:r w:rsidR="00FF0D39" w:rsidRPr="00EA3C27">
        <w:rPr>
          <w:lang w:val="fr-FR"/>
        </w:rPr>
        <w:t xml:space="preserve">qui couvre les activités en appui au </w:t>
      </w:r>
      <w:r w:rsidR="00FF0D39" w:rsidRPr="00EA3C27">
        <w:rPr>
          <w:bCs/>
          <w:lang w:val="fr-FR"/>
        </w:rPr>
        <w:t xml:space="preserve">redéploiement des autorités locales, au renforcement de la concertation, de la justice et des médias locaux ainsi que </w:t>
      </w:r>
      <w:r w:rsidR="00672857" w:rsidRPr="00EA3C27">
        <w:rPr>
          <w:bCs/>
          <w:lang w:val="fr-FR"/>
        </w:rPr>
        <w:t>à</w:t>
      </w:r>
      <w:r w:rsidR="00FF0D39" w:rsidRPr="00EA3C27">
        <w:rPr>
          <w:bCs/>
          <w:lang w:val="fr-FR"/>
        </w:rPr>
        <w:t xml:space="preserve"> relance socio-économique.</w:t>
      </w:r>
      <w:r w:rsidR="000D53CD" w:rsidRPr="00EA3C27">
        <w:rPr>
          <w:bCs/>
          <w:lang w:val="fr-FR"/>
        </w:rPr>
        <w:t xml:space="preserve"> Le choix de confier la mise en œuvre de la composante 2 à </w:t>
      </w:r>
      <w:r w:rsidR="00151AFD" w:rsidRPr="00EA3C27">
        <w:rPr>
          <w:bCs/>
          <w:lang w:val="fr-FR"/>
        </w:rPr>
        <w:t>cet organisme repose sur leur e</w:t>
      </w:r>
      <w:r w:rsidR="000D53CD" w:rsidRPr="00EA3C27">
        <w:rPr>
          <w:bCs/>
          <w:lang w:val="fr-FR"/>
        </w:rPr>
        <w:t xml:space="preserve">xpertise </w:t>
      </w:r>
      <w:r w:rsidR="003153C4" w:rsidRPr="00EA3C27">
        <w:rPr>
          <w:bCs/>
          <w:lang w:val="fr-FR"/>
        </w:rPr>
        <w:t>dans le domaine du</w:t>
      </w:r>
      <w:r w:rsidR="00740A96">
        <w:rPr>
          <w:bCs/>
          <w:lang w:val="fr-FR"/>
        </w:rPr>
        <w:t xml:space="preserve"> </w:t>
      </w:r>
      <w:r w:rsidR="00151AFD" w:rsidRPr="00EA3C27">
        <w:rPr>
          <w:bCs/>
          <w:lang w:val="fr-FR"/>
        </w:rPr>
        <w:t xml:space="preserve">renforcement des capacités </w:t>
      </w:r>
      <w:r w:rsidR="003153C4" w:rsidRPr="00EA3C27">
        <w:rPr>
          <w:bCs/>
          <w:lang w:val="fr-FR"/>
        </w:rPr>
        <w:t xml:space="preserve">en matière </w:t>
      </w:r>
      <w:r w:rsidR="00151AFD" w:rsidRPr="00EA3C27">
        <w:rPr>
          <w:bCs/>
          <w:lang w:val="fr-FR"/>
        </w:rPr>
        <w:t xml:space="preserve">de </w:t>
      </w:r>
      <w:r w:rsidR="000D53CD" w:rsidRPr="00EA3C27">
        <w:rPr>
          <w:bCs/>
          <w:lang w:val="fr-FR"/>
        </w:rPr>
        <w:t>gestion publique</w:t>
      </w:r>
      <w:r w:rsidR="00151AFD" w:rsidRPr="00EA3C27">
        <w:rPr>
          <w:bCs/>
          <w:lang w:val="fr-FR"/>
        </w:rPr>
        <w:t xml:space="preserve"> et à leur capacité à assurer </w:t>
      </w:r>
      <w:r w:rsidR="000D53CD" w:rsidRPr="00EA3C27">
        <w:rPr>
          <w:bCs/>
          <w:lang w:val="fr-FR"/>
        </w:rPr>
        <w:t xml:space="preserve">une </w:t>
      </w:r>
      <w:r w:rsidR="000D53CD" w:rsidRPr="00EA3C27">
        <w:rPr>
          <w:b/>
          <w:bCs/>
          <w:lang w:val="fr-FR"/>
        </w:rPr>
        <w:t>approche intégrée</w:t>
      </w:r>
      <w:r w:rsidR="000D53CD" w:rsidRPr="00EA3C27">
        <w:rPr>
          <w:bCs/>
          <w:lang w:val="fr-FR"/>
        </w:rPr>
        <w:t xml:space="preserve"> </w:t>
      </w:r>
      <w:r w:rsidR="00151AFD" w:rsidRPr="00EA3C27">
        <w:rPr>
          <w:bCs/>
          <w:lang w:val="fr-FR"/>
        </w:rPr>
        <w:t xml:space="preserve">entre </w:t>
      </w:r>
      <w:r w:rsidR="003153C4" w:rsidRPr="00EA3C27">
        <w:rPr>
          <w:bCs/>
          <w:lang w:val="fr-FR"/>
        </w:rPr>
        <w:t xml:space="preserve">divers </w:t>
      </w:r>
      <w:r w:rsidR="00151AFD" w:rsidRPr="00EA3C27">
        <w:rPr>
          <w:bCs/>
          <w:lang w:val="fr-FR"/>
        </w:rPr>
        <w:t>acteurs locaux (public, société civile, autorités tr</w:t>
      </w:r>
      <w:bookmarkStart w:id="0" w:name="_GoBack"/>
      <w:bookmarkEnd w:id="0"/>
      <w:r w:rsidR="00151AFD" w:rsidRPr="00EA3C27">
        <w:rPr>
          <w:bCs/>
          <w:lang w:val="fr-FR"/>
        </w:rPr>
        <w:t>aditionnelles)</w:t>
      </w:r>
      <w:r w:rsidR="003153C4" w:rsidRPr="00EA3C27">
        <w:rPr>
          <w:bCs/>
          <w:lang w:val="fr-FR"/>
        </w:rPr>
        <w:t>.</w:t>
      </w:r>
    </w:p>
    <w:p w:rsidR="00E733DD" w:rsidRPr="00EA3C27" w:rsidRDefault="00E733DD" w:rsidP="00841129">
      <w:pPr>
        <w:suppressAutoHyphens w:val="0"/>
        <w:spacing w:before="100" w:beforeAutospacing="1" w:after="120"/>
        <w:jc w:val="both"/>
        <w:rPr>
          <w:rFonts w:eastAsia="Calibri"/>
          <w:b/>
          <w:lang w:val="fr-FR" w:eastAsia="en-US"/>
        </w:rPr>
      </w:pPr>
      <w:r w:rsidRPr="00CF0F91">
        <w:rPr>
          <w:bCs/>
          <w:lang w:val="fr-FR"/>
        </w:rPr>
        <w:t xml:space="preserve">Un </w:t>
      </w:r>
      <w:r w:rsidRPr="00CF0F91">
        <w:rPr>
          <w:bCs/>
          <w:i/>
          <w:lang w:val="fr-FR"/>
        </w:rPr>
        <w:t>contrat de service de faible valeur</w:t>
      </w:r>
      <w:r w:rsidRPr="00CF0F91">
        <w:rPr>
          <w:bCs/>
          <w:lang w:val="fr-FR"/>
        </w:rPr>
        <w:t xml:space="preserve"> est attribué à l'intérieur de cette composante à </w:t>
      </w:r>
      <w:proofErr w:type="spellStart"/>
      <w:r w:rsidRPr="00CF0F91">
        <w:rPr>
          <w:bCs/>
          <w:i/>
          <w:lang w:val="fr-FR"/>
        </w:rPr>
        <w:t>Vircoulon</w:t>
      </w:r>
      <w:proofErr w:type="spellEnd"/>
      <w:r w:rsidRPr="00CF0F91">
        <w:rPr>
          <w:bCs/>
          <w:i/>
          <w:lang w:val="fr-FR"/>
        </w:rPr>
        <w:t xml:space="preserve"> </w:t>
      </w:r>
      <w:proofErr w:type="spellStart"/>
      <w:r w:rsidRPr="00CF0F91">
        <w:rPr>
          <w:bCs/>
          <w:i/>
          <w:lang w:val="fr-FR"/>
        </w:rPr>
        <w:t>Risk</w:t>
      </w:r>
      <w:proofErr w:type="spellEnd"/>
      <w:r w:rsidRPr="00CF0F91">
        <w:rPr>
          <w:bCs/>
          <w:i/>
          <w:lang w:val="fr-FR"/>
        </w:rPr>
        <w:t xml:space="preserve"> Consulting</w:t>
      </w:r>
      <w:r w:rsidRPr="00CF0F91">
        <w:rPr>
          <w:bCs/>
          <w:lang w:val="fr-FR"/>
        </w:rPr>
        <w:t xml:space="preserve"> afin de mener une étude servant à la formulation d'un projet dont la finalité est de prévenir la violence et transformer les relations de la RCA par le dialogue et la réconciliation.</w:t>
      </w:r>
    </w:p>
    <w:p w:rsidR="009C40FD" w:rsidRPr="00EA3C27" w:rsidRDefault="00897E30" w:rsidP="00D3381F">
      <w:pPr>
        <w:pStyle w:val="Text1"/>
        <w:snapToGrid w:val="0"/>
        <w:spacing w:before="100" w:beforeAutospacing="1"/>
        <w:ind w:left="0"/>
        <w:rPr>
          <w:bCs/>
          <w:i/>
          <w:lang w:val="fr-BE"/>
        </w:rPr>
      </w:pPr>
      <w:r w:rsidRPr="00EA3C27">
        <w:rPr>
          <w:bCs/>
          <w:u w:val="single"/>
          <w:lang w:val="fr-FR"/>
        </w:rPr>
        <w:t>Composante</w:t>
      </w:r>
      <w:r w:rsidR="00740A96">
        <w:rPr>
          <w:bCs/>
          <w:u w:val="single"/>
          <w:lang w:val="fr-FR"/>
        </w:rPr>
        <w:t xml:space="preserve"> </w:t>
      </w:r>
      <w:r w:rsidR="008363B0" w:rsidRPr="00EA3C27">
        <w:rPr>
          <w:bCs/>
          <w:u w:val="single"/>
          <w:lang w:val="fr-FR"/>
        </w:rPr>
        <w:t>3</w:t>
      </w:r>
      <w:r w:rsidR="00A56EB9" w:rsidRPr="00EA3C27">
        <w:rPr>
          <w:bCs/>
          <w:u w:val="single"/>
          <w:lang w:val="fr-FR"/>
        </w:rPr>
        <w:t xml:space="preserve"> - </w:t>
      </w:r>
      <w:r w:rsidR="00841129" w:rsidRPr="00EA3C27">
        <w:rPr>
          <w:bCs/>
          <w:u w:val="single"/>
          <w:lang w:val="fr-FR"/>
        </w:rPr>
        <w:t>a</w:t>
      </w:r>
      <w:r w:rsidR="00A56EB9" w:rsidRPr="00EA3C27">
        <w:rPr>
          <w:bCs/>
          <w:u w:val="single"/>
          <w:lang w:val="fr-FR"/>
        </w:rPr>
        <w:t>ppui au retour des PDI et réfugiés centrafricains</w:t>
      </w:r>
      <w:r w:rsidR="008363B0" w:rsidRPr="00EA3C27">
        <w:rPr>
          <w:bCs/>
          <w:lang w:val="fr-FR"/>
        </w:rPr>
        <w:t xml:space="preserve"> </w:t>
      </w:r>
      <w:r w:rsidR="00A56EB9" w:rsidRPr="00EA3C27">
        <w:rPr>
          <w:bCs/>
          <w:lang w:val="fr-FR"/>
        </w:rPr>
        <w:t xml:space="preserve">: </w:t>
      </w:r>
      <w:r w:rsidR="009C40FD" w:rsidRPr="00EA3C27">
        <w:rPr>
          <w:bCs/>
          <w:i/>
          <w:lang w:val="fr-BE"/>
        </w:rPr>
        <w:t>des</w:t>
      </w:r>
      <w:r w:rsidR="009C40FD" w:rsidRPr="00EA3C27">
        <w:rPr>
          <w:bCs/>
          <w:lang w:val="fr-BE"/>
        </w:rPr>
        <w:t xml:space="preserve"> </w:t>
      </w:r>
      <w:r w:rsidR="009C40FD" w:rsidRPr="00EA3C27">
        <w:rPr>
          <w:bCs/>
          <w:i/>
          <w:lang w:val="fr-BE"/>
        </w:rPr>
        <w:t>contrats de subvention avec une ou plusieurs organisations internationales et/ou locales suivant une procédure d'attribution directe précédée d'un appel à manifestation d'intérêt.</w:t>
      </w:r>
    </w:p>
    <w:p w:rsidR="00897E30" w:rsidRPr="00C83B71" w:rsidRDefault="00897E30" w:rsidP="00D3381F">
      <w:pPr>
        <w:pStyle w:val="Text1"/>
        <w:snapToGrid w:val="0"/>
        <w:spacing w:before="100" w:beforeAutospacing="1"/>
        <w:ind w:left="0"/>
        <w:rPr>
          <w:bCs/>
          <w:lang w:val="fr-FR"/>
        </w:rPr>
      </w:pPr>
      <w:r w:rsidRPr="00EA3C27">
        <w:rPr>
          <w:bCs/>
          <w:u w:val="single"/>
          <w:lang w:val="fr-FR"/>
        </w:rPr>
        <w:lastRenderedPageBreak/>
        <w:t>Composante 4</w:t>
      </w:r>
      <w:r w:rsidR="00A56EB9" w:rsidRPr="00EA3C27">
        <w:rPr>
          <w:rFonts w:eastAsia="Calibri"/>
          <w:u w:val="single"/>
          <w:lang w:val="fr-FR" w:eastAsia="en-US"/>
        </w:rPr>
        <w:t xml:space="preserve"> </w:t>
      </w:r>
      <w:r w:rsidR="000B0569" w:rsidRPr="00EA3C27">
        <w:rPr>
          <w:rFonts w:eastAsia="Calibri"/>
          <w:u w:val="single"/>
          <w:lang w:val="fr-FR" w:eastAsia="en-US"/>
        </w:rPr>
        <w:t>–</w:t>
      </w:r>
      <w:r w:rsidR="00A56EB9" w:rsidRPr="00EA3C27">
        <w:rPr>
          <w:rFonts w:eastAsia="Calibri"/>
          <w:u w:val="single"/>
          <w:lang w:val="fr-FR" w:eastAsia="en-US"/>
        </w:rPr>
        <w:t xml:space="preserve"> </w:t>
      </w:r>
      <w:r w:rsidR="00841129" w:rsidRPr="00EA3C27">
        <w:rPr>
          <w:rFonts w:eastAsia="Calibri"/>
          <w:u w:val="single"/>
          <w:lang w:val="fr-FR" w:eastAsia="en-US"/>
        </w:rPr>
        <w:t>s</w:t>
      </w:r>
      <w:r w:rsidR="000B0569" w:rsidRPr="00EA3C27">
        <w:rPr>
          <w:rFonts w:eastAsia="Calibri"/>
          <w:u w:val="single"/>
          <w:lang w:val="fr-FR" w:eastAsia="en-US"/>
        </w:rPr>
        <w:t xml:space="preserve">outien </w:t>
      </w:r>
      <w:r w:rsidR="00A56EB9" w:rsidRPr="00EA3C27">
        <w:rPr>
          <w:bCs/>
          <w:u w:val="single"/>
          <w:lang w:val="fr-FR"/>
        </w:rPr>
        <w:t>aux medias centrafricains</w:t>
      </w:r>
      <w:r w:rsidR="00A56EB9" w:rsidRPr="00EA3C27">
        <w:rPr>
          <w:bCs/>
          <w:lang w:val="fr-FR"/>
        </w:rPr>
        <w:t xml:space="preserve"> :</w:t>
      </w:r>
      <w:r w:rsidRPr="00EA3C27">
        <w:rPr>
          <w:bCs/>
          <w:lang w:val="fr-FR"/>
        </w:rPr>
        <w:t xml:space="preserve"> </w:t>
      </w:r>
      <w:r w:rsidRPr="00C83B71">
        <w:rPr>
          <w:bCs/>
          <w:i/>
          <w:lang w:val="fr-FR"/>
        </w:rPr>
        <w:t>contrat</w:t>
      </w:r>
      <w:r w:rsidR="009F4A37">
        <w:rPr>
          <w:bCs/>
          <w:i/>
          <w:lang w:val="fr-FR"/>
        </w:rPr>
        <w:t>(s)</w:t>
      </w:r>
      <w:r w:rsidRPr="00C83B71">
        <w:rPr>
          <w:bCs/>
          <w:i/>
          <w:lang w:val="fr-FR"/>
        </w:rPr>
        <w:t xml:space="preserve"> de subvention avec la Fondation Hirondelle</w:t>
      </w:r>
      <w:r w:rsidR="00DD0C7F" w:rsidRPr="00C83B71">
        <w:rPr>
          <w:bCs/>
          <w:i/>
          <w:lang w:val="fr-FR"/>
        </w:rPr>
        <w:t xml:space="preserve"> </w:t>
      </w:r>
    </w:p>
    <w:p w:rsidR="00897E30" w:rsidRPr="00EA3C27" w:rsidRDefault="00897E30" w:rsidP="00897E30">
      <w:pPr>
        <w:pStyle w:val="Text1"/>
        <w:ind w:left="0"/>
        <w:rPr>
          <w:bCs/>
          <w:lang w:val="fr-FR"/>
        </w:rPr>
      </w:pPr>
      <w:r w:rsidRPr="00EA3C27">
        <w:rPr>
          <w:bCs/>
          <w:lang w:val="fr-FR"/>
        </w:rPr>
        <w:t>La Fondation Hirondelle, Médias pour la paix et la dignité humaine, est une organisation suisse de journalistes créée en 1995 qui met en place, soutient ou opère des médias indépendants dans les zones de crise, ainsi que dans des situations de transition ou post-conflit.</w:t>
      </w:r>
      <w:r w:rsidR="00740A96">
        <w:rPr>
          <w:bCs/>
          <w:lang w:val="fr-FR"/>
        </w:rPr>
        <w:t xml:space="preserve"> </w:t>
      </w:r>
      <w:r w:rsidRPr="00EA3C27">
        <w:rPr>
          <w:bCs/>
          <w:lang w:val="fr-FR"/>
        </w:rPr>
        <w:t>Partout où ils sont mis en place, ces médias suppléent au manque d’information, contribuent à la dissipation des rumeurs, et luttent contre les effets de la propagande. Des efforts particuliers sont apportés lors des périodes électorales pour une couverture professionnelle, équitable et responsable de ces processus, avec notamment la diffusion d’émissions de débats sur les enjeux principaux aux niveaux national et local.</w:t>
      </w:r>
      <w:r w:rsidR="00740A96">
        <w:rPr>
          <w:bCs/>
          <w:lang w:val="fr-FR"/>
        </w:rPr>
        <w:t xml:space="preserve"> </w:t>
      </w:r>
      <w:r w:rsidRPr="00EA3C27">
        <w:rPr>
          <w:bCs/>
          <w:lang w:val="fr-FR"/>
        </w:rPr>
        <w:t>La Fondation Hirondelle est une des rares organisations dans le monde qui jouisse d’une telle expérience.</w:t>
      </w:r>
    </w:p>
    <w:p w:rsidR="00DD0C7F" w:rsidRPr="00EA3C27" w:rsidRDefault="00897E30" w:rsidP="00EC587C">
      <w:pPr>
        <w:pStyle w:val="Text1"/>
        <w:ind w:left="0"/>
        <w:rPr>
          <w:bCs/>
          <w:lang w:val="fr-FR"/>
        </w:rPr>
      </w:pPr>
      <w:r w:rsidRPr="00EA3C27">
        <w:rPr>
          <w:bCs/>
          <w:lang w:val="fr-FR"/>
        </w:rPr>
        <w:t>Conséquemment, sous la responsabilité de l’ordonnateur compétent de la Commission, l</w:t>
      </w:r>
      <w:r w:rsidR="00E733DD">
        <w:rPr>
          <w:bCs/>
          <w:lang w:val="fr-FR"/>
        </w:rPr>
        <w:t>e</w:t>
      </w:r>
      <w:r w:rsidR="00E733DD" w:rsidRPr="00B27EDC">
        <w:rPr>
          <w:bCs/>
          <w:highlight w:val="yellow"/>
          <w:lang w:val="fr-FR"/>
        </w:rPr>
        <w:t>s</w:t>
      </w:r>
      <w:r w:rsidRPr="00EA3C27">
        <w:rPr>
          <w:bCs/>
          <w:lang w:val="fr-FR"/>
        </w:rPr>
        <w:t xml:space="preserve"> subvention</w:t>
      </w:r>
      <w:r w:rsidR="00E733DD" w:rsidRPr="00B27EDC">
        <w:rPr>
          <w:bCs/>
          <w:highlight w:val="yellow"/>
          <w:lang w:val="fr-FR"/>
        </w:rPr>
        <w:t>s</w:t>
      </w:r>
      <w:r w:rsidRPr="00EA3C27">
        <w:rPr>
          <w:bCs/>
          <w:lang w:val="fr-FR"/>
        </w:rPr>
        <w:t xml:space="preserve"> peu</w:t>
      </w:r>
      <w:r w:rsidR="00E733DD" w:rsidRPr="00B27EDC">
        <w:rPr>
          <w:bCs/>
          <w:highlight w:val="yellow"/>
          <w:lang w:val="fr-FR"/>
        </w:rPr>
        <w:t>ven</w:t>
      </w:r>
      <w:r w:rsidR="00E733DD">
        <w:rPr>
          <w:bCs/>
          <w:lang w:val="fr-FR"/>
        </w:rPr>
        <w:t>t</w:t>
      </w:r>
      <w:r w:rsidRPr="00EA3C27">
        <w:rPr>
          <w:bCs/>
          <w:lang w:val="fr-FR"/>
        </w:rPr>
        <w:t xml:space="preserve"> être octroyée</w:t>
      </w:r>
      <w:r w:rsidR="00E733DD" w:rsidRPr="00B27EDC">
        <w:rPr>
          <w:bCs/>
          <w:highlight w:val="yellow"/>
          <w:lang w:val="fr-FR"/>
        </w:rPr>
        <w:t>s</w:t>
      </w:r>
      <w:r w:rsidRPr="00EA3C27">
        <w:rPr>
          <w:bCs/>
          <w:lang w:val="fr-FR"/>
        </w:rPr>
        <w:t xml:space="preserve"> sans appel à propositions à la Fondation Hirondelle en raison de sa compétence technique, et de sa spécialisation (article 190, paragraphe 1, f).</w:t>
      </w:r>
    </w:p>
    <w:p w:rsidR="00C44885" w:rsidRPr="00EA3C27" w:rsidRDefault="00C44885" w:rsidP="00825434">
      <w:pPr>
        <w:pStyle w:val="Heading2"/>
        <w:tabs>
          <w:tab w:val="clear" w:pos="850"/>
          <w:tab w:val="left" w:pos="840"/>
        </w:tabs>
        <w:spacing w:before="240"/>
        <w:ind w:left="851" w:hanging="851"/>
        <w:rPr>
          <w:szCs w:val="24"/>
          <w:lang w:val="fr-FR"/>
        </w:rPr>
      </w:pPr>
      <w:r w:rsidRPr="00EA3C27">
        <w:rPr>
          <w:szCs w:val="24"/>
          <w:lang w:val="fr-FR"/>
        </w:rPr>
        <w:t>Budget indicatif</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94"/>
        <w:gridCol w:w="3259"/>
        <w:gridCol w:w="2235"/>
      </w:tblGrid>
      <w:tr w:rsidR="00892DAE" w:rsidRPr="00EA3C27" w:rsidTr="00892DAE">
        <w:trPr>
          <w:trHeight w:val="388"/>
        </w:trPr>
        <w:tc>
          <w:tcPr>
            <w:tcW w:w="2042" w:type="pct"/>
            <w:tcBorders>
              <w:top w:val="single" w:sz="4" w:space="0" w:color="auto"/>
              <w:left w:val="single" w:sz="4" w:space="0" w:color="auto"/>
              <w:bottom w:val="single" w:sz="4" w:space="0" w:color="auto"/>
              <w:right w:val="single" w:sz="4" w:space="0" w:color="auto"/>
            </w:tcBorders>
            <w:hideMark/>
          </w:tcPr>
          <w:p w:rsidR="00892DAE" w:rsidRPr="00EA3C27" w:rsidRDefault="00892DAE">
            <w:pPr>
              <w:pStyle w:val="Text2"/>
              <w:spacing w:before="60" w:after="60" w:line="276" w:lineRule="auto"/>
              <w:ind w:left="0"/>
              <w:jc w:val="center"/>
              <w:rPr>
                <w:lang w:val="fr-FR"/>
              </w:rPr>
            </w:pPr>
            <w:r w:rsidRPr="00EA3C27">
              <w:rPr>
                <w:lang w:val="fr-FR"/>
              </w:rPr>
              <w:t>Volet*</w:t>
            </w:r>
          </w:p>
        </w:tc>
        <w:tc>
          <w:tcPr>
            <w:tcW w:w="1754" w:type="pct"/>
            <w:tcBorders>
              <w:top w:val="single" w:sz="4" w:space="0" w:color="auto"/>
              <w:left w:val="single" w:sz="4" w:space="0" w:color="auto"/>
              <w:bottom w:val="single" w:sz="4" w:space="0" w:color="auto"/>
              <w:right w:val="single" w:sz="4" w:space="0" w:color="auto"/>
            </w:tcBorders>
          </w:tcPr>
          <w:p w:rsidR="00892DAE" w:rsidRPr="00EA3C27" w:rsidRDefault="00892DAE">
            <w:pPr>
              <w:pStyle w:val="Text2"/>
              <w:spacing w:before="60" w:after="60" w:line="276" w:lineRule="auto"/>
              <w:ind w:left="0"/>
              <w:jc w:val="center"/>
              <w:rPr>
                <w:lang w:val="fr-FR"/>
              </w:rPr>
            </w:pPr>
            <w:r w:rsidRPr="00EA3C27">
              <w:rPr>
                <w:lang w:val="fr-FR"/>
              </w:rPr>
              <w:t xml:space="preserve">Modalité de mise en </w:t>
            </w:r>
            <w:r w:rsidR="00F3043D" w:rsidRPr="00EA3C27">
              <w:rPr>
                <w:lang w:val="fr-FR"/>
              </w:rPr>
              <w:t>œuvre</w:t>
            </w:r>
          </w:p>
        </w:tc>
        <w:tc>
          <w:tcPr>
            <w:tcW w:w="1203" w:type="pct"/>
            <w:tcBorders>
              <w:top w:val="single" w:sz="4" w:space="0" w:color="auto"/>
              <w:left w:val="single" w:sz="4" w:space="0" w:color="auto"/>
              <w:bottom w:val="single" w:sz="4" w:space="0" w:color="auto"/>
              <w:right w:val="single" w:sz="4" w:space="0" w:color="auto"/>
            </w:tcBorders>
            <w:hideMark/>
          </w:tcPr>
          <w:p w:rsidR="00892DAE" w:rsidRPr="00EA3C27" w:rsidRDefault="00892DAE" w:rsidP="00871782">
            <w:pPr>
              <w:pStyle w:val="Text2"/>
              <w:spacing w:before="60" w:after="60" w:line="276" w:lineRule="auto"/>
              <w:ind w:left="0"/>
              <w:jc w:val="center"/>
              <w:rPr>
                <w:lang w:val="fr-FR"/>
              </w:rPr>
            </w:pPr>
            <w:r w:rsidRPr="00EA3C27">
              <w:rPr>
                <w:lang w:val="fr-FR"/>
              </w:rPr>
              <w:t>Montant (€)</w:t>
            </w:r>
          </w:p>
        </w:tc>
      </w:tr>
      <w:tr w:rsidR="00C66AE7" w:rsidRPr="00EA3C27"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9"/>
        </w:trPr>
        <w:tc>
          <w:tcPr>
            <w:tcW w:w="2042" w:type="pct"/>
            <w:shd w:val="clear" w:color="auto" w:fill="auto"/>
            <w:vAlign w:val="center"/>
          </w:tcPr>
          <w:p w:rsidR="00C66AE7" w:rsidRPr="00EA3C27" w:rsidRDefault="00080953" w:rsidP="006860CA">
            <w:pPr>
              <w:pStyle w:val="Text2"/>
              <w:snapToGrid w:val="0"/>
              <w:spacing w:before="60" w:after="60"/>
              <w:ind w:left="0"/>
              <w:rPr>
                <w:b/>
                <w:lang w:val="fr-FR"/>
              </w:rPr>
            </w:pPr>
            <w:r w:rsidRPr="00EA3C27">
              <w:rPr>
                <w:b/>
                <w:lang w:val="fr-FR"/>
              </w:rPr>
              <w:t xml:space="preserve">Composante 1: </w:t>
            </w:r>
            <w:r w:rsidR="00C66AE7" w:rsidRPr="00EA3C27">
              <w:rPr>
                <w:b/>
                <w:lang w:val="fr-FR"/>
              </w:rPr>
              <w:t>Renforcement des capacités de la société civile centrafricaine</w:t>
            </w:r>
          </w:p>
        </w:tc>
        <w:tc>
          <w:tcPr>
            <w:tcW w:w="1754" w:type="pct"/>
          </w:tcPr>
          <w:p w:rsidR="00C66AE7" w:rsidRPr="00EA3C27" w:rsidRDefault="00F3043D" w:rsidP="00F76DC0">
            <w:pPr>
              <w:pStyle w:val="Text2"/>
              <w:snapToGrid w:val="0"/>
              <w:spacing w:before="60" w:after="60"/>
              <w:ind w:left="0"/>
              <w:jc w:val="center"/>
              <w:rPr>
                <w:lang w:val="fr-FR"/>
              </w:rPr>
            </w:pPr>
            <w:r w:rsidRPr="00CF0F91">
              <w:rPr>
                <w:lang w:val="fr-FR"/>
              </w:rPr>
              <w:t>Subvention</w:t>
            </w:r>
            <w:r w:rsidR="002B4365" w:rsidRPr="00CF0F91">
              <w:rPr>
                <w:lang w:val="fr-FR"/>
              </w:rPr>
              <w:t>s</w:t>
            </w:r>
            <w:r w:rsidRPr="00EA3C27">
              <w:rPr>
                <w:lang w:val="fr-FR"/>
              </w:rPr>
              <w:t xml:space="preserve"> </w:t>
            </w:r>
          </w:p>
        </w:tc>
        <w:tc>
          <w:tcPr>
            <w:tcW w:w="1203" w:type="pct"/>
            <w:shd w:val="clear" w:color="auto" w:fill="auto"/>
            <w:vAlign w:val="center"/>
          </w:tcPr>
          <w:p w:rsidR="00C66AE7" w:rsidRPr="00EA3C27" w:rsidRDefault="00C66AE7" w:rsidP="00C42DF2">
            <w:pPr>
              <w:pStyle w:val="Text2"/>
              <w:snapToGrid w:val="0"/>
              <w:spacing w:before="60" w:after="60"/>
              <w:ind w:left="0"/>
              <w:jc w:val="right"/>
              <w:rPr>
                <w:b/>
                <w:lang w:val="fr-FR"/>
              </w:rPr>
            </w:pPr>
            <w:r w:rsidRPr="00EA3C27">
              <w:rPr>
                <w:b/>
                <w:lang w:val="fr-FR"/>
              </w:rPr>
              <w:t>2</w:t>
            </w:r>
            <w:proofErr w:type="gramStart"/>
            <w:r w:rsidRPr="00EA3C27">
              <w:rPr>
                <w:b/>
                <w:lang w:val="fr-FR"/>
              </w:rPr>
              <w:t>,500,000</w:t>
            </w:r>
            <w:proofErr w:type="gramEnd"/>
          </w:p>
        </w:tc>
      </w:tr>
      <w:tr w:rsidR="00E733DD" w:rsidRPr="00EA3C27"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9"/>
        </w:trPr>
        <w:tc>
          <w:tcPr>
            <w:tcW w:w="2042" w:type="pct"/>
            <w:vMerge w:val="restart"/>
            <w:shd w:val="clear" w:color="auto" w:fill="auto"/>
            <w:vAlign w:val="center"/>
          </w:tcPr>
          <w:p w:rsidR="00E733DD" w:rsidRPr="00EA3C27" w:rsidRDefault="00E733DD" w:rsidP="006860CA">
            <w:pPr>
              <w:pStyle w:val="Text2"/>
              <w:snapToGrid w:val="0"/>
              <w:spacing w:before="60" w:after="60"/>
              <w:ind w:left="0"/>
              <w:rPr>
                <w:b/>
                <w:lang w:val="fr-FR"/>
              </w:rPr>
            </w:pPr>
            <w:r w:rsidRPr="00EA3C27">
              <w:rPr>
                <w:b/>
                <w:lang w:val="fr-FR" w:eastAsia="en-US"/>
              </w:rPr>
              <w:t>Composante 2: Appui au redéploiement des autorités locales</w:t>
            </w:r>
          </w:p>
        </w:tc>
        <w:tc>
          <w:tcPr>
            <w:tcW w:w="1754" w:type="pct"/>
          </w:tcPr>
          <w:p w:rsidR="00E733DD" w:rsidRPr="00EA3C27" w:rsidRDefault="00E733DD" w:rsidP="002B4365">
            <w:pPr>
              <w:pStyle w:val="Text2"/>
              <w:snapToGrid w:val="0"/>
              <w:spacing w:before="60" w:after="60"/>
              <w:ind w:left="0"/>
              <w:jc w:val="center"/>
              <w:rPr>
                <w:lang w:val="fr-FR"/>
              </w:rPr>
            </w:pPr>
            <w:r w:rsidRPr="00EA3C27">
              <w:rPr>
                <w:lang w:val="fr-FR"/>
              </w:rPr>
              <w:t>Convention de délégation</w:t>
            </w:r>
          </w:p>
        </w:tc>
        <w:tc>
          <w:tcPr>
            <w:tcW w:w="1203" w:type="pct"/>
            <w:shd w:val="clear" w:color="auto" w:fill="auto"/>
            <w:vAlign w:val="center"/>
          </w:tcPr>
          <w:p w:rsidR="00E733DD" w:rsidRPr="00EA3C27" w:rsidRDefault="00E733DD" w:rsidP="00E733DD">
            <w:pPr>
              <w:pStyle w:val="Text2"/>
              <w:snapToGrid w:val="0"/>
              <w:spacing w:before="60" w:after="60"/>
              <w:ind w:left="0"/>
              <w:jc w:val="right"/>
              <w:rPr>
                <w:b/>
                <w:lang w:val="fr-FR"/>
              </w:rPr>
            </w:pPr>
            <w:r w:rsidRPr="00EA3C27">
              <w:rPr>
                <w:b/>
                <w:lang w:val="fr-FR"/>
              </w:rPr>
              <w:t>3</w:t>
            </w:r>
            <w:proofErr w:type="gramStart"/>
            <w:r w:rsidRPr="00EA3C27">
              <w:rPr>
                <w:b/>
                <w:lang w:val="fr-FR"/>
              </w:rPr>
              <w:t>,</w:t>
            </w:r>
            <w:r>
              <w:rPr>
                <w:b/>
                <w:lang w:val="fr-FR"/>
              </w:rPr>
              <w:t>700,000</w:t>
            </w:r>
            <w:proofErr w:type="gramEnd"/>
          </w:p>
        </w:tc>
      </w:tr>
      <w:tr w:rsidR="00E733DD" w:rsidRPr="00E733DD"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9"/>
        </w:trPr>
        <w:tc>
          <w:tcPr>
            <w:tcW w:w="2042" w:type="pct"/>
            <w:vMerge/>
            <w:shd w:val="clear" w:color="auto" w:fill="auto"/>
            <w:vAlign w:val="center"/>
          </w:tcPr>
          <w:p w:rsidR="00E733DD" w:rsidRPr="00EA3C27" w:rsidRDefault="00E733DD" w:rsidP="006860CA">
            <w:pPr>
              <w:pStyle w:val="Text2"/>
              <w:snapToGrid w:val="0"/>
              <w:spacing w:before="60" w:after="60"/>
              <w:ind w:left="0"/>
              <w:rPr>
                <w:b/>
                <w:lang w:val="fr-FR" w:eastAsia="en-US"/>
              </w:rPr>
            </w:pPr>
          </w:p>
        </w:tc>
        <w:tc>
          <w:tcPr>
            <w:tcW w:w="1754" w:type="pct"/>
          </w:tcPr>
          <w:p w:rsidR="00E733DD" w:rsidRPr="00CF0F91" w:rsidRDefault="00E733DD" w:rsidP="002B4365">
            <w:pPr>
              <w:pStyle w:val="Text2"/>
              <w:snapToGrid w:val="0"/>
              <w:spacing w:before="60" w:after="60"/>
              <w:ind w:left="0"/>
              <w:jc w:val="center"/>
              <w:rPr>
                <w:lang w:val="fr-FR"/>
              </w:rPr>
            </w:pPr>
            <w:r w:rsidRPr="00CF0F91">
              <w:rPr>
                <w:lang w:val="fr-FR"/>
              </w:rPr>
              <w:t>Contrat de service faible valeur</w:t>
            </w:r>
          </w:p>
        </w:tc>
        <w:tc>
          <w:tcPr>
            <w:tcW w:w="1203" w:type="pct"/>
            <w:shd w:val="clear" w:color="auto" w:fill="auto"/>
            <w:vAlign w:val="center"/>
          </w:tcPr>
          <w:p w:rsidR="00E733DD" w:rsidRPr="00CF0F91" w:rsidRDefault="00E733DD" w:rsidP="008D2263">
            <w:pPr>
              <w:pStyle w:val="Text2"/>
              <w:snapToGrid w:val="0"/>
              <w:spacing w:before="60" w:after="60"/>
              <w:ind w:left="0"/>
              <w:jc w:val="right"/>
              <w:rPr>
                <w:b/>
                <w:lang w:val="fr-FR"/>
              </w:rPr>
            </w:pPr>
            <w:r w:rsidRPr="00CF0F91">
              <w:rPr>
                <w:b/>
                <w:lang w:val="fr-FR"/>
              </w:rPr>
              <w:t>19,500</w:t>
            </w:r>
          </w:p>
        </w:tc>
      </w:tr>
      <w:tr w:rsidR="007B72A3" w:rsidRPr="00EA3C27"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9"/>
        </w:trPr>
        <w:tc>
          <w:tcPr>
            <w:tcW w:w="2042" w:type="pct"/>
            <w:shd w:val="clear" w:color="auto" w:fill="auto"/>
            <w:vAlign w:val="center"/>
          </w:tcPr>
          <w:p w:rsidR="007B72A3" w:rsidRPr="00EA3C27" w:rsidRDefault="00080953" w:rsidP="006860CA">
            <w:pPr>
              <w:pStyle w:val="Text2"/>
              <w:snapToGrid w:val="0"/>
              <w:spacing w:before="60" w:after="60"/>
              <w:ind w:left="0"/>
              <w:rPr>
                <w:b/>
                <w:lang w:val="fr-FR"/>
              </w:rPr>
            </w:pPr>
            <w:r w:rsidRPr="00EA3C27">
              <w:rPr>
                <w:b/>
                <w:lang w:val="fr-FR" w:eastAsia="en-US"/>
              </w:rPr>
              <w:t xml:space="preserve">Composante 3: </w:t>
            </w:r>
            <w:r w:rsidR="007B72A3" w:rsidRPr="00EA3C27">
              <w:rPr>
                <w:b/>
                <w:lang w:val="fr-FR" w:eastAsia="en-US"/>
              </w:rPr>
              <w:t>Appui au retour des PDI et réfugiés centrafricains</w:t>
            </w:r>
          </w:p>
        </w:tc>
        <w:tc>
          <w:tcPr>
            <w:tcW w:w="1754" w:type="pct"/>
          </w:tcPr>
          <w:p w:rsidR="007B72A3" w:rsidRPr="00EA3C27" w:rsidRDefault="002B4365" w:rsidP="002B4365">
            <w:pPr>
              <w:pStyle w:val="Text2"/>
              <w:snapToGrid w:val="0"/>
              <w:spacing w:before="60" w:after="60"/>
              <w:ind w:left="0"/>
              <w:jc w:val="center"/>
              <w:rPr>
                <w:lang w:val="fr-FR"/>
              </w:rPr>
            </w:pPr>
            <w:r w:rsidRPr="00EA3C27">
              <w:rPr>
                <w:lang w:val="fr-FR"/>
              </w:rPr>
              <w:t>Subventions</w:t>
            </w:r>
          </w:p>
        </w:tc>
        <w:tc>
          <w:tcPr>
            <w:tcW w:w="1203" w:type="pct"/>
            <w:shd w:val="clear" w:color="auto" w:fill="auto"/>
            <w:vAlign w:val="center"/>
          </w:tcPr>
          <w:p w:rsidR="007B72A3" w:rsidRPr="00EA3C27" w:rsidRDefault="007B72A3" w:rsidP="00C42DF2">
            <w:pPr>
              <w:pStyle w:val="Text2"/>
              <w:snapToGrid w:val="0"/>
              <w:spacing w:before="60" w:after="60"/>
              <w:ind w:left="0"/>
              <w:jc w:val="right"/>
              <w:rPr>
                <w:b/>
                <w:lang w:val="fr-FR"/>
              </w:rPr>
            </w:pPr>
            <w:r w:rsidRPr="00EA3C27">
              <w:rPr>
                <w:b/>
                <w:lang w:val="fr-FR"/>
              </w:rPr>
              <w:t>9</w:t>
            </w:r>
            <w:proofErr w:type="gramStart"/>
            <w:r w:rsidRPr="00EA3C27">
              <w:rPr>
                <w:b/>
                <w:lang w:val="fr-FR"/>
              </w:rPr>
              <w:t>,000,000</w:t>
            </w:r>
            <w:proofErr w:type="gramEnd"/>
          </w:p>
        </w:tc>
      </w:tr>
      <w:tr w:rsidR="00C66AE7" w:rsidRPr="00CF0F91"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9"/>
        </w:trPr>
        <w:tc>
          <w:tcPr>
            <w:tcW w:w="2042" w:type="pct"/>
            <w:shd w:val="clear" w:color="auto" w:fill="auto"/>
            <w:vAlign w:val="center"/>
          </w:tcPr>
          <w:p w:rsidR="00C66AE7" w:rsidRPr="00EA3C27" w:rsidRDefault="007B72A3" w:rsidP="006860CA">
            <w:pPr>
              <w:pStyle w:val="Text2"/>
              <w:snapToGrid w:val="0"/>
              <w:spacing w:before="60" w:after="60"/>
              <w:ind w:left="0"/>
              <w:rPr>
                <w:b/>
                <w:lang w:val="fr-FR" w:eastAsia="en-US"/>
              </w:rPr>
            </w:pPr>
            <w:r w:rsidRPr="00EA3C27">
              <w:rPr>
                <w:b/>
                <w:lang w:val="fr-FR"/>
              </w:rPr>
              <w:t>Composante 4: Soutien aux médias centrafricains</w:t>
            </w:r>
            <w:r w:rsidR="00C66AE7" w:rsidRPr="00EA3C27">
              <w:rPr>
                <w:b/>
                <w:lang w:val="fr-FR"/>
              </w:rPr>
              <w:t xml:space="preserve"> </w:t>
            </w:r>
          </w:p>
        </w:tc>
        <w:tc>
          <w:tcPr>
            <w:tcW w:w="1754" w:type="pct"/>
          </w:tcPr>
          <w:p w:rsidR="00C66AE7" w:rsidRPr="00EA3C27" w:rsidRDefault="00BF6069" w:rsidP="002B4365">
            <w:pPr>
              <w:pStyle w:val="Text2"/>
              <w:snapToGrid w:val="0"/>
              <w:spacing w:before="60" w:after="60"/>
              <w:ind w:left="0"/>
              <w:jc w:val="center"/>
              <w:rPr>
                <w:lang w:val="fr-FR"/>
              </w:rPr>
            </w:pPr>
            <w:r>
              <w:rPr>
                <w:lang w:val="fr-FR"/>
              </w:rPr>
              <w:t>Subventions</w:t>
            </w:r>
          </w:p>
        </w:tc>
        <w:tc>
          <w:tcPr>
            <w:tcW w:w="1203" w:type="pct"/>
            <w:shd w:val="clear" w:color="auto" w:fill="auto"/>
            <w:vAlign w:val="center"/>
          </w:tcPr>
          <w:p w:rsidR="00C66AE7" w:rsidRPr="00CF0F91" w:rsidDel="00676091" w:rsidRDefault="001A6F1E" w:rsidP="00555BF2">
            <w:pPr>
              <w:pStyle w:val="Text2"/>
              <w:snapToGrid w:val="0"/>
              <w:spacing w:before="60" w:after="60"/>
              <w:ind w:left="0"/>
              <w:jc w:val="right"/>
              <w:rPr>
                <w:b/>
                <w:lang w:val="fr-FR"/>
              </w:rPr>
            </w:pPr>
            <w:r w:rsidRPr="00CF0F91">
              <w:rPr>
                <w:b/>
                <w:lang w:val="fr-FR"/>
              </w:rPr>
              <w:t>4</w:t>
            </w:r>
            <w:proofErr w:type="gramStart"/>
            <w:r w:rsidRPr="00CF0F91">
              <w:rPr>
                <w:b/>
                <w:lang w:val="fr-FR"/>
              </w:rPr>
              <w:t>,</w:t>
            </w:r>
            <w:r w:rsidR="00042DF7" w:rsidRPr="00CF0F91">
              <w:rPr>
                <w:b/>
                <w:lang w:val="fr-FR"/>
              </w:rPr>
              <w:t>38</w:t>
            </w:r>
            <w:r w:rsidR="00D83C03" w:rsidRPr="00CF0F91">
              <w:rPr>
                <w:b/>
                <w:lang w:val="fr-FR"/>
              </w:rPr>
              <w:t>0,</w:t>
            </w:r>
            <w:r w:rsidR="00042DF7" w:rsidRPr="00CF0F91">
              <w:rPr>
                <w:b/>
                <w:lang w:val="fr-FR"/>
              </w:rPr>
              <w:t>5</w:t>
            </w:r>
            <w:r w:rsidR="00D83C03" w:rsidRPr="00CF0F91">
              <w:rPr>
                <w:b/>
                <w:lang w:val="fr-FR"/>
              </w:rPr>
              <w:t>00</w:t>
            </w:r>
            <w:proofErr w:type="gramEnd"/>
          </w:p>
        </w:tc>
      </w:tr>
      <w:tr w:rsidR="00C66AE7" w:rsidRPr="00EA3C27"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1"/>
        </w:trPr>
        <w:tc>
          <w:tcPr>
            <w:tcW w:w="2042" w:type="pct"/>
            <w:shd w:val="clear" w:color="auto" w:fill="auto"/>
            <w:vAlign w:val="center"/>
          </w:tcPr>
          <w:p w:rsidR="00C66AE7" w:rsidRPr="00EA3C27" w:rsidRDefault="00C66AE7" w:rsidP="006860CA">
            <w:pPr>
              <w:pStyle w:val="Text2"/>
              <w:tabs>
                <w:tab w:val="left" w:pos="175"/>
              </w:tabs>
              <w:snapToGrid w:val="0"/>
              <w:spacing w:before="60" w:after="60"/>
              <w:ind w:left="0"/>
              <w:rPr>
                <w:b/>
                <w:lang w:val="fr-FR" w:eastAsia="en-US"/>
              </w:rPr>
            </w:pPr>
            <w:r w:rsidRPr="00EA3C27">
              <w:rPr>
                <w:b/>
                <w:lang w:val="fr-FR" w:eastAsia="en-US"/>
              </w:rPr>
              <w:t>Evaluation &amp; Audit</w:t>
            </w:r>
          </w:p>
        </w:tc>
        <w:tc>
          <w:tcPr>
            <w:tcW w:w="1754" w:type="pct"/>
          </w:tcPr>
          <w:p w:rsidR="00C66AE7" w:rsidRPr="00EA3C27" w:rsidRDefault="00705D39" w:rsidP="00712D1A">
            <w:pPr>
              <w:pStyle w:val="Text2"/>
              <w:snapToGrid w:val="0"/>
              <w:spacing w:before="60" w:after="60"/>
              <w:ind w:left="0"/>
              <w:jc w:val="center"/>
              <w:rPr>
                <w:lang w:val="fr-FR"/>
              </w:rPr>
            </w:pPr>
            <w:r w:rsidRPr="00EA3C27">
              <w:rPr>
                <w:lang w:val="fr-FR"/>
              </w:rPr>
              <w:t>Services</w:t>
            </w:r>
          </w:p>
        </w:tc>
        <w:tc>
          <w:tcPr>
            <w:tcW w:w="1203" w:type="pct"/>
            <w:shd w:val="clear" w:color="auto" w:fill="auto"/>
            <w:vAlign w:val="center"/>
          </w:tcPr>
          <w:p w:rsidR="00C66AE7" w:rsidRPr="00F724A4" w:rsidDel="00A879F7" w:rsidRDefault="00C66AE7" w:rsidP="00C42DF2">
            <w:pPr>
              <w:pStyle w:val="Text2"/>
              <w:snapToGrid w:val="0"/>
              <w:spacing w:before="60" w:after="60"/>
              <w:ind w:left="0"/>
              <w:jc w:val="right"/>
              <w:rPr>
                <w:b/>
                <w:lang w:val="fr-FR"/>
              </w:rPr>
            </w:pPr>
            <w:r w:rsidRPr="00F724A4">
              <w:rPr>
                <w:b/>
                <w:lang w:val="fr-FR"/>
              </w:rPr>
              <w:t>400,000</w:t>
            </w:r>
          </w:p>
        </w:tc>
      </w:tr>
      <w:tr w:rsidR="00C66AE7" w:rsidRPr="00EA3C27" w:rsidTr="00A1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2042" w:type="pct"/>
            <w:shd w:val="clear" w:color="auto" w:fill="auto"/>
            <w:vAlign w:val="center"/>
          </w:tcPr>
          <w:p w:rsidR="00C66AE7" w:rsidRPr="00EA3C27" w:rsidRDefault="00C66AE7" w:rsidP="006860CA">
            <w:pPr>
              <w:pStyle w:val="Text2"/>
              <w:tabs>
                <w:tab w:val="left" w:pos="175"/>
              </w:tabs>
              <w:snapToGrid w:val="0"/>
              <w:spacing w:before="60" w:after="60"/>
              <w:ind w:left="0"/>
              <w:rPr>
                <w:b/>
                <w:lang w:val="fr-FR" w:eastAsia="en-US"/>
              </w:rPr>
            </w:pPr>
            <w:r w:rsidRPr="00EA3C27">
              <w:rPr>
                <w:b/>
                <w:lang w:val="fr-FR" w:eastAsia="en-US"/>
              </w:rPr>
              <w:t>Total</w:t>
            </w:r>
          </w:p>
        </w:tc>
        <w:tc>
          <w:tcPr>
            <w:tcW w:w="1754" w:type="pct"/>
          </w:tcPr>
          <w:p w:rsidR="00C66AE7" w:rsidRPr="00EA3C27" w:rsidRDefault="00C66AE7" w:rsidP="00C42DF2">
            <w:pPr>
              <w:pStyle w:val="Text2"/>
              <w:snapToGrid w:val="0"/>
              <w:spacing w:before="60" w:after="60"/>
              <w:ind w:left="0"/>
              <w:jc w:val="right"/>
              <w:rPr>
                <w:lang w:val="fr-FR"/>
              </w:rPr>
            </w:pPr>
          </w:p>
        </w:tc>
        <w:tc>
          <w:tcPr>
            <w:tcW w:w="1203" w:type="pct"/>
            <w:shd w:val="clear" w:color="auto" w:fill="auto"/>
            <w:vAlign w:val="center"/>
          </w:tcPr>
          <w:p w:rsidR="00C66AE7" w:rsidRPr="00FA23C4" w:rsidRDefault="00630D14" w:rsidP="00C42DF2">
            <w:pPr>
              <w:pStyle w:val="Text2"/>
              <w:snapToGrid w:val="0"/>
              <w:spacing w:before="60" w:after="60"/>
              <w:ind w:left="0"/>
              <w:jc w:val="right"/>
              <w:rPr>
                <w:b/>
                <w:lang w:val="fr-FR"/>
              </w:rPr>
            </w:pPr>
            <w:r w:rsidRPr="00FA23C4">
              <w:rPr>
                <w:b/>
                <w:lang w:val="fr-FR"/>
              </w:rPr>
              <w:t>20</w:t>
            </w:r>
            <w:proofErr w:type="gramStart"/>
            <w:r w:rsidR="00775FC4" w:rsidRPr="00FA23C4">
              <w:rPr>
                <w:b/>
                <w:lang w:val="fr-FR"/>
              </w:rPr>
              <w:t>,000</w:t>
            </w:r>
            <w:r w:rsidR="00C66AE7" w:rsidRPr="00FA23C4">
              <w:rPr>
                <w:b/>
                <w:lang w:val="fr-FR"/>
              </w:rPr>
              <w:t>,000</w:t>
            </w:r>
            <w:proofErr w:type="gramEnd"/>
          </w:p>
        </w:tc>
      </w:tr>
    </w:tbl>
    <w:p w:rsidR="0040615F" w:rsidRDefault="00892DAE" w:rsidP="00892DAE">
      <w:pPr>
        <w:pStyle w:val="Text2"/>
        <w:spacing w:before="60" w:after="0" w:line="276" w:lineRule="auto"/>
        <w:ind w:left="0"/>
        <w:rPr>
          <w:sz w:val="20"/>
          <w:szCs w:val="20"/>
          <w:lang w:val="fr-FR"/>
        </w:rPr>
      </w:pPr>
      <w:r w:rsidRPr="00EA3C27">
        <w:rPr>
          <w:sz w:val="20"/>
          <w:szCs w:val="20"/>
          <w:lang w:val="fr-FR"/>
        </w:rPr>
        <w:t>* les fonds pour la communication et la visibilité seront inclus dans les différents volets.</w:t>
      </w:r>
    </w:p>
    <w:p w:rsidR="008D2263" w:rsidRPr="00EA3C27" w:rsidRDefault="008D2263" w:rsidP="008D2263">
      <w:pPr>
        <w:pStyle w:val="Text2"/>
        <w:spacing w:before="60" w:after="0" w:line="276" w:lineRule="auto"/>
        <w:ind w:left="0"/>
        <w:rPr>
          <w:sz w:val="22"/>
          <w:szCs w:val="22"/>
          <w:lang w:val="fr-FR"/>
        </w:rPr>
      </w:pPr>
      <w:r w:rsidRPr="00CF0F91">
        <w:rPr>
          <w:sz w:val="20"/>
          <w:szCs w:val="20"/>
          <w:lang w:val="fr-FR"/>
        </w:rPr>
        <w:t>* Un montant de 19 500 correspondant</w:t>
      </w:r>
      <w:r w:rsidR="00403138" w:rsidRPr="00CF0F91">
        <w:rPr>
          <w:sz w:val="20"/>
          <w:szCs w:val="20"/>
          <w:lang w:val="fr-FR"/>
        </w:rPr>
        <w:t>s</w:t>
      </w:r>
      <w:r w:rsidRPr="00CF0F91">
        <w:rPr>
          <w:sz w:val="20"/>
          <w:szCs w:val="20"/>
          <w:lang w:val="fr-FR"/>
        </w:rPr>
        <w:t xml:space="preserve"> à l'étude effectuée par </w:t>
      </w:r>
      <w:proofErr w:type="spellStart"/>
      <w:r w:rsidRPr="00CF0F91">
        <w:rPr>
          <w:sz w:val="20"/>
          <w:szCs w:val="20"/>
          <w:lang w:val="fr-FR"/>
        </w:rPr>
        <w:t>Vircoulon</w:t>
      </w:r>
      <w:proofErr w:type="spellEnd"/>
      <w:r w:rsidR="00E733DD" w:rsidRPr="00CF0F91">
        <w:rPr>
          <w:sz w:val="20"/>
          <w:szCs w:val="20"/>
          <w:lang w:val="fr-FR"/>
        </w:rPr>
        <w:t xml:space="preserve"> </w:t>
      </w:r>
      <w:proofErr w:type="spellStart"/>
      <w:r w:rsidR="00E733DD" w:rsidRPr="00CF0F91">
        <w:rPr>
          <w:sz w:val="20"/>
          <w:szCs w:val="20"/>
          <w:lang w:val="fr-FR"/>
        </w:rPr>
        <w:t>Risk</w:t>
      </w:r>
      <w:proofErr w:type="spellEnd"/>
      <w:r w:rsidR="00E733DD" w:rsidRPr="00CF0F91">
        <w:rPr>
          <w:sz w:val="20"/>
          <w:szCs w:val="20"/>
          <w:lang w:val="fr-FR"/>
        </w:rPr>
        <w:t xml:space="preserve"> Consulting </w:t>
      </w:r>
      <w:r w:rsidRPr="00CF0F91">
        <w:rPr>
          <w:sz w:val="20"/>
          <w:szCs w:val="20"/>
          <w:lang w:val="fr-FR"/>
        </w:rPr>
        <w:t>a été rajouté à la composante 2.</w:t>
      </w:r>
    </w:p>
    <w:p w:rsidR="008D2263" w:rsidRPr="00EA3C27" w:rsidRDefault="008D2263" w:rsidP="00892DAE">
      <w:pPr>
        <w:pStyle w:val="Text2"/>
        <w:spacing w:before="60" w:after="0" w:line="276" w:lineRule="auto"/>
        <w:ind w:left="0"/>
        <w:rPr>
          <w:sz w:val="22"/>
          <w:szCs w:val="22"/>
          <w:lang w:val="fr-FR"/>
        </w:rPr>
      </w:pPr>
    </w:p>
    <w:p w:rsidR="0040615F" w:rsidRPr="00EA3C27" w:rsidRDefault="0040615F" w:rsidP="0040615F">
      <w:pPr>
        <w:pStyle w:val="Heading2"/>
        <w:tabs>
          <w:tab w:val="clear" w:pos="850"/>
          <w:tab w:val="left" w:pos="840"/>
        </w:tabs>
        <w:spacing w:before="240"/>
        <w:ind w:left="851" w:hanging="851"/>
        <w:rPr>
          <w:szCs w:val="24"/>
          <w:lang w:val="fr-FR"/>
        </w:rPr>
      </w:pPr>
      <w:r w:rsidRPr="00EA3C27">
        <w:rPr>
          <w:szCs w:val="24"/>
          <w:lang w:val="fr-FR"/>
        </w:rPr>
        <w:t xml:space="preserve">Suivi des résultats </w:t>
      </w:r>
    </w:p>
    <w:p w:rsidR="0040615F" w:rsidRPr="00EA3C27" w:rsidRDefault="0040615F" w:rsidP="0040615F">
      <w:pPr>
        <w:pStyle w:val="Text2"/>
        <w:ind w:left="0"/>
        <w:rPr>
          <w:lang w:val="fr-FR"/>
        </w:rPr>
      </w:pPr>
      <w:r w:rsidRPr="00EA3C27">
        <w:rPr>
          <w:lang w:val="fr-FR"/>
        </w:rPr>
        <w:t>Les progrès de l’action seront suivis à différents niveaux : par les projets eux-mêmes, par des visites terrain effectuées par le chargé de projet</w:t>
      </w:r>
      <w:r w:rsidR="00ED6649" w:rsidRPr="00EA3C27">
        <w:rPr>
          <w:lang w:val="fr-FR"/>
        </w:rPr>
        <w:t xml:space="preserve"> et </w:t>
      </w:r>
      <w:r w:rsidRPr="00EA3C27">
        <w:rPr>
          <w:lang w:val="fr-FR"/>
        </w:rPr>
        <w:t>par des contractants externes.</w:t>
      </w:r>
    </w:p>
    <w:p w:rsidR="0040615F" w:rsidRPr="00EA3C27" w:rsidRDefault="0040615F" w:rsidP="0040615F">
      <w:pPr>
        <w:pStyle w:val="Text2"/>
        <w:ind w:left="0"/>
        <w:rPr>
          <w:b/>
          <w:lang w:val="fr-FR"/>
        </w:rPr>
      </w:pPr>
      <w:r w:rsidRPr="00EA3C27">
        <w:rPr>
          <w:b/>
          <w:lang w:val="fr-FR"/>
        </w:rPr>
        <w:t>Monitoring par les projets</w:t>
      </w:r>
    </w:p>
    <w:p w:rsidR="0040615F" w:rsidRPr="00EA3C27" w:rsidRDefault="0040615F" w:rsidP="0040615F">
      <w:pPr>
        <w:pStyle w:val="Text2"/>
        <w:ind w:left="0"/>
        <w:rPr>
          <w:lang w:val="fr-FR"/>
        </w:rPr>
      </w:pPr>
      <w:r w:rsidRPr="00EA3C27">
        <w:rPr>
          <w:lang w:val="fr-FR"/>
        </w:rPr>
        <w:lastRenderedPageBreak/>
        <w:t>Les bénéficiaires des subventions devront inclure dans leur proposition d'action les moyens mis en œuvre pour suivre l'action.</w:t>
      </w:r>
    </w:p>
    <w:p w:rsidR="0040615F" w:rsidRPr="00EA3C27" w:rsidRDefault="0040615F" w:rsidP="0040615F">
      <w:pPr>
        <w:spacing w:before="120" w:after="120"/>
        <w:rPr>
          <w:b/>
          <w:lang w:val="fr-FR"/>
        </w:rPr>
      </w:pPr>
      <w:proofErr w:type="spellStart"/>
      <w:r w:rsidRPr="00EA3C27">
        <w:rPr>
          <w:b/>
          <w:lang w:val="fr-FR"/>
        </w:rPr>
        <w:t>Results</w:t>
      </w:r>
      <w:proofErr w:type="spellEnd"/>
      <w:r w:rsidRPr="00EA3C27">
        <w:rPr>
          <w:b/>
          <w:lang w:val="fr-FR"/>
        </w:rPr>
        <w:t xml:space="preserve"> </w:t>
      </w:r>
      <w:proofErr w:type="spellStart"/>
      <w:r w:rsidRPr="00EA3C27">
        <w:rPr>
          <w:b/>
          <w:lang w:val="fr-FR"/>
        </w:rPr>
        <w:t>Oriented</w:t>
      </w:r>
      <w:proofErr w:type="spellEnd"/>
      <w:r w:rsidRPr="00EA3C27">
        <w:rPr>
          <w:b/>
          <w:lang w:val="fr-FR"/>
        </w:rPr>
        <w:t xml:space="preserve"> Monitoring (ROM)</w:t>
      </w:r>
    </w:p>
    <w:p w:rsidR="0040615F" w:rsidRPr="00EA3C27" w:rsidRDefault="0040615F" w:rsidP="00ED6649">
      <w:pPr>
        <w:spacing w:before="120" w:after="120"/>
        <w:jc w:val="both"/>
        <w:rPr>
          <w:color w:val="222222"/>
          <w:lang w:val="fr-FR"/>
        </w:rPr>
      </w:pPr>
      <w:r w:rsidRPr="00EA3C27">
        <w:rPr>
          <w:color w:val="222222"/>
          <w:lang w:val="fr-FR"/>
        </w:rPr>
        <w:t xml:space="preserve">Sur base annuelle, la Direction Générale du Développement prépare un programme de travail qui inclut </w:t>
      </w:r>
      <w:r w:rsidR="006E7D11" w:rsidRPr="00EA3C27">
        <w:rPr>
          <w:color w:val="222222"/>
          <w:lang w:val="fr-FR"/>
        </w:rPr>
        <w:t>la liste des projets à suivre</w:t>
      </w:r>
      <w:r w:rsidRPr="00EA3C27">
        <w:rPr>
          <w:color w:val="222222"/>
          <w:lang w:val="fr-FR"/>
        </w:rPr>
        <w:t xml:space="preserve"> dans les pays d'intervention selon le niveau des risques identifiés par les gestionnaires des projets, généralement en Délégation.</w:t>
      </w:r>
    </w:p>
    <w:p w:rsidR="0040615F" w:rsidRPr="00EA3C27" w:rsidRDefault="0040615F" w:rsidP="00ED6649">
      <w:pPr>
        <w:spacing w:before="120" w:after="120"/>
        <w:jc w:val="both"/>
        <w:rPr>
          <w:color w:val="222222"/>
          <w:lang w:val="fr-FR"/>
        </w:rPr>
      </w:pPr>
      <w:r w:rsidRPr="00EA3C27">
        <w:rPr>
          <w:color w:val="222222"/>
          <w:lang w:val="fr-FR"/>
        </w:rPr>
        <w:t xml:space="preserve">Les projets financés dans le cadre de cette fiche d'action feront partie de cet exercice initié par la Direction générale. </w:t>
      </w:r>
    </w:p>
    <w:p w:rsidR="0040615F" w:rsidRPr="00EA3C27" w:rsidRDefault="0040615F" w:rsidP="00ED6649">
      <w:pPr>
        <w:spacing w:before="120" w:after="120"/>
        <w:jc w:val="both"/>
        <w:rPr>
          <w:b/>
          <w:lang w:val="fr-FR"/>
        </w:rPr>
      </w:pPr>
      <w:r w:rsidRPr="00EA3C27">
        <w:rPr>
          <w:b/>
          <w:lang w:val="fr-FR"/>
        </w:rPr>
        <w:t>Indicateurs</w:t>
      </w:r>
    </w:p>
    <w:p w:rsidR="0040615F" w:rsidRPr="00EA3C27" w:rsidRDefault="0040615F" w:rsidP="006E7D11">
      <w:pPr>
        <w:spacing w:before="100" w:beforeAutospacing="1" w:after="120"/>
        <w:jc w:val="both"/>
        <w:rPr>
          <w:lang w:val="fr-FR"/>
        </w:rPr>
      </w:pPr>
      <w:r w:rsidRPr="00EA3C27">
        <w:rPr>
          <w:lang w:val="fr-FR"/>
        </w:rPr>
        <w:t>Le suivi</w:t>
      </w:r>
      <w:r w:rsidR="00ED6649" w:rsidRPr="00EA3C27">
        <w:rPr>
          <w:lang w:val="fr-FR"/>
        </w:rPr>
        <w:t xml:space="preserve"> de projets sera</w:t>
      </w:r>
      <w:r w:rsidRPr="00EA3C27">
        <w:rPr>
          <w:lang w:val="fr-FR"/>
        </w:rPr>
        <w:t xml:space="preserve"> entre autre assuré par la collecte, le traitement et l'analyse systématiques d'indicateurs quantitatifs et qualitatifs. Les indicateurs sont désagrégés par sexe, catégorie d'âge et district administratif, si approprié. Tous les indicateurs devront répondre aux standards SMART.</w:t>
      </w:r>
    </w:p>
    <w:p w:rsidR="003A20BE" w:rsidRPr="00EA3C27" w:rsidRDefault="003A20BE" w:rsidP="006E7D11">
      <w:pPr>
        <w:spacing w:before="100" w:beforeAutospacing="1" w:after="120"/>
        <w:jc w:val="both"/>
        <w:rPr>
          <w:lang w:val="fr-FR"/>
        </w:rPr>
      </w:pPr>
      <w:r w:rsidRPr="00EA3C27">
        <w:rPr>
          <w:lang w:val="fr-FR"/>
        </w:rPr>
        <w:t>Chaque contrat contient un cadre logique approuvé par le Fonds Bêkou, lequel reprend les objectifs, résultats, indicateurs, cibles, sources de vérifications et activités du projet.</w:t>
      </w:r>
    </w:p>
    <w:p w:rsidR="00C44885" w:rsidRPr="00EA3C27" w:rsidRDefault="00C44885" w:rsidP="006E7D11">
      <w:pPr>
        <w:pStyle w:val="Heading2"/>
        <w:tabs>
          <w:tab w:val="clear" w:pos="850"/>
          <w:tab w:val="left" w:pos="840"/>
        </w:tabs>
        <w:spacing w:before="240"/>
        <w:ind w:left="851" w:hanging="851"/>
        <w:rPr>
          <w:szCs w:val="24"/>
          <w:lang w:val="fr-FR"/>
        </w:rPr>
      </w:pPr>
      <w:r w:rsidRPr="00EA3C27">
        <w:rPr>
          <w:szCs w:val="24"/>
          <w:lang w:val="fr-FR"/>
        </w:rPr>
        <w:t>Évaluation et audit</w:t>
      </w:r>
    </w:p>
    <w:p w:rsidR="00A251E3" w:rsidRPr="00EA3C27" w:rsidRDefault="00A251E3" w:rsidP="00BF1C41">
      <w:pPr>
        <w:pStyle w:val="Text1"/>
        <w:spacing w:before="100" w:beforeAutospacing="1"/>
        <w:ind w:left="0"/>
        <w:rPr>
          <w:lang w:val="fr-FR"/>
        </w:rPr>
      </w:pPr>
      <w:r w:rsidRPr="00EA3C27">
        <w:rPr>
          <w:lang w:val="fr-FR"/>
        </w:rPr>
        <w:t>Si nécessaire, des audits ad hoc ou des missions de vérification des dépenses pourraient être engagés par la Commission européenne pour un ou plusieurs contrats ou conventions.</w:t>
      </w:r>
    </w:p>
    <w:p w:rsidR="00A251E3" w:rsidRPr="00EA3C27" w:rsidRDefault="00A251E3" w:rsidP="006E7D11">
      <w:pPr>
        <w:pStyle w:val="Text1"/>
        <w:spacing w:before="100" w:beforeAutospacing="1"/>
        <w:ind w:left="0"/>
        <w:rPr>
          <w:lang w:val="fr-FR"/>
        </w:rPr>
      </w:pPr>
      <w:r w:rsidRPr="00EA3C27">
        <w:rPr>
          <w:lang w:val="fr-FR"/>
        </w:rPr>
        <w:t xml:space="preserve">L’évaluation et les missions d’audit seront mises en œuvre au moyen de contrats de service, en utilisant l’un des contrats cadre de la Commission prévu à cette fin. Le montant consacré au budget à l’évaluation externe et à l’audit s’élève à </w:t>
      </w:r>
      <w:r w:rsidR="00FD5791" w:rsidRPr="00EA3C27">
        <w:rPr>
          <w:lang w:val="fr-FR"/>
        </w:rPr>
        <w:t>4</w:t>
      </w:r>
      <w:r w:rsidRPr="00EA3C27">
        <w:rPr>
          <w:lang w:val="fr-FR"/>
        </w:rPr>
        <w:t xml:space="preserve">00,000 EUR. </w:t>
      </w:r>
    </w:p>
    <w:p w:rsidR="00C44885" w:rsidRPr="00EA3C27" w:rsidRDefault="00C44885" w:rsidP="006E7D11">
      <w:pPr>
        <w:pStyle w:val="Text1"/>
        <w:spacing w:before="100" w:beforeAutospacing="1"/>
        <w:ind w:left="0"/>
        <w:rPr>
          <w:rStyle w:val="hps"/>
          <w:lang w:val="fr-FR"/>
        </w:rPr>
      </w:pPr>
      <w:r w:rsidRPr="00EA3C27">
        <w:rPr>
          <w:rStyle w:val="hps"/>
          <w:lang w:val="fr-FR"/>
        </w:rPr>
        <w:t>Une évaluation finale</w:t>
      </w:r>
      <w:r w:rsidRPr="00EA3C27">
        <w:rPr>
          <w:lang w:val="fr-FR"/>
        </w:rPr>
        <w:t xml:space="preserve"> </w:t>
      </w:r>
      <w:r w:rsidRPr="00EA3C27">
        <w:rPr>
          <w:rStyle w:val="hps"/>
          <w:lang w:val="fr-FR"/>
        </w:rPr>
        <w:t>et</w:t>
      </w:r>
      <w:r w:rsidRPr="00EA3C27">
        <w:rPr>
          <w:lang w:val="fr-FR"/>
        </w:rPr>
        <w:t xml:space="preserve"> </w:t>
      </w:r>
      <w:r w:rsidRPr="00EA3C27">
        <w:rPr>
          <w:rStyle w:val="hps"/>
          <w:lang w:val="fr-FR"/>
        </w:rPr>
        <w:t>indépendante</w:t>
      </w:r>
      <w:r w:rsidRPr="00EA3C27">
        <w:rPr>
          <w:lang w:val="fr-FR"/>
        </w:rPr>
        <w:t xml:space="preserve"> </w:t>
      </w:r>
      <w:r w:rsidRPr="00EA3C27">
        <w:rPr>
          <w:rStyle w:val="hps"/>
          <w:lang w:val="fr-FR"/>
        </w:rPr>
        <w:t>devra être effectuée</w:t>
      </w:r>
      <w:r w:rsidRPr="00EA3C27">
        <w:rPr>
          <w:lang w:val="fr-FR"/>
        </w:rPr>
        <w:t xml:space="preserve"> </w:t>
      </w:r>
      <w:r w:rsidRPr="00EA3C27">
        <w:rPr>
          <w:rStyle w:val="hps"/>
          <w:lang w:val="fr-FR"/>
        </w:rPr>
        <w:t>à temps pour</w:t>
      </w:r>
      <w:r w:rsidRPr="00EA3C27">
        <w:rPr>
          <w:lang w:val="fr-FR"/>
        </w:rPr>
        <w:t xml:space="preserve"> disposer des informations nécessaires au développement des activités futures. </w:t>
      </w:r>
      <w:r w:rsidRPr="00EA3C27">
        <w:rPr>
          <w:rStyle w:val="hps"/>
          <w:lang w:val="fr-FR"/>
        </w:rPr>
        <w:t xml:space="preserve">En l'absence de perspective </w:t>
      </w:r>
      <w:r w:rsidRPr="00EA3C27">
        <w:rPr>
          <w:lang w:val="fr-FR"/>
        </w:rPr>
        <w:t xml:space="preserve">d'intensification/extension du projet </w:t>
      </w:r>
      <w:r w:rsidRPr="00EA3C27">
        <w:rPr>
          <w:rStyle w:val="hps"/>
          <w:lang w:val="fr-FR"/>
        </w:rPr>
        <w:t>et dans la mesure</w:t>
      </w:r>
      <w:r w:rsidRPr="00EA3C27">
        <w:rPr>
          <w:lang w:val="fr-FR"/>
        </w:rPr>
        <w:t xml:space="preserve"> </w:t>
      </w:r>
      <w:r w:rsidRPr="00EA3C27">
        <w:rPr>
          <w:rStyle w:val="hps"/>
          <w:lang w:val="fr-FR"/>
        </w:rPr>
        <w:t>où</w:t>
      </w:r>
      <w:r w:rsidRPr="00EA3C27">
        <w:rPr>
          <w:lang w:val="fr-FR"/>
        </w:rPr>
        <w:t xml:space="preserve"> </w:t>
      </w:r>
      <w:r w:rsidRPr="00EA3C27">
        <w:rPr>
          <w:rStyle w:val="hps"/>
          <w:lang w:val="fr-FR"/>
        </w:rPr>
        <w:t>la sécurité le permet</w:t>
      </w:r>
      <w:r w:rsidRPr="00EA3C27">
        <w:rPr>
          <w:lang w:val="fr-FR"/>
        </w:rPr>
        <w:t xml:space="preserve">, </w:t>
      </w:r>
      <w:r w:rsidRPr="00EA3C27">
        <w:rPr>
          <w:rStyle w:val="hps"/>
          <w:lang w:val="fr-FR"/>
        </w:rPr>
        <w:t>une évaluation finale</w:t>
      </w:r>
      <w:r w:rsidRPr="00EA3C27">
        <w:rPr>
          <w:lang w:val="fr-FR"/>
        </w:rPr>
        <w:t xml:space="preserve"> </w:t>
      </w:r>
      <w:r w:rsidRPr="00EA3C27">
        <w:rPr>
          <w:rStyle w:val="hps"/>
          <w:lang w:val="fr-FR"/>
        </w:rPr>
        <w:t>devrait</w:t>
      </w:r>
      <w:r w:rsidRPr="00EA3C27">
        <w:rPr>
          <w:lang w:val="fr-FR"/>
        </w:rPr>
        <w:t xml:space="preserve"> </w:t>
      </w:r>
      <w:r w:rsidRPr="00EA3C27">
        <w:rPr>
          <w:rStyle w:val="hps"/>
          <w:lang w:val="fr-FR"/>
        </w:rPr>
        <w:t>être lancée</w:t>
      </w:r>
      <w:r w:rsidRPr="00EA3C27">
        <w:rPr>
          <w:lang w:val="fr-FR"/>
        </w:rPr>
        <w:t xml:space="preserve"> </w:t>
      </w:r>
      <w:r w:rsidRPr="00EA3C27">
        <w:rPr>
          <w:rStyle w:val="hps"/>
          <w:lang w:val="fr-FR"/>
        </w:rPr>
        <w:t>dans les 3 mois</w:t>
      </w:r>
      <w:r w:rsidRPr="00EA3C27">
        <w:rPr>
          <w:lang w:val="fr-FR"/>
        </w:rPr>
        <w:t xml:space="preserve"> après </w:t>
      </w:r>
      <w:r w:rsidRPr="00EA3C27">
        <w:rPr>
          <w:rStyle w:val="hps"/>
          <w:lang w:val="fr-FR"/>
        </w:rPr>
        <w:t>la fin du programme.</w:t>
      </w:r>
    </w:p>
    <w:p w:rsidR="00C44885" w:rsidRPr="00EA3C27" w:rsidRDefault="00C44885" w:rsidP="00BF1C41">
      <w:pPr>
        <w:pStyle w:val="Heading2"/>
        <w:tabs>
          <w:tab w:val="clear" w:pos="850"/>
          <w:tab w:val="left" w:pos="840"/>
        </w:tabs>
        <w:spacing w:before="240"/>
        <w:ind w:left="851" w:hanging="851"/>
        <w:rPr>
          <w:szCs w:val="24"/>
          <w:lang w:val="fr-FR"/>
        </w:rPr>
      </w:pPr>
      <w:r w:rsidRPr="00EA3C27">
        <w:rPr>
          <w:szCs w:val="24"/>
          <w:lang w:val="fr-FR"/>
        </w:rPr>
        <w:t>Communication et visibilité</w:t>
      </w:r>
    </w:p>
    <w:p w:rsidR="00093D50" w:rsidRPr="00EA3C27" w:rsidRDefault="00093D50" w:rsidP="006E7D11">
      <w:pPr>
        <w:pStyle w:val="Text1"/>
        <w:spacing w:before="100" w:beforeAutospacing="1"/>
        <w:ind w:left="0"/>
        <w:rPr>
          <w:lang w:val="fr-FR"/>
        </w:rPr>
      </w:pPr>
      <w:r w:rsidRPr="00EA3C27">
        <w:rPr>
          <w:lang w:val="fr-FR"/>
        </w:rPr>
        <w:t>Une bonne visibilité des activités menées par le Fonds en RCA, auprès des bénéficiaires, et plus généralement de la population centrafricaine, mais également auprès des citoyens européens constitue une des valeurs-ajoutées de ce dispositif. La communication et la visibilité du Fonds constituent des obligations légales pour toutes les actions extérieures financées par cet instrument.</w:t>
      </w:r>
    </w:p>
    <w:p w:rsidR="00093D50" w:rsidRPr="00EA3C27" w:rsidRDefault="00093D50" w:rsidP="006E7D11">
      <w:pPr>
        <w:pStyle w:val="Text1"/>
        <w:spacing w:before="100" w:beforeAutospacing="1"/>
        <w:ind w:left="0"/>
        <w:rPr>
          <w:lang w:val="fr-FR"/>
        </w:rPr>
      </w:pPr>
      <w:r w:rsidRPr="00EA3C27">
        <w:rPr>
          <w:lang w:val="fr-FR"/>
        </w:rPr>
        <w:t>Des mesures de communication et de visibilité sont à prévoir avant le début de la mise en œuvre des activités financées par le Fonds et seront élaborées sur la base d'un plan d'action spécifique dans ce domaine et financées sur le budget indiqué.</w:t>
      </w:r>
    </w:p>
    <w:p w:rsidR="00093D50" w:rsidRPr="00EA3C27" w:rsidRDefault="00093D50" w:rsidP="006E7D11">
      <w:pPr>
        <w:pStyle w:val="Text1"/>
        <w:spacing w:before="100" w:beforeAutospacing="1"/>
        <w:ind w:left="0"/>
        <w:rPr>
          <w:lang w:val="fr-FR"/>
        </w:rPr>
      </w:pPr>
      <w:r w:rsidRPr="00EA3C27">
        <w:rPr>
          <w:lang w:val="fr-FR"/>
        </w:rPr>
        <w:t>Ces mesures seront mises en œuvre a) par les partenaires de mis en œuvre, et/ou b) par le pays partenaire et/ou c) par le Fonds. Des obligations contractuelles adaptées seront respectivement prévues dans les contrats de subventions et les contrats de service.</w:t>
      </w:r>
    </w:p>
    <w:p w:rsidR="00093D50" w:rsidRPr="00EA3C27" w:rsidRDefault="00093D50" w:rsidP="006E7D11">
      <w:pPr>
        <w:pStyle w:val="Text1"/>
        <w:spacing w:before="100" w:beforeAutospacing="1"/>
        <w:ind w:left="0"/>
        <w:rPr>
          <w:lang w:val="fr-FR"/>
        </w:rPr>
      </w:pPr>
      <w:r w:rsidRPr="00EA3C27">
        <w:rPr>
          <w:lang w:val="fr-FR"/>
        </w:rPr>
        <w:lastRenderedPageBreak/>
        <w:t>Le plan de communication et de visibilité de l'action ainsi que les obligations contractuelles nécessaires seront établis sur la base de:</w:t>
      </w:r>
    </w:p>
    <w:p w:rsidR="00093D50" w:rsidRPr="00EA3C27" w:rsidRDefault="00093D50" w:rsidP="00B97539">
      <w:pPr>
        <w:pStyle w:val="Text1"/>
        <w:numPr>
          <w:ilvl w:val="0"/>
          <w:numId w:val="31"/>
        </w:numPr>
        <w:spacing w:before="100" w:beforeAutospacing="1"/>
        <w:rPr>
          <w:lang w:val="fr-FR"/>
        </w:rPr>
      </w:pPr>
      <w:r w:rsidRPr="00EA3C27">
        <w:rPr>
          <w:lang w:val="fr-FR"/>
        </w:rPr>
        <w:t>Manuel de communication et de visibilité applicables aux actions extérieures de l'Union européenne et des contributeurs;</w:t>
      </w:r>
    </w:p>
    <w:p w:rsidR="00093D50" w:rsidRPr="00EA3C27" w:rsidRDefault="00093D50" w:rsidP="00B97539">
      <w:pPr>
        <w:pStyle w:val="Text1"/>
        <w:numPr>
          <w:ilvl w:val="0"/>
          <w:numId w:val="31"/>
        </w:numPr>
        <w:spacing w:before="100" w:beforeAutospacing="1"/>
        <w:rPr>
          <w:lang w:val="fr-FR"/>
        </w:rPr>
      </w:pPr>
      <w:r w:rsidRPr="00EA3C27">
        <w:rPr>
          <w:lang w:val="fr-FR"/>
        </w:rPr>
        <w:t>Guidelines spécifiques du Fonds.</w:t>
      </w:r>
    </w:p>
    <w:p w:rsidR="0040615F" w:rsidRPr="008A22D9" w:rsidRDefault="0040615F" w:rsidP="006E7D11">
      <w:pPr>
        <w:suppressAutoHyphens w:val="0"/>
        <w:spacing w:before="100" w:beforeAutospacing="1" w:after="120"/>
        <w:jc w:val="both"/>
        <w:rPr>
          <w:lang w:val="fr-FR"/>
        </w:rPr>
      </w:pPr>
      <w:r w:rsidRPr="00EA3C27">
        <w:rPr>
          <w:lang w:val="fr-FR"/>
        </w:rPr>
        <w:t>Une communication transparente est également assurée via le Groupe Public du Fonds Fiduciaire Bêkou sur le site web de la Commission européenne (</w:t>
      </w:r>
      <w:hyperlink r:id="rId9" w:history="1">
        <w:r w:rsidRPr="00EA3C27">
          <w:rPr>
            <w:rStyle w:val="Hyperlink"/>
            <w:lang w:val="fr-FR"/>
          </w:rPr>
          <w:t>http://capacity4dev.ec.europa.eu/trust-fund-bekou/</w:t>
        </w:r>
      </w:hyperlink>
      <w:r w:rsidRPr="00EA3C27">
        <w:rPr>
          <w:lang w:val="fr-FR"/>
        </w:rPr>
        <w:t>) et son blog lequel est alimenté par les partenaires du Fonds.</w:t>
      </w:r>
      <w:r w:rsidR="00740A96">
        <w:rPr>
          <w:lang w:val="fr-FR"/>
        </w:rPr>
        <w:t xml:space="preserve"> </w:t>
      </w:r>
    </w:p>
    <w:p w:rsidR="00C44885" w:rsidRPr="008A22D9" w:rsidRDefault="00C44885" w:rsidP="00392DCC">
      <w:pPr>
        <w:pStyle w:val="Text2"/>
        <w:ind w:left="0"/>
        <w:rPr>
          <w:lang w:val="fr-FR"/>
        </w:rPr>
      </w:pPr>
    </w:p>
    <w:sectPr w:rsidR="00C44885" w:rsidRPr="008A22D9">
      <w:headerReference w:type="default" r:id="rId10"/>
      <w:footerReference w:type="default" r:id="rId11"/>
      <w:pgSz w:w="11906" w:h="16838"/>
      <w:pgMar w:top="1134" w:right="1417" w:bottom="765" w:left="1417"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36" w:rsidRDefault="00C06036">
      <w:r>
        <w:separator/>
      </w:r>
    </w:p>
  </w:endnote>
  <w:endnote w:type="continuationSeparator" w:id="0">
    <w:p w:rsidR="00C06036" w:rsidRDefault="00C06036">
      <w:r>
        <w:continuationSeparator/>
      </w:r>
    </w:p>
  </w:endnote>
  <w:endnote w:type="continuationNotice" w:id="1">
    <w:p w:rsidR="00C06036" w:rsidRDefault="00C06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Bitstream Vera Sans">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E45" w:rsidRDefault="00E46E45">
    <w:pPr>
      <w:pStyle w:val="Footer"/>
      <w:jc w:val="center"/>
    </w:pPr>
    <w:r>
      <w:fldChar w:fldCharType="begin"/>
    </w:r>
    <w:r>
      <w:instrText xml:space="preserve"> PAGE </w:instrText>
    </w:r>
    <w:r>
      <w:fldChar w:fldCharType="separate"/>
    </w:r>
    <w:r w:rsidR="00CF0F91">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36" w:rsidRDefault="00C06036">
      <w:r>
        <w:separator/>
      </w:r>
    </w:p>
  </w:footnote>
  <w:footnote w:type="continuationSeparator" w:id="0">
    <w:p w:rsidR="00C06036" w:rsidRDefault="00C06036">
      <w:r>
        <w:continuationSeparator/>
      </w:r>
    </w:p>
  </w:footnote>
  <w:footnote w:type="continuationNotice" w:id="1">
    <w:p w:rsidR="00C06036" w:rsidRDefault="00C06036"/>
  </w:footnote>
  <w:footnote w:id="2">
    <w:p w:rsidR="00C26E47" w:rsidRPr="005B259A" w:rsidRDefault="00C26E47" w:rsidP="005B259A">
      <w:pPr>
        <w:pStyle w:val="FootnoteText"/>
        <w:ind w:left="0" w:firstLine="0"/>
        <w:rPr>
          <w:lang w:val="fr-BE"/>
        </w:rPr>
      </w:pPr>
      <w:r>
        <w:rPr>
          <w:rStyle w:val="FootnoteReference"/>
        </w:rPr>
        <w:footnoteRef/>
      </w:r>
      <w:r w:rsidRPr="005B259A">
        <w:rPr>
          <w:lang w:val="fr-BE"/>
        </w:rPr>
        <w:t xml:space="preserve"> </w:t>
      </w:r>
      <w:r>
        <w:rPr>
          <w:lang w:val="fr-BE"/>
        </w:rPr>
        <w:t>Les communautés sont entendu</w:t>
      </w:r>
      <w:r w:rsidR="003153C4">
        <w:rPr>
          <w:lang w:val="fr-BE"/>
        </w:rPr>
        <w:t>e</w:t>
      </w:r>
      <w:r>
        <w:rPr>
          <w:lang w:val="fr-BE"/>
        </w:rPr>
        <w:t>s au sens large, quel que soit leur mode d'organisation sociale, sans préjudice de leur statut (centrafricains, déplacés, refugiés, etc</w:t>
      </w:r>
      <w:r w:rsidR="003153C4">
        <w:rPr>
          <w:lang w:val="fr-BE"/>
        </w:rPr>
        <w:t>.</w:t>
      </w:r>
      <w:r>
        <w:rPr>
          <w:lang w:val="fr-BE"/>
        </w:rPr>
        <w:t>)</w:t>
      </w:r>
    </w:p>
  </w:footnote>
  <w:footnote w:id="3">
    <w:p w:rsidR="008F7209" w:rsidRDefault="008F7209">
      <w:pPr>
        <w:pStyle w:val="FootnoteText"/>
      </w:pPr>
      <w:r>
        <w:rPr>
          <w:rStyle w:val="FootnoteReference"/>
        </w:rPr>
        <w:footnoteRef/>
      </w:r>
      <w:r>
        <w:t xml:space="preserve"> </w:t>
      </w:r>
      <w:proofErr w:type="gramStart"/>
      <w:r>
        <w:t>Instrument contributing to Stability and Peace (</w:t>
      </w:r>
      <w:proofErr w:type="spellStart"/>
      <w:r>
        <w:t>IcSP</w:t>
      </w:r>
      <w:proofErr w:type="spellEnd"/>
      <w:r>
        <w:t>)</w:t>
      </w:r>
      <w:r w:rsidR="0016499B">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36" w:rsidRDefault="00C06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BD21364_"/>
      </v:shape>
    </w:pict>
  </w:numPicBullet>
  <w:abstractNum w:abstractNumId="0">
    <w:nsid w:val="00000001"/>
    <w:multiLevelType w:val="multilevel"/>
    <w:tmpl w:val="E40662DE"/>
    <w:lvl w:ilvl="0">
      <w:start w:val="1"/>
      <w:numFmt w:val="decimal"/>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lang w:val="fr-BE"/>
      </w:rPr>
    </w:lvl>
    <w:lvl w:ilvl="2">
      <w:start w:val="1"/>
      <w:numFmt w:val="decimal"/>
      <w:lvlText w:val="%1.%2.%3."/>
      <w:lvlJc w:val="left"/>
      <w:pPr>
        <w:tabs>
          <w:tab w:val="num" w:pos="720"/>
        </w:tabs>
        <w:ind w:left="850" w:hanging="850"/>
      </w:pPr>
      <w:rPr>
        <w:rFonts w:hint="default"/>
        <w:b/>
        <w:i w:val="0"/>
      </w:rPr>
    </w:lvl>
    <w:lvl w:ilvl="3">
      <w:start w:val="1"/>
      <w:numFmt w:val="decimal"/>
      <w:pStyle w:val="Heading4"/>
      <w:lvlText w:val="%1.%2.%3.%4."/>
      <w:lvlJc w:val="left"/>
      <w:pPr>
        <w:tabs>
          <w:tab w:val="num" w:pos="6804"/>
        </w:tabs>
        <w:ind w:left="6804"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0000002"/>
    <w:multiLevelType w:val="multilevel"/>
    <w:tmpl w:val="00000002"/>
    <w:name w:val="WW8Num9"/>
    <w:lvl w:ilvl="0">
      <w:start w:val="1"/>
      <w:numFmt w:val="decimal"/>
      <w:pStyle w:val="ListNumber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0000003"/>
    <w:multiLevelType w:val="singleLevel"/>
    <w:tmpl w:val="00000003"/>
    <w:name w:val="WW8Num14"/>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3">
    <w:nsid w:val="00000004"/>
    <w:multiLevelType w:val="singleLevel"/>
    <w:tmpl w:val="00000004"/>
    <w:name w:val="WW8Num18"/>
    <w:lvl w:ilvl="0">
      <w:start w:val="1"/>
      <w:numFmt w:val="bullet"/>
      <w:pStyle w:val="Tiret2"/>
      <w:lvlText w:val="–"/>
      <w:lvlJc w:val="left"/>
      <w:pPr>
        <w:tabs>
          <w:tab w:val="num" w:pos="1984"/>
        </w:tabs>
        <w:ind w:left="1984" w:hanging="567"/>
      </w:pPr>
      <w:rPr>
        <w:rFonts w:ascii="Liberation Serif" w:hAnsi="Liberation Serif"/>
      </w:rPr>
    </w:lvl>
  </w:abstractNum>
  <w:abstractNum w:abstractNumId="4">
    <w:nsid w:val="07A14F73"/>
    <w:multiLevelType w:val="hybridMultilevel"/>
    <w:tmpl w:val="74D45368"/>
    <w:lvl w:ilvl="0" w:tplc="49DE4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2D595E"/>
    <w:multiLevelType w:val="hybridMultilevel"/>
    <w:tmpl w:val="7A6C07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A63489"/>
    <w:multiLevelType w:val="hybridMultilevel"/>
    <w:tmpl w:val="7826A86A"/>
    <w:lvl w:ilvl="0" w:tplc="10700DDE">
      <w:start w:val="4"/>
      <w:numFmt w:val="bullet"/>
      <w:lvlText w:val="-"/>
      <w:lvlJc w:val="left"/>
      <w:pPr>
        <w:ind w:left="720" w:hanging="360"/>
      </w:pPr>
      <w:rPr>
        <w:rFonts w:ascii="Calibri" w:eastAsia="MS Mincho"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EE187C"/>
    <w:multiLevelType w:val="hybridMultilevel"/>
    <w:tmpl w:val="F0DE3B92"/>
    <w:lvl w:ilvl="0" w:tplc="49DE47C6">
      <w:numFmt w:val="bullet"/>
      <w:lvlText w:val="-"/>
      <w:lvlJc w:val="left"/>
      <w:pPr>
        <w:ind w:left="768" w:hanging="360"/>
      </w:pPr>
      <w:rPr>
        <w:rFonts w:ascii="Arial" w:eastAsia="Times New Roman" w:hAnsi="Arial" w:cs="Aria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nsid w:val="192E3B8C"/>
    <w:multiLevelType w:val="hybridMultilevel"/>
    <w:tmpl w:val="FA4CFB20"/>
    <w:lvl w:ilvl="0" w:tplc="49DE47C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nsid w:val="1A142E0F"/>
    <w:multiLevelType w:val="hybridMultilevel"/>
    <w:tmpl w:val="4D2AB1BA"/>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BB2090"/>
    <w:multiLevelType w:val="hybridMultilevel"/>
    <w:tmpl w:val="BDC83E80"/>
    <w:lvl w:ilvl="0" w:tplc="9EEEA9F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413A7D"/>
    <w:multiLevelType w:val="hybridMultilevel"/>
    <w:tmpl w:val="12A0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381B36"/>
    <w:multiLevelType w:val="hybridMultilevel"/>
    <w:tmpl w:val="2316766A"/>
    <w:lvl w:ilvl="0" w:tplc="49DE4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827CEB"/>
    <w:multiLevelType w:val="hybridMultilevel"/>
    <w:tmpl w:val="43A2F304"/>
    <w:lvl w:ilvl="0" w:tplc="10700DDE">
      <w:start w:val="4"/>
      <w:numFmt w:val="bullet"/>
      <w:lvlText w:val="-"/>
      <w:lvlJc w:val="left"/>
      <w:pPr>
        <w:ind w:left="720" w:hanging="360"/>
      </w:pPr>
      <w:rPr>
        <w:rFonts w:ascii="Calibri" w:eastAsia="MS Mincho"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4206C"/>
    <w:multiLevelType w:val="hybridMultilevel"/>
    <w:tmpl w:val="2A2C1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F854E49"/>
    <w:multiLevelType w:val="hybridMultilevel"/>
    <w:tmpl w:val="FB8494A8"/>
    <w:lvl w:ilvl="0" w:tplc="49DE47C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nsid w:val="39C20D8E"/>
    <w:multiLevelType w:val="hybridMultilevel"/>
    <w:tmpl w:val="7A80F110"/>
    <w:lvl w:ilvl="0" w:tplc="10700DDE">
      <w:start w:val="4"/>
      <w:numFmt w:val="bullet"/>
      <w:lvlText w:val="-"/>
      <w:lvlJc w:val="left"/>
      <w:pPr>
        <w:ind w:left="720" w:hanging="360"/>
      </w:pPr>
      <w:rPr>
        <w:rFonts w:ascii="Calibri" w:eastAsia="MS Mincho"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882A20"/>
    <w:multiLevelType w:val="hybridMultilevel"/>
    <w:tmpl w:val="888268B6"/>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C201D3"/>
    <w:multiLevelType w:val="hybridMultilevel"/>
    <w:tmpl w:val="5D7CEC26"/>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CE4B29"/>
    <w:multiLevelType w:val="hybridMultilevel"/>
    <w:tmpl w:val="501CA43A"/>
    <w:lvl w:ilvl="0" w:tplc="49DE47C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nsid w:val="5422698E"/>
    <w:multiLevelType w:val="hybridMultilevel"/>
    <w:tmpl w:val="944CA5F0"/>
    <w:lvl w:ilvl="0" w:tplc="9EEEA9F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1B6B36"/>
    <w:multiLevelType w:val="hybridMultilevel"/>
    <w:tmpl w:val="2584B1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F3514E"/>
    <w:multiLevelType w:val="hybridMultilevel"/>
    <w:tmpl w:val="B4B2C03C"/>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BB4529"/>
    <w:multiLevelType w:val="hybridMultilevel"/>
    <w:tmpl w:val="003A0C92"/>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641B9D"/>
    <w:multiLevelType w:val="hybridMultilevel"/>
    <w:tmpl w:val="29C013AC"/>
    <w:lvl w:ilvl="0" w:tplc="49DE47C6">
      <w:numFmt w:val="bullet"/>
      <w:lvlText w:val="-"/>
      <w:lvlJc w:val="left"/>
      <w:pPr>
        <w:ind w:left="1434" w:hanging="360"/>
      </w:pPr>
      <w:rPr>
        <w:rFonts w:ascii="Arial" w:eastAsia="Times New Roman" w:hAnsi="Arial" w:cs="Aria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nsid w:val="64F67F77"/>
    <w:multiLevelType w:val="hybridMultilevel"/>
    <w:tmpl w:val="7552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43305"/>
    <w:multiLevelType w:val="hybridMultilevel"/>
    <w:tmpl w:val="F85C761E"/>
    <w:lvl w:ilvl="0" w:tplc="49DE4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AC0205"/>
    <w:multiLevelType w:val="hybridMultilevel"/>
    <w:tmpl w:val="746CF366"/>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5D6EF5"/>
    <w:multiLevelType w:val="hybridMultilevel"/>
    <w:tmpl w:val="0D7A482A"/>
    <w:lvl w:ilvl="0" w:tplc="0AC81E5A">
      <w:start w:val="1"/>
      <w:numFmt w:val="decimal"/>
      <w:pStyle w:val="Numberedlist"/>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7F266C"/>
    <w:multiLevelType w:val="hybridMultilevel"/>
    <w:tmpl w:val="89DAFC84"/>
    <w:lvl w:ilvl="0" w:tplc="49DE47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BD57A6"/>
    <w:multiLevelType w:val="hybridMultilevel"/>
    <w:tmpl w:val="673A811A"/>
    <w:lvl w:ilvl="0" w:tplc="49DE47C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nsid w:val="78DD1A37"/>
    <w:multiLevelType w:val="hybridMultilevel"/>
    <w:tmpl w:val="EEEA2440"/>
    <w:lvl w:ilvl="0" w:tplc="10700DDE">
      <w:start w:val="4"/>
      <w:numFmt w:val="bullet"/>
      <w:lvlText w:val="-"/>
      <w:lvlJc w:val="left"/>
      <w:pPr>
        <w:ind w:left="720" w:hanging="360"/>
      </w:pPr>
      <w:rPr>
        <w:rFonts w:ascii="Calibri" w:eastAsia="MS Mincho"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5"/>
  </w:num>
  <w:num w:numId="6">
    <w:abstractNumId w:val="8"/>
  </w:num>
  <w:num w:numId="7">
    <w:abstractNumId w:val="30"/>
  </w:num>
  <w:num w:numId="8">
    <w:abstractNumId w:val="19"/>
  </w:num>
  <w:num w:numId="9">
    <w:abstractNumId w:val="20"/>
  </w:num>
  <w:num w:numId="10">
    <w:abstractNumId w:val="10"/>
  </w:num>
  <w:num w:numId="11">
    <w:abstractNumId w:val="28"/>
    <w:lvlOverride w:ilvl="0">
      <w:startOverride w:val="1"/>
    </w:lvlOverride>
  </w:num>
  <w:num w:numId="12">
    <w:abstractNumId w:val="16"/>
  </w:num>
  <w:num w:numId="13">
    <w:abstractNumId w:val="13"/>
  </w:num>
  <w:num w:numId="14">
    <w:abstractNumId w:val="0"/>
    <w:lvlOverride w:ilvl="0">
      <w:lvl w:ilvl="0">
        <w:start w:val="1"/>
        <w:numFmt w:val="decimal"/>
        <w:pStyle w:val="Heading1"/>
        <w:lvlText w:val="%1."/>
        <w:lvlJc w:val="left"/>
        <w:pPr>
          <w:tabs>
            <w:tab w:val="num" w:pos="850"/>
          </w:tabs>
          <w:ind w:left="850" w:hanging="850"/>
        </w:pPr>
        <w:rPr>
          <w:rFonts w:hint="default"/>
        </w:rPr>
      </w:lvl>
    </w:lvlOverride>
    <w:lvlOverride w:ilvl="1">
      <w:lvl w:ilvl="1">
        <w:start w:val="1"/>
        <w:numFmt w:val="decimal"/>
        <w:pStyle w:val="Heading2"/>
        <w:lvlText w:val="%1.%2."/>
        <w:lvlJc w:val="left"/>
        <w:pPr>
          <w:tabs>
            <w:tab w:val="num" w:pos="850"/>
          </w:tabs>
          <w:ind w:left="850" w:hanging="850"/>
        </w:pPr>
        <w:rPr>
          <w:rFonts w:hint="default"/>
        </w:rPr>
      </w:lvl>
    </w:lvlOverride>
    <w:lvlOverride w:ilvl="2">
      <w:lvl w:ilvl="2">
        <w:start w:val="1"/>
        <w:numFmt w:val="decimal"/>
        <w:lvlText w:val="%1.%2.%3."/>
        <w:lvlJc w:val="left"/>
        <w:pPr>
          <w:tabs>
            <w:tab w:val="num" w:pos="720"/>
          </w:tabs>
          <w:ind w:left="850" w:hanging="850"/>
        </w:pPr>
        <w:rPr>
          <w:rFonts w:hint="default"/>
          <w:b/>
          <w:i w:val="0"/>
        </w:rPr>
      </w:lvl>
    </w:lvlOverride>
    <w:lvlOverride w:ilvl="3">
      <w:lvl w:ilvl="3">
        <w:start w:val="1"/>
        <w:numFmt w:val="decimal"/>
        <w:pStyle w:val="Heading4"/>
        <w:lvlText w:val="%1.%2.%3.%4."/>
        <w:lvlJc w:val="left"/>
        <w:pPr>
          <w:tabs>
            <w:tab w:val="num" w:pos="6804"/>
          </w:tabs>
          <w:ind w:left="6804"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1"/>
  </w:num>
  <w:num w:numId="19">
    <w:abstractNumId w:val="6"/>
  </w:num>
  <w:num w:numId="20">
    <w:abstractNumId w:val="14"/>
  </w:num>
  <w:num w:numId="21">
    <w:abstractNumId w:val="25"/>
  </w:num>
  <w:num w:numId="22">
    <w:abstractNumId w:val="22"/>
  </w:num>
  <w:num w:numId="23">
    <w:abstractNumId w:val="29"/>
  </w:num>
  <w:num w:numId="24">
    <w:abstractNumId w:val="17"/>
  </w:num>
  <w:num w:numId="25">
    <w:abstractNumId w:val="27"/>
  </w:num>
  <w:num w:numId="26">
    <w:abstractNumId w:val="4"/>
  </w:num>
  <w:num w:numId="27">
    <w:abstractNumId w:val="12"/>
  </w:num>
  <w:num w:numId="28">
    <w:abstractNumId w:val="24"/>
  </w:num>
  <w:num w:numId="29">
    <w:abstractNumId w:val="18"/>
  </w:num>
  <w:num w:numId="30">
    <w:abstractNumId w:val="9"/>
  </w:num>
  <w:num w:numId="31">
    <w:abstractNumId w:val="7"/>
  </w:num>
  <w:num w:numId="32">
    <w:abstractNumId w:val="28"/>
  </w:num>
  <w:num w:numId="33">
    <w:abstractNumId w:val="5"/>
  </w:num>
  <w:num w:numId="34">
    <w:abstractNumId w:val="23"/>
  </w:num>
  <w:num w:numId="35">
    <w:abstractNumId w:val="26"/>
  </w:num>
  <w:num w:numId="36">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EB58B8"/>
    <w:rsid w:val="00001303"/>
    <w:rsid w:val="000055B9"/>
    <w:rsid w:val="0000586C"/>
    <w:rsid w:val="0000708C"/>
    <w:rsid w:val="00017286"/>
    <w:rsid w:val="00017DDF"/>
    <w:rsid w:val="00022358"/>
    <w:rsid w:val="0002406F"/>
    <w:rsid w:val="00025BC3"/>
    <w:rsid w:val="0002639D"/>
    <w:rsid w:val="0002679E"/>
    <w:rsid w:val="00031F77"/>
    <w:rsid w:val="000334BD"/>
    <w:rsid w:val="00034637"/>
    <w:rsid w:val="000365B0"/>
    <w:rsid w:val="0003689C"/>
    <w:rsid w:val="00040AE8"/>
    <w:rsid w:val="0004242D"/>
    <w:rsid w:val="00042DF7"/>
    <w:rsid w:val="00043E2B"/>
    <w:rsid w:val="00045818"/>
    <w:rsid w:val="00046D18"/>
    <w:rsid w:val="00050C8A"/>
    <w:rsid w:val="000536C0"/>
    <w:rsid w:val="00054A11"/>
    <w:rsid w:val="000607BC"/>
    <w:rsid w:val="000629F8"/>
    <w:rsid w:val="0006318C"/>
    <w:rsid w:val="00066951"/>
    <w:rsid w:val="00071DF7"/>
    <w:rsid w:val="00080786"/>
    <w:rsid w:val="0008094D"/>
    <w:rsid w:val="00080953"/>
    <w:rsid w:val="00083115"/>
    <w:rsid w:val="00084EF2"/>
    <w:rsid w:val="0008518A"/>
    <w:rsid w:val="00093D50"/>
    <w:rsid w:val="00094365"/>
    <w:rsid w:val="00094561"/>
    <w:rsid w:val="00094E8A"/>
    <w:rsid w:val="00097CBE"/>
    <w:rsid w:val="000A34CD"/>
    <w:rsid w:val="000A4998"/>
    <w:rsid w:val="000A64A3"/>
    <w:rsid w:val="000B0569"/>
    <w:rsid w:val="000B30D9"/>
    <w:rsid w:val="000B344A"/>
    <w:rsid w:val="000B4CB9"/>
    <w:rsid w:val="000C34A4"/>
    <w:rsid w:val="000C57B7"/>
    <w:rsid w:val="000D09C8"/>
    <w:rsid w:val="000D0ED8"/>
    <w:rsid w:val="000D2958"/>
    <w:rsid w:val="000D3652"/>
    <w:rsid w:val="000D53CD"/>
    <w:rsid w:val="000E0374"/>
    <w:rsid w:val="000E16EF"/>
    <w:rsid w:val="000E62AA"/>
    <w:rsid w:val="000E66FC"/>
    <w:rsid w:val="000F1DB3"/>
    <w:rsid w:val="000F295E"/>
    <w:rsid w:val="000F2AC3"/>
    <w:rsid w:val="000F3C0C"/>
    <w:rsid w:val="000F4C33"/>
    <w:rsid w:val="000F61AF"/>
    <w:rsid w:val="000F6518"/>
    <w:rsid w:val="000F6FEB"/>
    <w:rsid w:val="001059E0"/>
    <w:rsid w:val="0010652C"/>
    <w:rsid w:val="0010757E"/>
    <w:rsid w:val="00107C73"/>
    <w:rsid w:val="001110AB"/>
    <w:rsid w:val="0011130D"/>
    <w:rsid w:val="00112A7E"/>
    <w:rsid w:val="001151E2"/>
    <w:rsid w:val="00121960"/>
    <w:rsid w:val="001236BF"/>
    <w:rsid w:val="0012461D"/>
    <w:rsid w:val="0012592B"/>
    <w:rsid w:val="001260C1"/>
    <w:rsid w:val="0013222A"/>
    <w:rsid w:val="00132451"/>
    <w:rsid w:val="00134B9A"/>
    <w:rsid w:val="00134C53"/>
    <w:rsid w:val="00135E9E"/>
    <w:rsid w:val="00137A6C"/>
    <w:rsid w:val="001474C4"/>
    <w:rsid w:val="001517DB"/>
    <w:rsid w:val="00151AFD"/>
    <w:rsid w:val="00151C40"/>
    <w:rsid w:val="0015292D"/>
    <w:rsid w:val="00152BE2"/>
    <w:rsid w:val="0016499B"/>
    <w:rsid w:val="00167632"/>
    <w:rsid w:val="001700C0"/>
    <w:rsid w:val="0017388F"/>
    <w:rsid w:val="00174FB7"/>
    <w:rsid w:val="001764A3"/>
    <w:rsid w:val="001804F9"/>
    <w:rsid w:val="001842D9"/>
    <w:rsid w:val="00186CF0"/>
    <w:rsid w:val="001877D3"/>
    <w:rsid w:val="00190F2A"/>
    <w:rsid w:val="0019123F"/>
    <w:rsid w:val="00192849"/>
    <w:rsid w:val="00195688"/>
    <w:rsid w:val="001A2B08"/>
    <w:rsid w:val="001A37AB"/>
    <w:rsid w:val="001A398E"/>
    <w:rsid w:val="001A40B3"/>
    <w:rsid w:val="001A581E"/>
    <w:rsid w:val="001A6F1E"/>
    <w:rsid w:val="001A7992"/>
    <w:rsid w:val="001B52BD"/>
    <w:rsid w:val="001B6E7B"/>
    <w:rsid w:val="001C4977"/>
    <w:rsid w:val="001C4DCB"/>
    <w:rsid w:val="001D19F8"/>
    <w:rsid w:val="001D1BC5"/>
    <w:rsid w:val="001D37E2"/>
    <w:rsid w:val="001D61B7"/>
    <w:rsid w:val="001E00D8"/>
    <w:rsid w:val="001E0CE8"/>
    <w:rsid w:val="001E1186"/>
    <w:rsid w:val="001E4C34"/>
    <w:rsid w:val="001E50CD"/>
    <w:rsid w:val="001E5D4D"/>
    <w:rsid w:val="001F0D90"/>
    <w:rsid w:val="001F10C5"/>
    <w:rsid w:val="001F1A66"/>
    <w:rsid w:val="001F33CB"/>
    <w:rsid w:val="001F4FAA"/>
    <w:rsid w:val="00203433"/>
    <w:rsid w:val="00206D49"/>
    <w:rsid w:val="00207BF6"/>
    <w:rsid w:val="00207DEF"/>
    <w:rsid w:val="00212035"/>
    <w:rsid w:val="0021289E"/>
    <w:rsid w:val="00216422"/>
    <w:rsid w:val="00216524"/>
    <w:rsid w:val="00221CE8"/>
    <w:rsid w:val="002235C4"/>
    <w:rsid w:val="00240AF4"/>
    <w:rsid w:val="0024119F"/>
    <w:rsid w:val="00241EBE"/>
    <w:rsid w:val="00242F3E"/>
    <w:rsid w:val="002472AE"/>
    <w:rsid w:val="00251EFD"/>
    <w:rsid w:val="002520CC"/>
    <w:rsid w:val="002568C1"/>
    <w:rsid w:val="00256B90"/>
    <w:rsid w:val="00257CF5"/>
    <w:rsid w:val="00257E95"/>
    <w:rsid w:val="00260E90"/>
    <w:rsid w:val="00263066"/>
    <w:rsid w:val="00263312"/>
    <w:rsid w:val="002638C6"/>
    <w:rsid w:val="002662BF"/>
    <w:rsid w:val="00270C0E"/>
    <w:rsid w:val="0027119C"/>
    <w:rsid w:val="00277A05"/>
    <w:rsid w:val="00290450"/>
    <w:rsid w:val="002937DF"/>
    <w:rsid w:val="00293E7F"/>
    <w:rsid w:val="0029456D"/>
    <w:rsid w:val="00295430"/>
    <w:rsid w:val="002959B9"/>
    <w:rsid w:val="00295C6D"/>
    <w:rsid w:val="002A2E65"/>
    <w:rsid w:val="002A5664"/>
    <w:rsid w:val="002B1EB5"/>
    <w:rsid w:val="002B4365"/>
    <w:rsid w:val="002C1258"/>
    <w:rsid w:val="002C129F"/>
    <w:rsid w:val="002C1385"/>
    <w:rsid w:val="002C519E"/>
    <w:rsid w:val="002C5DD2"/>
    <w:rsid w:val="002D0A64"/>
    <w:rsid w:val="002D2DCC"/>
    <w:rsid w:val="002D5B9A"/>
    <w:rsid w:val="002D730F"/>
    <w:rsid w:val="002E05AF"/>
    <w:rsid w:val="002E3DCA"/>
    <w:rsid w:val="002E42A8"/>
    <w:rsid w:val="002F0EDC"/>
    <w:rsid w:val="002F52BB"/>
    <w:rsid w:val="00300793"/>
    <w:rsid w:val="00301DFA"/>
    <w:rsid w:val="00306298"/>
    <w:rsid w:val="00310358"/>
    <w:rsid w:val="00311628"/>
    <w:rsid w:val="00313426"/>
    <w:rsid w:val="003153C4"/>
    <w:rsid w:val="00316A93"/>
    <w:rsid w:val="00320611"/>
    <w:rsid w:val="00323D99"/>
    <w:rsid w:val="00325F3B"/>
    <w:rsid w:val="00327824"/>
    <w:rsid w:val="003320C0"/>
    <w:rsid w:val="00333F50"/>
    <w:rsid w:val="00335FA7"/>
    <w:rsid w:val="00340B41"/>
    <w:rsid w:val="00340FDB"/>
    <w:rsid w:val="00342A1B"/>
    <w:rsid w:val="00342CCB"/>
    <w:rsid w:val="00350F16"/>
    <w:rsid w:val="00351BC1"/>
    <w:rsid w:val="003528F4"/>
    <w:rsid w:val="00352AAE"/>
    <w:rsid w:val="00366173"/>
    <w:rsid w:val="003676E9"/>
    <w:rsid w:val="0037058C"/>
    <w:rsid w:val="003765D6"/>
    <w:rsid w:val="003812B8"/>
    <w:rsid w:val="00381E24"/>
    <w:rsid w:val="0038514E"/>
    <w:rsid w:val="00385243"/>
    <w:rsid w:val="0039046B"/>
    <w:rsid w:val="00391A19"/>
    <w:rsid w:val="00391EE2"/>
    <w:rsid w:val="003929C6"/>
    <w:rsid w:val="00392DCC"/>
    <w:rsid w:val="0039307F"/>
    <w:rsid w:val="003A20BE"/>
    <w:rsid w:val="003A7F33"/>
    <w:rsid w:val="003B033B"/>
    <w:rsid w:val="003B4078"/>
    <w:rsid w:val="003B4D4D"/>
    <w:rsid w:val="003B50FE"/>
    <w:rsid w:val="003B6758"/>
    <w:rsid w:val="003C0041"/>
    <w:rsid w:val="003C1386"/>
    <w:rsid w:val="003C3AED"/>
    <w:rsid w:val="003C4685"/>
    <w:rsid w:val="003D05A5"/>
    <w:rsid w:val="003D2219"/>
    <w:rsid w:val="003E113B"/>
    <w:rsid w:val="003E1A5C"/>
    <w:rsid w:val="003E23F4"/>
    <w:rsid w:val="003E3549"/>
    <w:rsid w:val="003E7418"/>
    <w:rsid w:val="003F1C2D"/>
    <w:rsid w:val="003F2544"/>
    <w:rsid w:val="003F3CB5"/>
    <w:rsid w:val="003F7A78"/>
    <w:rsid w:val="0040024B"/>
    <w:rsid w:val="00403138"/>
    <w:rsid w:val="00404D7C"/>
    <w:rsid w:val="0040615F"/>
    <w:rsid w:val="00406D5F"/>
    <w:rsid w:val="004078C9"/>
    <w:rsid w:val="00407E64"/>
    <w:rsid w:val="00412DEC"/>
    <w:rsid w:val="004130D4"/>
    <w:rsid w:val="00415551"/>
    <w:rsid w:val="004248D2"/>
    <w:rsid w:val="00425649"/>
    <w:rsid w:val="00425859"/>
    <w:rsid w:val="00427605"/>
    <w:rsid w:val="00431BF1"/>
    <w:rsid w:val="00434DEB"/>
    <w:rsid w:val="00440EDD"/>
    <w:rsid w:val="00442127"/>
    <w:rsid w:val="00446C15"/>
    <w:rsid w:val="00454D08"/>
    <w:rsid w:val="004557ED"/>
    <w:rsid w:val="00455E94"/>
    <w:rsid w:val="00457903"/>
    <w:rsid w:val="00461E57"/>
    <w:rsid w:val="00461F6F"/>
    <w:rsid w:val="0046456F"/>
    <w:rsid w:val="00465443"/>
    <w:rsid w:val="00466753"/>
    <w:rsid w:val="00467E0E"/>
    <w:rsid w:val="00474978"/>
    <w:rsid w:val="00477773"/>
    <w:rsid w:val="00477C50"/>
    <w:rsid w:val="004821DE"/>
    <w:rsid w:val="00485045"/>
    <w:rsid w:val="00487E5A"/>
    <w:rsid w:val="004969DF"/>
    <w:rsid w:val="004A09CC"/>
    <w:rsid w:val="004A1298"/>
    <w:rsid w:val="004A20DA"/>
    <w:rsid w:val="004A3306"/>
    <w:rsid w:val="004A43CC"/>
    <w:rsid w:val="004B192A"/>
    <w:rsid w:val="004B1AE9"/>
    <w:rsid w:val="004B3CF3"/>
    <w:rsid w:val="004B51B2"/>
    <w:rsid w:val="004B5265"/>
    <w:rsid w:val="004B57A8"/>
    <w:rsid w:val="004C24A8"/>
    <w:rsid w:val="004C2E76"/>
    <w:rsid w:val="004C3ACF"/>
    <w:rsid w:val="004C49CE"/>
    <w:rsid w:val="004C4F4B"/>
    <w:rsid w:val="004C627D"/>
    <w:rsid w:val="004C6322"/>
    <w:rsid w:val="004C74F3"/>
    <w:rsid w:val="004D14E7"/>
    <w:rsid w:val="004D1F67"/>
    <w:rsid w:val="004D5341"/>
    <w:rsid w:val="004D725D"/>
    <w:rsid w:val="004E0B5E"/>
    <w:rsid w:val="004E35D0"/>
    <w:rsid w:val="004E5B28"/>
    <w:rsid w:val="004F0534"/>
    <w:rsid w:val="004F24DB"/>
    <w:rsid w:val="004F3167"/>
    <w:rsid w:val="004F5842"/>
    <w:rsid w:val="004F6BA0"/>
    <w:rsid w:val="00505926"/>
    <w:rsid w:val="00511722"/>
    <w:rsid w:val="0051389C"/>
    <w:rsid w:val="005165FE"/>
    <w:rsid w:val="00516B8D"/>
    <w:rsid w:val="00520706"/>
    <w:rsid w:val="0052185A"/>
    <w:rsid w:val="00524C66"/>
    <w:rsid w:val="005268FE"/>
    <w:rsid w:val="00526D8D"/>
    <w:rsid w:val="005317F4"/>
    <w:rsid w:val="00533015"/>
    <w:rsid w:val="00534C6B"/>
    <w:rsid w:val="00536165"/>
    <w:rsid w:val="00540C7A"/>
    <w:rsid w:val="00542AB0"/>
    <w:rsid w:val="00551687"/>
    <w:rsid w:val="00552714"/>
    <w:rsid w:val="00552932"/>
    <w:rsid w:val="00555BF2"/>
    <w:rsid w:val="0055779F"/>
    <w:rsid w:val="00564B4A"/>
    <w:rsid w:val="00567DAB"/>
    <w:rsid w:val="005736C5"/>
    <w:rsid w:val="0057486C"/>
    <w:rsid w:val="005816EE"/>
    <w:rsid w:val="005818BC"/>
    <w:rsid w:val="00591ADC"/>
    <w:rsid w:val="00592CC9"/>
    <w:rsid w:val="005936D9"/>
    <w:rsid w:val="00594E19"/>
    <w:rsid w:val="00597DD7"/>
    <w:rsid w:val="005A2558"/>
    <w:rsid w:val="005B1E3B"/>
    <w:rsid w:val="005B259A"/>
    <w:rsid w:val="005B268E"/>
    <w:rsid w:val="005B35FC"/>
    <w:rsid w:val="005B3EC9"/>
    <w:rsid w:val="005B4719"/>
    <w:rsid w:val="005B482A"/>
    <w:rsid w:val="005B6684"/>
    <w:rsid w:val="005D5D7F"/>
    <w:rsid w:val="005E04DE"/>
    <w:rsid w:val="005E28FD"/>
    <w:rsid w:val="005E3663"/>
    <w:rsid w:val="005E370D"/>
    <w:rsid w:val="005E3F40"/>
    <w:rsid w:val="005E4234"/>
    <w:rsid w:val="005F1C7D"/>
    <w:rsid w:val="005F3FE5"/>
    <w:rsid w:val="005F7CD5"/>
    <w:rsid w:val="005F7F29"/>
    <w:rsid w:val="00600336"/>
    <w:rsid w:val="00603F3E"/>
    <w:rsid w:val="00604335"/>
    <w:rsid w:val="00612153"/>
    <w:rsid w:val="00615012"/>
    <w:rsid w:val="00620E1D"/>
    <w:rsid w:val="00622940"/>
    <w:rsid w:val="00623AEC"/>
    <w:rsid w:val="00624D7B"/>
    <w:rsid w:val="0062793F"/>
    <w:rsid w:val="00627E5D"/>
    <w:rsid w:val="00630D14"/>
    <w:rsid w:val="006314A7"/>
    <w:rsid w:val="00631B6A"/>
    <w:rsid w:val="00634AC2"/>
    <w:rsid w:val="006364D2"/>
    <w:rsid w:val="00646583"/>
    <w:rsid w:val="0065036B"/>
    <w:rsid w:val="00651832"/>
    <w:rsid w:val="0065449B"/>
    <w:rsid w:val="006552FA"/>
    <w:rsid w:val="00663997"/>
    <w:rsid w:val="00666A94"/>
    <w:rsid w:val="00672857"/>
    <w:rsid w:val="0067327C"/>
    <w:rsid w:val="00676091"/>
    <w:rsid w:val="00682283"/>
    <w:rsid w:val="006860CA"/>
    <w:rsid w:val="00687809"/>
    <w:rsid w:val="00691421"/>
    <w:rsid w:val="00691F95"/>
    <w:rsid w:val="00693C63"/>
    <w:rsid w:val="006A180F"/>
    <w:rsid w:val="006A2527"/>
    <w:rsid w:val="006A37B6"/>
    <w:rsid w:val="006A6CF0"/>
    <w:rsid w:val="006A6F27"/>
    <w:rsid w:val="006B3C45"/>
    <w:rsid w:val="006B7FC3"/>
    <w:rsid w:val="006C15D5"/>
    <w:rsid w:val="006C513A"/>
    <w:rsid w:val="006C541C"/>
    <w:rsid w:val="006C63BD"/>
    <w:rsid w:val="006D09F1"/>
    <w:rsid w:val="006D0D7E"/>
    <w:rsid w:val="006D14B8"/>
    <w:rsid w:val="006D3594"/>
    <w:rsid w:val="006E07F8"/>
    <w:rsid w:val="006E1350"/>
    <w:rsid w:val="006E4ACE"/>
    <w:rsid w:val="006E5414"/>
    <w:rsid w:val="006E54DF"/>
    <w:rsid w:val="006E65DB"/>
    <w:rsid w:val="006E7D11"/>
    <w:rsid w:val="006F01AF"/>
    <w:rsid w:val="006F16B0"/>
    <w:rsid w:val="006F3144"/>
    <w:rsid w:val="006F3E15"/>
    <w:rsid w:val="007038A6"/>
    <w:rsid w:val="0070412B"/>
    <w:rsid w:val="00705D39"/>
    <w:rsid w:val="007064BA"/>
    <w:rsid w:val="00706FCA"/>
    <w:rsid w:val="00712283"/>
    <w:rsid w:val="00712D1A"/>
    <w:rsid w:val="00721C4E"/>
    <w:rsid w:val="00731E1B"/>
    <w:rsid w:val="00731E71"/>
    <w:rsid w:val="007321FA"/>
    <w:rsid w:val="00733DA0"/>
    <w:rsid w:val="007370BD"/>
    <w:rsid w:val="00740A96"/>
    <w:rsid w:val="0074168D"/>
    <w:rsid w:val="007417BA"/>
    <w:rsid w:val="00742337"/>
    <w:rsid w:val="00743287"/>
    <w:rsid w:val="00747010"/>
    <w:rsid w:val="007475D0"/>
    <w:rsid w:val="00750C32"/>
    <w:rsid w:val="007525AC"/>
    <w:rsid w:val="00752BB0"/>
    <w:rsid w:val="007549EE"/>
    <w:rsid w:val="007568E0"/>
    <w:rsid w:val="007574F9"/>
    <w:rsid w:val="00757A5B"/>
    <w:rsid w:val="00764D80"/>
    <w:rsid w:val="00765C69"/>
    <w:rsid w:val="00767264"/>
    <w:rsid w:val="007739A3"/>
    <w:rsid w:val="007745F9"/>
    <w:rsid w:val="00775F0F"/>
    <w:rsid w:val="00775FC4"/>
    <w:rsid w:val="007A272E"/>
    <w:rsid w:val="007A483E"/>
    <w:rsid w:val="007A4D67"/>
    <w:rsid w:val="007B0B8A"/>
    <w:rsid w:val="007B1809"/>
    <w:rsid w:val="007B21A2"/>
    <w:rsid w:val="007B2CD5"/>
    <w:rsid w:val="007B36E1"/>
    <w:rsid w:val="007B5053"/>
    <w:rsid w:val="007B72A3"/>
    <w:rsid w:val="007B7439"/>
    <w:rsid w:val="007B78EA"/>
    <w:rsid w:val="007C0114"/>
    <w:rsid w:val="007C1D42"/>
    <w:rsid w:val="007C24BC"/>
    <w:rsid w:val="007C5801"/>
    <w:rsid w:val="007D0586"/>
    <w:rsid w:val="007D1D10"/>
    <w:rsid w:val="007D1F95"/>
    <w:rsid w:val="007D223F"/>
    <w:rsid w:val="007D2336"/>
    <w:rsid w:val="007D4D0D"/>
    <w:rsid w:val="007D63BB"/>
    <w:rsid w:val="007D6513"/>
    <w:rsid w:val="007E200A"/>
    <w:rsid w:val="007E39BC"/>
    <w:rsid w:val="007E5FD8"/>
    <w:rsid w:val="007E78BE"/>
    <w:rsid w:val="007F2650"/>
    <w:rsid w:val="007F412C"/>
    <w:rsid w:val="007F5ADC"/>
    <w:rsid w:val="007F5F13"/>
    <w:rsid w:val="007F729A"/>
    <w:rsid w:val="00801380"/>
    <w:rsid w:val="00802995"/>
    <w:rsid w:val="00803801"/>
    <w:rsid w:val="00803C80"/>
    <w:rsid w:val="00810B36"/>
    <w:rsid w:val="00813488"/>
    <w:rsid w:val="00817206"/>
    <w:rsid w:val="008176EB"/>
    <w:rsid w:val="0081779E"/>
    <w:rsid w:val="008178A2"/>
    <w:rsid w:val="00823938"/>
    <w:rsid w:val="00824E91"/>
    <w:rsid w:val="00825434"/>
    <w:rsid w:val="0082583A"/>
    <w:rsid w:val="0083091D"/>
    <w:rsid w:val="00832DEA"/>
    <w:rsid w:val="00835E9B"/>
    <w:rsid w:val="008363B0"/>
    <w:rsid w:val="00836E23"/>
    <w:rsid w:val="0084065F"/>
    <w:rsid w:val="00841129"/>
    <w:rsid w:val="008430EB"/>
    <w:rsid w:val="008473F0"/>
    <w:rsid w:val="00851228"/>
    <w:rsid w:val="008529A8"/>
    <w:rsid w:val="00853A7C"/>
    <w:rsid w:val="00855F4C"/>
    <w:rsid w:val="00856050"/>
    <w:rsid w:val="00857A77"/>
    <w:rsid w:val="00857B2C"/>
    <w:rsid w:val="008605D3"/>
    <w:rsid w:val="00862548"/>
    <w:rsid w:val="00863205"/>
    <w:rsid w:val="00863609"/>
    <w:rsid w:val="00865F5F"/>
    <w:rsid w:val="00866600"/>
    <w:rsid w:val="00871782"/>
    <w:rsid w:val="0087297E"/>
    <w:rsid w:val="008743ED"/>
    <w:rsid w:val="008800DE"/>
    <w:rsid w:val="008806CA"/>
    <w:rsid w:val="008905D9"/>
    <w:rsid w:val="00892D9E"/>
    <w:rsid w:val="00892DAE"/>
    <w:rsid w:val="00896F82"/>
    <w:rsid w:val="00897E30"/>
    <w:rsid w:val="008A22D9"/>
    <w:rsid w:val="008A276B"/>
    <w:rsid w:val="008B1597"/>
    <w:rsid w:val="008B561C"/>
    <w:rsid w:val="008C3C54"/>
    <w:rsid w:val="008C3F26"/>
    <w:rsid w:val="008C469B"/>
    <w:rsid w:val="008C552C"/>
    <w:rsid w:val="008C7096"/>
    <w:rsid w:val="008C74E2"/>
    <w:rsid w:val="008C756E"/>
    <w:rsid w:val="008C7772"/>
    <w:rsid w:val="008D2263"/>
    <w:rsid w:val="008D3CD1"/>
    <w:rsid w:val="008D43AC"/>
    <w:rsid w:val="008D526B"/>
    <w:rsid w:val="008D78BF"/>
    <w:rsid w:val="008E2568"/>
    <w:rsid w:val="008E2D83"/>
    <w:rsid w:val="008E343D"/>
    <w:rsid w:val="008E4239"/>
    <w:rsid w:val="008E65B7"/>
    <w:rsid w:val="008F5893"/>
    <w:rsid w:val="008F7209"/>
    <w:rsid w:val="009015AE"/>
    <w:rsid w:val="00901F54"/>
    <w:rsid w:val="00902ACF"/>
    <w:rsid w:val="0090309C"/>
    <w:rsid w:val="00903820"/>
    <w:rsid w:val="00904763"/>
    <w:rsid w:val="00907CDB"/>
    <w:rsid w:val="0092286A"/>
    <w:rsid w:val="00922AB1"/>
    <w:rsid w:val="0092320F"/>
    <w:rsid w:val="00923685"/>
    <w:rsid w:val="00924540"/>
    <w:rsid w:val="00933477"/>
    <w:rsid w:val="00933805"/>
    <w:rsid w:val="00935408"/>
    <w:rsid w:val="009355A3"/>
    <w:rsid w:val="009359E8"/>
    <w:rsid w:val="0093724B"/>
    <w:rsid w:val="00937582"/>
    <w:rsid w:val="00937DB3"/>
    <w:rsid w:val="0094070D"/>
    <w:rsid w:val="009422FB"/>
    <w:rsid w:val="00942FF8"/>
    <w:rsid w:val="00943546"/>
    <w:rsid w:val="0095046F"/>
    <w:rsid w:val="00953F5C"/>
    <w:rsid w:val="00954BF1"/>
    <w:rsid w:val="00956CB8"/>
    <w:rsid w:val="00956EED"/>
    <w:rsid w:val="0095792C"/>
    <w:rsid w:val="00960197"/>
    <w:rsid w:val="00965FCE"/>
    <w:rsid w:val="009718D5"/>
    <w:rsid w:val="00974AF6"/>
    <w:rsid w:val="00974EDB"/>
    <w:rsid w:val="0097792A"/>
    <w:rsid w:val="009817C7"/>
    <w:rsid w:val="00981F10"/>
    <w:rsid w:val="00983FEA"/>
    <w:rsid w:val="009854C7"/>
    <w:rsid w:val="00985ECD"/>
    <w:rsid w:val="009913DB"/>
    <w:rsid w:val="00992E06"/>
    <w:rsid w:val="0099316A"/>
    <w:rsid w:val="00997722"/>
    <w:rsid w:val="009A2D0E"/>
    <w:rsid w:val="009A46C4"/>
    <w:rsid w:val="009A4A1D"/>
    <w:rsid w:val="009A4BE0"/>
    <w:rsid w:val="009B17FB"/>
    <w:rsid w:val="009B5F01"/>
    <w:rsid w:val="009B7EF0"/>
    <w:rsid w:val="009C37C9"/>
    <w:rsid w:val="009C3B73"/>
    <w:rsid w:val="009C3F56"/>
    <w:rsid w:val="009C40FD"/>
    <w:rsid w:val="009C4C06"/>
    <w:rsid w:val="009C4FC9"/>
    <w:rsid w:val="009C54CF"/>
    <w:rsid w:val="009C5808"/>
    <w:rsid w:val="009C6B18"/>
    <w:rsid w:val="009C7522"/>
    <w:rsid w:val="009D1760"/>
    <w:rsid w:val="009D3133"/>
    <w:rsid w:val="009D445D"/>
    <w:rsid w:val="009D6895"/>
    <w:rsid w:val="009D718C"/>
    <w:rsid w:val="009D74CD"/>
    <w:rsid w:val="009E47D0"/>
    <w:rsid w:val="009E5338"/>
    <w:rsid w:val="009E6B72"/>
    <w:rsid w:val="009F1480"/>
    <w:rsid w:val="009F400B"/>
    <w:rsid w:val="009F4A37"/>
    <w:rsid w:val="009F6224"/>
    <w:rsid w:val="009F65BA"/>
    <w:rsid w:val="009F7147"/>
    <w:rsid w:val="00A01021"/>
    <w:rsid w:val="00A0238C"/>
    <w:rsid w:val="00A02893"/>
    <w:rsid w:val="00A028F0"/>
    <w:rsid w:val="00A03F26"/>
    <w:rsid w:val="00A05D8B"/>
    <w:rsid w:val="00A07F92"/>
    <w:rsid w:val="00A1395B"/>
    <w:rsid w:val="00A1716C"/>
    <w:rsid w:val="00A175B8"/>
    <w:rsid w:val="00A2460B"/>
    <w:rsid w:val="00A251E3"/>
    <w:rsid w:val="00A34693"/>
    <w:rsid w:val="00A36668"/>
    <w:rsid w:val="00A436F7"/>
    <w:rsid w:val="00A43BD1"/>
    <w:rsid w:val="00A451AC"/>
    <w:rsid w:val="00A47015"/>
    <w:rsid w:val="00A56EB9"/>
    <w:rsid w:val="00A61CA0"/>
    <w:rsid w:val="00A641C6"/>
    <w:rsid w:val="00A701D2"/>
    <w:rsid w:val="00A70ABF"/>
    <w:rsid w:val="00A711FE"/>
    <w:rsid w:val="00A725FA"/>
    <w:rsid w:val="00A72DC9"/>
    <w:rsid w:val="00A72DE4"/>
    <w:rsid w:val="00A730F9"/>
    <w:rsid w:val="00A73184"/>
    <w:rsid w:val="00A7545C"/>
    <w:rsid w:val="00A81883"/>
    <w:rsid w:val="00A8349F"/>
    <w:rsid w:val="00A879F7"/>
    <w:rsid w:val="00A87F6F"/>
    <w:rsid w:val="00A90143"/>
    <w:rsid w:val="00A91007"/>
    <w:rsid w:val="00A9449F"/>
    <w:rsid w:val="00A96DC6"/>
    <w:rsid w:val="00AA0C14"/>
    <w:rsid w:val="00AA3CD8"/>
    <w:rsid w:val="00AA4B65"/>
    <w:rsid w:val="00AB4699"/>
    <w:rsid w:val="00AB74CD"/>
    <w:rsid w:val="00AC4255"/>
    <w:rsid w:val="00AC428B"/>
    <w:rsid w:val="00AC694D"/>
    <w:rsid w:val="00AC76EE"/>
    <w:rsid w:val="00AD2DFD"/>
    <w:rsid w:val="00AD5EB7"/>
    <w:rsid w:val="00AD60B4"/>
    <w:rsid w:val="00AE1DF5"/>
    <w:rsid w:val="00AE1FC2"/>
    <w:rsid w:val="00AE3579"/>
    <w:rsid w:val="00AE392D"/>
    <w:rsid w:val="00AE5296"/>
    <w:rsid w:val="00AE58AF"/>
    <w:rsid w:val="00AF1E0C"/>
    <w:rsid w:val="00AF3E2A"/>
    <w:rsid w:val="00AF4CE2"/>
    <w:rsid w:val="00AF6B92"/>
    <w:rsid w:val="00B034AE"/>
    <w:rsid w:val="00B056CE"/>
    <w:rsid w:val="00B079B1"/>
    <w:rsid w:val="00B11BD7"/>
    <w:rsid w:val="00B11D0D"/>
    <w:rsid w:val="00B13F4B"/>
    <w:rsid w:val="00B21395"/>
    <w:rsid w:val="00B27EDC"/>
    <w:rsid w:val="00B31B0F"/>
    <w:rsid w:val="00B3383E"/>
    <w:rsid w:val="00B344B0"/>
    <w:rsid w:val="00B41721"/>
    <w:rsid w:val="00B41C75"/>
    <w:rsid w:val="00B43D02"/>
    <w:rsid w:val="00B443FC"/>
    <w:rsid w:val="00B44843"/>
    <w:rsid w:val="00B47411"/>
    <w:rsid w:val="00B6036A"/>
    <w:rsid w:val="00B643B5"/>
    <w:rsid w:val="00B67D6F"/>
    <w:rsid w:val="00B7015F"/>
    <w:rsid w:val="00B7121B"/>
    <w:rsid w:val="00B727AE"/>
    <w:rsid w:val="00B740C2"/>
    <w:rsid w:val="00B75048"/>
    <w:rsid w:val="00B80866"/>
    <w:rsid w:val="00B81BCD"/>
    <w:rsid w:val="00B830F7"/>
    <w:rsid w:val="00B840E7"/>
    <w:rsid w:val="00B85FE7"/>
    <w:rsid w:val="00B86FB0"/>
    <w:rsid w:val="00B871EB"/>
    <w:rsid w:val="00B938E0"/>
    <w:rsid w:val="00B96B9C"/>
    <w:rsid w:val="00B97274"/>
    <w:rsid w:val="00B97539"/>
    <w:rsid w:val="00BA0382"/>
    <w:rsid w:val="00BA2217"/>
    <w:rsid w:val="00BA76A8"/>
    <w:rsid w:val="00BB208D"/>
    <w:rsid w:val="00BB2B13"/>
    <w:rsid w:val="00BB35C0"/>
    <w:rsid w:val="00BB5895"/>
    <w:rsid w:val="00BB6FD8"/>
    <w:rsid w:val="00BC1315"/>
    <w:rsid w:val="00BC153F"/>
    <w:rsid w:val="00BC2454"/>
    <w:rsid w:val="00BC4BCB"/>
    <w:rsid w:val="00BC4E0D"/>
    <w:rsid w:val="00BC6218"/>
    <w:rsid w:val="00BC7956"/>
    <w:rsid w:val="00BD074E"/>
    <w:rsid w:val="00BD1685"/>
    <w:rsid w:val="00BD3185"/>
    <w:rsid w:val="00BD3F2E"/>
    <w:rsid w:val="00BD3F60"/>
    <w:rsid w:val="00BD7723"/>
    <w:rsid w:val="00BE0729"/>
    <w:rsid w:val="00BE0EB2"/>
    <w:rsid w:val="00BE1FF1"/>
    <w:rsid w:val="00BE32E6"/>
    <w:rsid w:val="00BE7417"/>
    <w:rsid w:val="00BF0323"/>
    <w:rsid w:val="00BF1C41"/>
    <w:rsid w:val="00BF2F1C"/>
    <w:rsid w:val="00BF3031"/>
    <w:rsid w:val="00BF3170"/>
    <w:rsid w:val="00BF540C"/>
    <w:rsid w:val="00BF6069"/>
    <w:rsid w:val="00BF68D2"/>
    <w:rsid w:val="00C024EC"/>
    <w:rsid w:val="00C06036"/>
    <w:rsid w:val="00C1228F"/>
    <w:rsid w:val="00C12CC4"/>
    <w:rsid w:val="00C1653E"/>
    <w:rsid w:val="00C16717"/>
    <w:rsid w:val="00C17666"/>
    <w:rsid w:val="00C17A3E"/>
    <w:rsid w:val="00C20597"/>
    <w:rsid w:val="00C21788"/>
    <w:rsid w:val="00C26E47"/>
    <w:rsid w:val="00C3327D"/>
    <w:rsid w:val="00C40580"/>
    <w:rsid w:val="00C42DF2"/>
    <w:rsid w:val="00C44074"/>
    <w:rsid w:val="00C44845"/>
    <w:rsid w:val="00C44885"/>
    <w:rsid w:val="00C50DFE"/>
    <w:rsid w:val="00C520E3"/>
    <w:rsid w:val="00C523DE"/>
    <w:rsid w:val="00C55C4A"/>
    <w:rsid w:val="00C6226E"/>
    <w:rsid w:val="00C64210"/>
    <w:rsid w:val="00C65B47"/>
    <w:rsid w:val="00C65E4C"/>
    <w:rsid w:val="00C666DC"/>
    <w:rsid w:val="00C66AE7"/>
    <w:rsid w:val="00C67085"/>
    <w:rsid w:val="00C71295"/>
    <w:rsid w:val="00C720CD"/>
    <w:rsid w:val="00C75C37"/>
    <w:rsid w:val="00C76FB8"/>
    <w:rsid w:val="00C82CC3"/>
    <w:rsid w:val="00C83976"/>
    <w:rsid w:val="00C83B71"/>
    <w:rsid w:val="00C84098"/>
    <w:rsid w:val="00C84405"/>
    <w:rsid w:val="00C8711A"/>
    <w:rsid w:val="00C87EBD"/>
    <w:rsid w:val="00C915A8"/>
    <w:rsid w:val="00C91742"/>
    <w:rsid w:val="00C95665"/>
    <w:rsid w:val="00CA3617"/>
    <w:rsid w:val="00CA3A62"/>
    <w:rsid w:val="00CA7539"/>
    <w:rsid w:val="00CB0571"/>
    <w:rsid w:val="00CB3CB0"/>
    <w:rsid w:val="00CB502E"/>
    <w:rsid w:val="00CB7205"/>
    <w:rsid w:val="00CC1609"/>
    <w:rsid w:val="00CC264F"/>
    <w:rsid w:val="00CD0996"/>
    <w:rsid w:val="00CD2CDC"/>
    <w:rsid w:val="00CD4C51"/>
    <w:rsid w:val="00CE1C61"/>
    <w:rsid w:val="00CE35C5"/>
    <w:rsid w:val="00CE7444"/>
    <w:rsid w:val="00CF0F91"/>
    <w:rsid w:val="00CF104C"/>
    <w:rsid w:val="00CF2847"/>
    <w:rsid w:val="00CF7841"/>
    <w:rsid w:val="00D0223D"/>
    <w:rsid w:val="00D034EB"/>
    <w:rsid w:val="00D0410C"/>
    <w:rsid w:val="00D04FFA"/>
    <w:rsid w:val="00D115EC"/>
    <w:rsid w:val="00D1225A"/>
    <w:rsid w:val="00D126A0"/>
    <w:rsid w:val="00D1343B"/>
    <w:rsid w:val="00D16552"/>
    <w:rsid w:val="00D170A3"/>
    <w:rsid w:val="00D2054E"/>
    <w:rsid w:val="00D22A13"/>
    <w:rsid w:val="00D23900"/>
    <w:rsid w:val="00D25C9B"/>
    <w:rsid w:val="00D32E37"/>
    <w:rsid w:val="00D3381F"/>
    <w:rsid w:val="00D33ADF"/>
    <w:rsid w:val="00D3482B"/>
    <w:rsid w:val="00D45567"/>
    <w:rsid w:val="00D45659"/>
    <w:rsid w:val="00D476C9"/>
    <w:rsid w:val="00D50C98"/>
    <w:rsid w:val="00D51A43"/>
    <w:rsid w:val="00D52485"/>
    <w:rsid w:val="00D53C56"/>
    <w:rsid w:val="00D54792"/>
    <w:rsid w:val="00D575AA"/>
    <w:rsid w:val="00D57E5E"/>
    <w:rsid w:val="00D6273D"/>
    <w:rsid w:val="00D633C5"/>
    <w:rsid w:val="00D63A89"/>
    <w:rsid w:val="00D64360"/>
    <w:rsid w:val="00D65A47"/>
    <w:rsid w:val="00D65CBF"/>
    <w:rsid w:val="00D66B48"/>
    <w:rsid w:val="00D720C9"/>
    <w:rsid w:val="00D73973"/>
    <w:rsid w:val="00D836D7"/>
    <w:rsid w:val="00D83C03"/>
    <w:rsid w:val="00D876AF"/>
    <w:rsid w:val="00D91139"/>
    <w:rsid w:val="00D93796"/>
    <w:rsid w:val="00DA3539"/>
    <w:rsid w:val="00DA5914"/>
    <w:rsid w:val="00DB4A6A"/>
    <w:rsid w:val="00DB5D54"/>
    <w:rsid w:val="00DB6454"/>
    <w:rsid w:val="00DB6688"/>
    <w:rsid w:val="00DB7F7A"/>
    <w:rsid w:val="00DC0424"/>
    <w:rsid w:val="00DC1AD4"/>
    <w:rsid w:val="00DC1F54"/>
    <w:rsid w:val="00DC21ED"/>
    <w:rsid w:val="00DD0C7F"/>
    <w:rsid w:val="00DD1434"/>
    <w:rsid w:val="00DD5B80"/>
    <w:rsid w:val="00DD5C17"/>
    <w:rsid w:val="00DE071D"/>
    <w:rsid w:val="00DE0F30"/>
    <w:rsid w:val="00DE1100"/>
    <w:rsid w:val="00DF3EE1"/>
    <w:rsid w:val="00DF55AA"/>
    <w:rsid w:val="00DF680D"/>
    <w:rsid w:val="00E028A1"/>
    <w:rsid w:val="00E039FC"/>
    <w:rsid w:val="00E03AFE"/>
    <w:rsid w:val="00E03DC2"/>
    <w:rsid w:val="00E04D9C"/>
    <w:rsid w:val="00E04EAB"/>
    <w:rsid w:val="00E05321"/>
    <w:rsid w:val="00E10618"/>
    <w:rsid w:val="00E14778"/>
    <w:rsid w:val="00E20B6B"/>
    <w:rsid w:val="00E21EE7"/>
    <w:rsid w:val="00E22A8F"/>
    <w:rsid w:val="00E22AC6"/>
    <w:rsid w:val="00E23FAA"/>
    <w:rsid w:val="00E24060"/>
    <w:rsid w:val="00E27927"/>
    <w:rsid w:val="00E27C5B"/>
    <w:rsid w:val="00E4400F"/>
    <w:rsid w:val="00E4552B"/>
    <w:rsid w:val="00E45887"/>
    <w:rsid w:val="00E46070"/>
    <w:rsid w:val="00E46E45"/>
    <w:rsid w:val="00E47A3E"/>
    <w:rsid w:val="00E47F5A"/>
    <w:rsid w:val="00E50A65"/>
    <w:rsid w:val="00E50B2A"/>
    <w:rsid w:val="00E51600"/>
    <w:rsid w:val="00E52D61"/>
    <w:rsid w:val="00E56ACD"/>
    <w:rsid w:val="00E60C32"/>
    <w:rsid w:val="00E63950"/>
    <w:rsid w:val="00E6539D"/>
    <w:rsid w:val="00E67E24"/>
    <w:rsid w:val="00E733DD"/>
    <w:rsid w:val="00E739EC"/>
    <w:rsid w:val="00E766EA"/>
    <w:rsid w:val="00E84A64"/>
    <w:rsid w:val="00E85684"/>
    <w:rsid w:val="00E92C85"/>
    <w:rsid w:val="00E93903"/>
    <w:rsid w:val="00E9589A"/>
    <w:rsid w:val="00E970CA"/>
    <w:rsid w:val="00EA0294"/>
    <w:rsid w:val="00EA24F3"/>
    <w:rsid w:val="00EA2FF6"/>
    <w:rsid w:val="00EA3C27"/>
    <w:rsid w:val="00EA445D"/>
    <w:rsid w:val="00EA500F"/>
    <w:rsid w:val="00EA60EF"/>
    <w:rsid w:val="00EA641B"/>
    <w:rsid w:val="00EA71A6"/>
    <w:rsid w:val="00EB0056"/>
    <w:rsid w:val="00EB0A19"/>
    <w:rsid w:val="00EB0B43"/>
    <w:rsid w:val="00EB149F"/>
    <w:rsid w:val="00EB2785"/>
    <w:rsid w:val="00EB327B"/>
    <w:rsid w:val="00EB58B8"/>
    <w:rsid w:val="00EC0436"/>
    <w:rsid w:val="00EC0470"/>
    <w:rsid w:val="00EC45F2"/>
    <w:rsid w:val="00EC512F"/>
    <w:rsid w:val="00EC587C"/>
    <w:rsid w:val="00EC58E2"/>
    <w:rsid w:val="00ED075A"/>
    <w:rsid w:val="00ED0C33"/>
    <w:rsid w:val="00ED6649"/>
    <w:rsid w:val="00EE09F1"/>
    <w:rsid w:val="00EE351F"/>
    <w:rsid w:val="00EE75DA"/>
    <w:rsid w:val="00EF0E1B"/>
    <w:rsid w:val="00EF42A0"/>
    <w:rsid w:val="00EF4D02"/>
    <w:rsid w:val="00EF602E"/>
    <w:rsid w:val="00F04F18"/>
    <w:rsid w:val="00F05679"/>
    <w:rsid w:val="00F06DFF"/>
    <w:rsid w:val="00F0710C"/>
    <w:rsid w:val="00F159CD"/>
    <w:rsid w:val="00F15F4E"/>
    <w:rsid w:val="00F16896"/>
    <w:rsid w:val="00F22944"/>
    <w:rsid w:val="00F248C8"/>
    <w:rsid w:val="00F27FC1"/>
    <w:rsid w:val="00F3043D"/>
    <w:rsid w:val="00F31DBD"/>
    <w:rsid w:val="00F33907"/>
    <w:rsid w:val="00F4085D"/>
    <w:rsid w:val="00F41775"/>
    <w:rsid w:val="00F437AF"/>
    <w:rsid w:val="00F4570D"/>
    <w:rsid w:val="00F45AB0"/>
    <w:rsid w:val="00F51819"/>
    <w:rsid w:val="00F57DE0"/>
    <w:rsid w:val="00F60C81"/>
    <w:rsid w:val="00F615DA"/>
    <w:rsid w:val="00F61FC8"/>
    <w:rsid w:val="00F626BC"/>
    <w:rsid w:val="00F64837"/>
    <w:rsid w:val="00F718DE"/>
    <w:rsid w:val="00F724A4"/>
    <w:rsid w:val="00F73E31"/>
    <w:rsid w:val="00F75EBB"/>
    <w:rsid w:val="00F76380"/>
    <w:rsid w:val="00F76DC0"/>
    <w:rsid w:val="00F80E25"/>
    <w:rsid w:val="00F83195"/>
    <w:rsid w:val="00F8388E"/>
    <w:rsid w:val="00F84717"/>
    <w:rsid w:val="00F85489"/>
    <w:rsid w:val="00F9332F"/>
    <w:rsid w:val="00F9583B"/>
    <w:rsid w:val="00F97FF4"/>
    <w:rsid w:val="00FA09EF"/>
    <w:rsid w:val="00FA23C4"/>
    <w:rsid w:val="00FB02F3"/>
    <w:rsid w:val="00FB2539"/>
    <w:rsid w:val="00FB3689"/>
    <w:rsid w:val="00FB46A0"/>
    <w:rsid w:val="00FC1C72"/>
    <w:rsid w:val="00FC2DD5"/>
    <w:rsid w:val="00FC3E19"/>
    <w:rsid w:val="00FD0EDA"/>
    <w:rsid w:val="00FD5791"/>
    <w:rsid w:val="00FD7B3D"/>
    <w:rsid w:val="00FD7CBF"/>
    <w:rsid w:val="00FE04B5"/>
    <w:rsid w:val="00FE180B"/>
    <w:rsid w:val="00FE2BCB"/>
    <w:rsid w:val="00FE3DF0"/>
    <w:rsid w:val="00FE4BC5"/>
    <w:rsid w:val="00FF0D39"/>
    <w:rsid w:val="00FF4248"/>
    <w:rsid w:val="00FF6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B9"/>
    <w:pPr>
      <w:suppressAutoHyphens/>
    </w:pPr>
    <w:rPr>
      <w:sz w:val="24"/>
      <w:szCs w:val="24"/>
      <w:lang w:eastAsia="zh-CN"/>
    </w:rPr>
  </w:style>
  <w:style w:type="paragraph" w:styleId="Heading1">
    <w:name w:val="heading 1"/>
    <w:basedOn w:val="Normal"/>
    <w:next w:val="Text1"/>
    <w:qFormat/>
    <w:pPr>
      <w:keepNext/>
      <w:numPr>
        <w:numId w:val="1"/>
      </w:numPr>
      <w:spacing w:before="360" w:after="120"/>
      <w:jc w:val="both"/>
      <w:outlineLvl w:val="0"/>
    </w:pPr>
    <w:rPr>
      <w:b/>
      <w:bCs/>
      <w:smallCaps/>
      <w:szCs w:val="32"/>
    </w:rPr>
  </w:style>
  <w:style w:type="paragraph" w:styleId="Heading2">
    <w:name w:val="heading 2"/>
    <w:basedOn w:val="Normal"/>
    <w:next w:val="Text2"/>
    <w:qFormat/>
    <w:pPr>
      <w:keepNext/>
      <w:numPr>
        <w:ilvl w:val="1"/>
        <w:numId w:val="1"/>
      </w:numPr>
      <w:spacing w:before="120" w:after="120"/>
      <w:jc w:val="both"/>
      <w:outlineLvl w:val="1"/>
    </w:pPr>
    <w:rPr>
      <w:b/>
      <w:bCs/>
      <w:iCs/>
      <w:szCs w:val="28"/>
    </w:rPr>
  </w:style>
  <w:style w:type="paragraph" w:styleId="Heading3">
    <w:name w:val="heading 3"/>
    <w:basedOn w:val="Normal"/>
    <w:next w:val="Normal"/>
    <w:qFormat/>
    <w:pPr>
      <w:keepNext/>
      <w:spacing w:before="120" w:after="120"/>
      <w:jc w:val="both"/>
      <w:outlineLvl w:val="2"/>
    </w:pPr>
    <w:rPr>
      <w:bCs/>
      <w:i/>
      <w:szCs w:val="26"/>
    </w:rPr>
  </w:style>
  <w:style w:type="paragraph" w:styleId="Heading4">
    <w:name w:val="heading 4"/>
    <w:basedOn w:val="Normal"/>
    <w:next w:val="Text4"/>
    <w:qFormat/>
    <w:pPr>
      <w:keepNext/>
      <w:numPr>
        <w:ilvl w:val="3"/>
        <w:numId w:val="1"/>
      </w:numPr>
      <w:spacing w:before="120" w:after="120"/>
      <w:jc w:val="both"/>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rPr>
      <w:rFonts w:ascii="Courier New" w:hAnsi="Courier New" w:cs="Courier New"/>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stem" w:hAnsi="System" w:cs="System"/>
      <w:b/>
      <w:i w:val="0"/>
      <w:sz w:val="2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rPr>
      <w:i w:val="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stem" w:hAnsi="System" w:cs="System"/>
      <w:b/>
      <w:i w:val="0"/>
      <w:sz w:val="2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rPr>
  </w:style>
  <w:style w:type="character" w:customStyle="1" w:styleId="WW8Num9z2">
    <w:name w:val="WW8Num9z2"/>
    <w:rPr>
      <w:rFonts w:ascii="Times New Roman" w:hAnsi="Times New Roman" w:cs="Times New Roman"/>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FootnoteTextChar">
    <w:name w:val="Footnote Text Char"/>
    <w:uiPriority w:val="99"/>
  </w:style>
  <w:style w:type="character" w:customStyle="1" w:styleId="FootnoteCharacters">
    <w:name w:val="Footnote Characters"/>
    <w:rPr>
      <w:shd w:val="clear" w:color="auto" w:fill="auto"/>
      <w:vertAlign w:val="superscript"/>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Heading2Char">
    <w:name w:val="Heading 2 Char"/>
    <w:rPr>
      <w:b/>
      <w:bCs/>
      <w:iCs/>
      <w:sz w:val="24"/>
      <w:szCs w:val="28"/>
    </w:rPr>
  </w:style>
  <w:style w:type="character" w:customStyle="1" w:styleId="Text2Char">
    <w:name w:val="Text 2 Char"/>
    <w:rPr>
      <w:sz w:val="24"/>
      <w:szCs w:val="24"/>
      <w:lang w:val="en-GB" w:bidi="ar-SA"/>
    </w:rPr>
  </w:style>
  <w:style w:type="character" w:customStyle="1" w:styleId="Heading4Char">
    <w:name w:val="Heading 4 Char"/>
    <w:rPr>
      <w:bCs/>
      <w:sz w:val="24"/>
      <w:szCs w:val="28"/>
    </w:rPr>
  </w:style>
  <w:style w:type="character" w:styleId="PageNumber">
    <w:name w:val="page number"/>
    <w:basedOn w:val="DefaultParagraphFont"/>
  </w:style>
  <w:style w:type="character" w:customStyle="1" w:styleId="FooterChar">
    <w:name w:val="Footer Char"/>
    <w:rPr>
      <w:sz w:val="24"/>
      <w:szCs w:val="24"/>
      <w:lang w:val="en-GB"/>
    </w:rPr>
  </w:style>
  <w:style w:type="paragraph" w:customStyle="1" w:styleId="Heading">
    <w:name w:val="Heading"/>
    <w:basedOn w:val="Normal"/>
    <w:next w:val="BodyText"/>
    <w:pPr>
      <w:keepNext/>
      <w:spacing w:before="240" w:after="120"/>
    </w:pPr>
    <w:rPr>
      <w:rFonts w:ascii="Liberation Sans" w:eastAsia="Bitstream Vera Sans" w:hAnsi="Liberation Sans" w:cs="Bitstream Vera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tabs>
        <w:tab w:val="center" w:pos="4535"/>
        <w:tab w:val="right" w:pos="9071"/>
        <w:tab w:val="right" w:pos="9921"/>
      </w:tabs>
      <w:spacing w:before="360"/>
      <w:ind w:left="-850" w:right="-850"/>
    </w:pPr>
  </w:style>
  <w:style w:type="paragraph" w:customStyle="1" w:styleId="Text1">
    <w:name w:val="Text 1"/>
    <w:basedOn w:val="Normal"/>
    <w:pPr>
      <w:spacing w:before="120" w:after="120"/>
      <w:ind w:left="850"/>
      <w:jc w:val="both"/>
    </w:pPr>
  </w:style>
  <w:style w:type="paragraph" w:customStyle="1" w:styleId="Text2">
    <w:name w:val="Text 2"/>
    <w:basedOn w:val="Normal"/>
    <w:pPr>
      <w:spacing w:before="120" w:after="120"/>
      <w:ind w:left="850"/>
      <w:jc w:val="both"/>
    </w:pPr>
  </w:style>
  <w:style w:type="paragraph" w:customStyle="1" w:styleId="Text4">
    <w:name w:val="Text 4"/>
    <w:basedOn w:val="Normal"/>
    <w:pPr>
      <w:spacing w:before="120" w:after="120"/>
      <w:ind w:left="850"/>
      <w:jc w:val="both"/>
    </w:pPr>
  </w:style>
  <w:style w:type="paragraph" w:customStyle="1" w:styleId="Tiret2">
    <w:name w:val="Tiret 2"/>
    <w:basedOn w:val="Normal"/>
    <w:pPr>
      <w:numPr>
        <w:numId w:val="4"/>
      </w:numPr>
      <w:spacing w:before="120" w:after="120"/>
      <w:jc w:val="both"/>
    </w:pPr>
  </w:style>
  <w:style w:type="paragraph" w:customStyle="1" w:styleId="TableTitle">
    <w:name w:val="Table Title"/>
    <w:basedOn w:val="Normal"/>
    <w:next w:val="Normal"/>
    <w:pPr>
      <w:spacing w:before="120" w:after="120"/>
      <w:jc w:val="center"/>
    </w:pPr>
    <w:rPr>
      <w:b/>
    </w:rPr>
  </w:style>
  <w:style w:type="paragraph" w:customStyle="1" w:styleId="Fichedinformationtitre">
    <w:name w:val="Fiche d'information titre"/>
    <w:basedOn w:val="Normal"/>
    <w:next w:val="Normal"/>
    <w:pPr>
      <w:spacing w:before="120" w:after="120"/>
      <w:jc w:val="center"/>
    </w:pPr>
    <w:rPr>
      <w:b/>
      <w:u w:val="single"/>
    </w:rPr>
  </w:style>
  <w:style w:type="paragraph" w:styleId="Header">
    <w:name w:val="header"/>
    <w:basedOn w:val="Normal"/>
    <w:pPr>
      <w:tabs>
        <w:tab w:val="center" w:pos="4536"/>
        <w:tab w:val="right" w:pos="9072"/>
      </w:tabs>
    </w:pPr>
  </w:style>
  <w:style w:type="paragraph" w:styleId="BalloonText">
    <w:name w:val="Balloon Text"/>
    <w:basedOn w:val="Normal"/>
    <w:rPr>
      <w:rFonts w:ascii="Tahoma" w:hAnsi="Tahoma" w:cs="Tahoma"/>
      <w:sz w:val="16"/>
      <w:szCs w:val="16"/>
    </w:rPr>
  </w:style>
  <w:style w:type="paragraph" w:customStyle="1" w:styleId="ListDash1">
    <w:name w:val="List Dash 1"/>
    <w:basedOn w:val="Normal"/>
    <w:pPr>
      <w:numPr>
        <w:numId w:val="3"/>
      </w:numPr>
      <w:spacing w:before="120" w:after="120"/>
      <w:jc w:val="both"/>
    </w:pPr>
  </w:style>
  <w:style w:type="paragraph" w:styleId="FootnoteText">
    <w:name w:val="footnote text"/>
    <w:basedOn w:val="Normal"/>
    <w:uiPriority w:val="99"/>
    <w:pPr>
      <w:ind w:left="720" w:hanging="720"/>
      <w:jc w:val="both"/>
    </w:pPr>
    <w:rPr>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styleId="ListNumber2">
    <w:name w:val="List Number 2"/>
    <w:basedOn w:val="Normal"/>
    <w:pPr>
      <w:numPr>
        <w:numId w:val="2"/>
      </w:numPr>
      <w:spacing w:before="120" w:after="120"/>
      <w:jc w:val="both"/>
    </w:pPr>
  </w:style>
  <w:style w:type="paragraph" w:customStyle="1" w:styleId="Text3">
    <w:name w:val="Text 3"/>
    <w:basedOn w:val="Normal"/>
    <w:pPr>
      <w:spacing w:before="120" w:after="120"/>
      <w:ind w:left="850"/>
      <w:jc w:val="both"/>
    </w:pPr>
  </w:style>
  <w:style w:type="paragraph" w:customStyle="1" w:styleId="ListNumber2Level2">
    <w:name w:val="List Number 2 (Level 2)"/>
    <w:basedOn w:val="Text2"/>
    <w:pPr>
      <w:tabs>
        <w:tab w:val="num" w:pos="1560"/>
      </w:tabs>
      <w:ind w:left="1560" w:hanging="709"/>
    </w:pPr>
  </w:style>
  <w:style w:type="paragraph" w:customStyle="1" w:styleId="ListNumber2Level3">
    <w:name w:val="List Number 2 (Level 3)"/>
    <w:basedOn w:val="Text2"/>
    <w:pPr>
      <w:tabs>
        <w:tab w:val="num" w:pos="1560"/>
      </w:tabs>
      <w:ind w:left="1560" w:hanging="709"/>
    </w:pPr>
  </w:style>
  <w:style w:type="paragraph" w:customStyle="1" w:styleId="ListNumber2Level4">
    <w:name w:val="List Number 2 (Level 4)"/>
    <w:basedOn w:val="Text2"/>
    <w:pPr>
      <w:tabs>
        <w:tab w:val="num" w:pos="1560"/>
      </w:tabs>
      <w:ind w:left="1560" w:hanging="709"/>
    </w:pPr>
  </w:style>
  <w:style w:type="paragraph" w:styleId="ListBullet">
    <w:name w:val="List Bullet"/>
    <w:basedOn w:val="Normal"/>
    <w:pPr>
      <w:spacing w:after="240"/>
      <w:jc w:val="both"/>
    </w:pPr>
    <w:rPr>
      <w:lang w:val="en-US"/>
    </w:rPr>
  </w:style>
  <w:style w:type="paragraph" w:styleId="ListParagraph">
    <w:name w:val="List Paragraph"/>
    <w:basedOn w:val="Normal"/>
    <w:uiPriority w:val="34"/>
    <w:qFormat/>
    <w:pPr>
      <w:ind w:left="720"/>
    </w:pPr>
    <w:rPr>
      <w:rFonts w:ascii="Arial" w:hAnsi="Arial" w:cs="Arial"/>
      <w:sz w:val="22"/>
      <w:szCs w:val="20"/>
    </w:rPr>
  </w:style>
  <w:style w:type="paragraph" w:customStyle="1" w:styleId="text20">
    <w:name w:val="text2"/>
    <w:basedOn w:val="Normal"/>
    <w:pPr>
      <w:spacing w:before="100" w:after="100"/>
    </w:pPr>
  </w:style>
  <w:style w:type="paragraph" w:styleId="NormalWeb">
    <w:name w:val="Normal (Web)"/>
    <w:basedOn w:val="Normal"/>
    <w:pPr>
      <w:spacing w:after="312"/>
    </w:pPr>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uiPriority w:val="99"/>
    <w:semiHidden/>
    <w:unhideWhenUsed/>
    <w:rsid w:val="00B86FB0"/>
    <w:rPr>
      <w:vertAlign w:val="superscript"/>
    </w:rPr>
  </w:style>
  <w:style w:type="character" w:customStyle="1" w:styleId="hps">
    <w:name w:val="hps"/>
    <w:rsid w:val="00B86FB0"/>
  </w:style>
  <w:style w:type="character" w:customStyle="1" w:styleId="atn">
    <w:name w:val="atn"/>
    <w:rsid w:val="00DE1100"/>
  </w:style>
  <w:style w:type="paragraph" w:customStyle="1" w:styleId="Default">
    <w:name w:val="Default"/>
    <w:rsid w:val="006364D2"/>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BB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1F95"/>
    <w:rPr>
      <w:rFonts w:ascii="Cambria" w:eastAsia="MS Mincho" w:hAnsi="Cambria" w:cs="Arial"/>
      <w:sz w:val="24"/>
      <w:szCs w:val="24"/>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04D9C"/>
    <w:rPr>
      <w:rFonts w:ascii="Courier New" w:hAnsi="Courier New" w:cs="Courier New"/>
      <w:sz w:val="20"/>
      <w:szCs w:val="20"/>
    </w:rPr>
  </w:style>
  <w:style w:type="character" w:customStyle="1" w:styleId="HTMLPreformattedChar">
    <w:name w:val="HTML Preformatted Char"/>
    <w:link w:val="HTMLPreformatted"/>
    <w:uiPriority w:val="99"/>
    <w:semiHidden/>
    <w:rsid w:val="00E04D9C"/>
    <w:rPr>
      <w:rFonts w:ascii="Courier New" w:hAnsi="Courier New" w:cs="Courier New"/>
      <w:lang w:eastAsia="zh-CN"/>
    </w:rPr>
  </w:style>
  <w:style w:type="paragraph" w:customStyle="1" w:styleId="Paragraphedeliste1">
    <w:name w:val="Paragraphe de liste1"/>
    <w:basedOn w:val="Normal"/>
    <w:uiPriority w:val="99"/>
    <w:rsid w:val="006F01AF"/>
    <w:pPr>
      <w:suppressAutoHyphens w:val="0"/>
      <w:ind w:left="720"/>
      <w:contextualSpacing/>
    </w:pPr>
    <w:rPr>
      <w:szCs w:val="20"/>
      <w:lang w:val="fr-FR" w:eastAsia="en-US"/>
    </w:rPr>
  </w:style>
  <w:style w:type="paragraph" w:customStyle="1" w:styleId="Numberedlist">
    <w:name w:val="Numbered list"/>
    <w:basedOn w:val="Normal"/>
    <w:qFormat/>
    <w:rsid w:val="00221CE8"/>
    <w:pPr>
      <w:numPr>
        <w:numId w:val="11"/>
      </w:numPr>
      <w:suppressAutoHyphens w:val="0"/>
      <w:spacing w:after="120" w:line="276" w:lineRule="auto"/>
    </w:pPr>
    <w:rPr>
      <w:rFonts w:ascii="Calibri" w:eastAsia="Calibri" w:hAnsi="Calibri"/>
      <w:szCs w:val="20"/>
      <w:lang w:eastAsia="nl-NL"/>
    </w:rPr>
  </w:style>
  <w:style w:type="character" w:styleId="Hyperlink">
    <w:name w:val="Hyperlink"/>
    <w:uiPriority w:val="99"/>
    <w:semiHidden/>
    <w:unhideWhenUsed/>
    <w:rsid w:val="004061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B9"/>
    <w:pPr>
      <w:suppressAutoHyphens/>
    </w:pPr>
    <w:rPr>
      <w:sz w:val="24"/>
      <w:szCs w:val="24"/>
      <w:lang w:eastAsia="zh-CN"/>
    </w:rPr>
  </w:style>
  <w:style w:type="paragraph" w:styleId="Heading1">
    <w:name w:val="heading 1"/>
    <w:basedOn w:val="Normal"/>
    <w:next w:val="Text1"/>
    <w:qFormat/>
    <w:pPr>
      <w:keepNext/>
      <w:numPr>
        <w:numId w:val="1"/>
      </w:numPr>
      <w:spacing w:before="360" w:after="120"/>
      <w:jc w:val="both"/>
      <w:outlineLvl w:val="0"/>
    </w:pPr>
    <w:rPr>
      <w:b/>
      <w:bCs/>
      <w:smallCaps/>
      <w:szCs w:val="32"/>
    </w:rPr>
  </w:style>
  <w:style w:type="paragraph" w:styleId="Heading2">
    <w:name w:val="heading 2"/>
    <w:basedOn w:val="Normal"/>
    <w:next w:val="Text2"/>
    <w:qFormat/>
    <w:pPr>
      <w:keepNext/>
      <w:numPr>
        <w:ilvl w:val="1"/>
        <w:numId w:val="1"/>
      </w:numPr>
      <w:spacing w:before="120" w:after="120"/>
      <w:jc w:val="both"/>
      <w:outlineLvl w:val="1"/>
    </w:pPr>
    <w:rPr>
      <w:b/>
      <w:bCs/>
      <w:iCs/>
      <w:szCs w:val="28"/>
    </w:rPr>
  </w:style>
  <w:style w:type="paragraph" w:styleId="Heading3">
    <w:name w:val="heading 3"/>
    <w:basedOn w:val="Normal"/>
    <w:next w:val="Normal"/>
    <w:qFormat/>
    <w:pPr>
      <w:keepNext/>
      <w:spacing w:before="120" w:after="120"/>
      <w:jc w:val="both"/>
      <w:outlineLvl w:val="2"/>
    </w:pPr>
    <w:rPr>
      <w:bCs/>
      <w:i/>
      <w:szCs w:val="26"/>
    </w:rPr>
  </w:style>
  <w:style w:type="paragraph" w:styleId="Heading4">
    <w:name w:val="heading 4"/>
    <w:basedOn w:val="Normal"/>
    <w:next w:val="Text4"/>
    <w:qFormat/>
    <w:pPr>
      <w:keepNext/>
      <w:numPr>
        <w:ilvl w:val="3"/>
        <w:numId w:val="1"/>
      </w:numPr>
      <w:spacing w:before="120" w:after="120"/>
      <w:jc w:val="both"/>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rPr>
      <w:rFonts w:ascii="Courier New" w:hAnsi="Courier New" w:cs="Courier New"/>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stem" w:hAnsi="System" w:cs="System"/>
      <w:b/>
      <w:i w:val="0"/>
      <w:sz w:val="2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rPr>
      <w:i w:val="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stem" w:hAnsi="System" w:cs="System"/>
      <w:b/>
      <w:i w:val="0"/>
      <w:sz w:val="2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rPr>
  </w:style>
  <w:style w:type="character" w:customStyle="1" w:styleId="WW8Num9z2">
    <w:name w:val="WW8Num9z2"/>
    <w:rPr>
      <w:rFonts w:ascii="Times New Roman" w:hAnsi="Times New Roman" w:cs="Times New Roman"/>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FootnoteTextChar">
    <w:name w:val="Footnote Text Char"/>
    <w:uiPriority w:val="99"/>
  </w:style>
  <w:style w:type="character" w:customStyle="1" w:styleId="FootnoteCharacters">
    <w:name w:val="Footnote Characters"/>
    <w:rPr>
      <w:shd w:val="clear" w:color="auto" w:fill="auto"/>
      <w:vertAlign w:val="superscript"/>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Heading2Char">
    <w:name w:val="Heading 2 Char"/>
    <w:rPr>
      <w:b/>
      <w:bCs/>
      <w:iCs/>
      <w:sz w:val="24"/>
      <w:szCs w:val="28"/>
    </w:rPr>
  </w:style>
  <w:style w:type="character" w:customStyle="1" w:styleId="Text2Char">
    <w:name w:val="Text 2 Char"/>
    <w:rPr>
      <w:sz w:val="24"/>
      <w:szCs w:val="24"/>
      <w:lang w:val="en-GB" w:bidi="ar-SA"/>
    </w:rPr>
  </w:style>
  <w:style w:type="character" w:customStyle="1" w:styleId="Heading4Char">
    <w:name w:val="Heading 4 Char"/>
    <w:rPr>
      <w:bCs/>
      <w:sz w:val="24"/>
      <w:szCs w:val="28"/>
    </w:rPr>
  </w:style>
  <w:style w:type="character" w:styleId="PageNumber">
    <w:name w:val="page number"/>
    <w:basedOn w:val="DefaultParagraphFont"/>
  </w:style>
  <w:style w:type="character" w:customStyle="1" w:styleId="FooterChar">
    <w:name w:val="Footer Char"/>
    <w:rPr>
      <w:sz w:val="24"/>
      <w:szCs w:val="24"/>
      <w:lang w:val="en-GB"/>
    </w:rPr>
  </w:style>
  <w:style w:type="paragraph" w:customStyle="1" w:styleId="Heading">
    <w:name w:val="Heading"/>
    <w:basedOn w:val="Normal"/>
    <w:next w:val="BodyText"/>
    <w:pPr>
      <w:keepNext/>
      <w:spacing w:before="240" w:after="120"/>
    </w:pPr>
    <w:rPr>
      <w:rFonts w:ascii="Liberation Sans" w:eastAsia="Bitstream Vera Sans" w:hAnsi="Liberation Sans" w:cs="Bitstream Vera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tabs>
        <w:tab w:val="center" w:pos="4535"/>
        <w:tab w:val="right" w:pos="9071"/>
        <w:tab w:val="right" w:pos="9921"/>
      </w:tabs>
      <w:spacing w:before="360"/>
      <w:ind w:left="-850" w:right="-850"/>
    </w:pPr>
  </w:style>
  <w:style w:type="paragraph" w:customStyle="1" w:styleId="Text1">
    <w:name w:val="Text 1"/>
    <w:basedOn w:val="Normal"/>
    <w:pPr>
      <w:spacing w:before="120" w:after="120"/>
      <w:ind w:left="850"/>
      <w:jc w:val="both"/>
    </w:pPr>
  </w:style>
  <w:style w:type="paragraph" w:customStyle="1" w:styleId="Text2">
    <w:name w:val="Text 2"/>
    <w:basedOn w:val="Normal"/>
    <w:pPr>
      <w:spacing w:before="120" w:after="120"/>
      <w:ind w:left="850"/>
      <w:jc w:val="both"/>
    </w:pPr>
  </w:style>
  <w:style w:type="paragraph" w:customStyle="1" w:styleId="Text4">
    <w:name w:val="Text 4"/>
    <w:basedOn w:val="Normal"/>
    <w:pPr>
      <w:spacing w:before="120" w:after="120"/>
      <w:ind w:left="850"/>
      <w:jc w:val="both"/>
    </w:pPr>
  </w:style>
  <w:style w:type="paragraph" w:customStyle="1" w:styleId="Tiret2">
    <w:name w:val="Tiret 2"/>
    <w:basedOn w:val="Normal"/>
    <w:pPr>
      <w:numPr>
        <w:numId w:val="4"/>
      </w:numPr>
      <w:spacing w:before="120" w:after="120"/>
      <w:jc w:val="both"/>
    </w:pPr>
  </w:style>
  <w:style w:type="paragraph" w:customStyle="1" w:styleId="TableTitle">
    <w:name w:val="Table Title"/>
    <w:basedOn w:val="Normal"/>
    <w:next w:val="Normal"/>
    <w:pPr>
      <w:spacing w:before="120" w:after="120"/>
      <w:jc w:val="center"/>
    </w:pPr>
    <w:rPr>
      <w:b/>
    </w:rPr>
  </w:style>
  <w:style w:type="paragraph" w:customStyle="1" w:styleId="Fichedinformationtitre">
    <w:name w:val="Fiche d'information titre"/>
    <w:basedOn w:val="Normal"/>
    <w:next w:val="Normal"/>
    <w:pPr>
      <w:spacing w:before="120" w:after="120"/>
      <w:jc w:val="center"/>
    </w:pPr>
    <w:rPr>
      <w:b/>
      <w:u w:val="single"/>
    </w:rPr>
  </w:style>
  <w:style w:type="paragraph" w:styleId="Header">
    <w:name w:val="header"/>
    <w:basedOn w:val="Normal"/>
    <w:pPr>
      <w:tabs>
        <w:tab w:val="center" w:pos="4536"/>
        <w:tab w:val="right" w:pos="9072"/>
      </w:tabs>
    </w:pPr>
  </w:style>
  <w:style w:type="paragraph" w:styleId="BalloonText">
    <w:name w:val="Balloon Text"/>
    <w:basedOn w:val="Normal"/>
    <w:rPr>
      <w:rFonts w:ascii="Tahoma" w:hAnsi="Tahoma" w:cs="Tahoma"/>
      <w:sz w:val="16"/>
      <w:szCs w:val="16"/>
    </w:rPr>
  </w:style>
  <w:style w:type="paragraph" w:customStyle="1" w:styleId="ListDash1">
    <w:name w:val="List Dash 1"/>
    <w:basedOn w:val="Normal"/>
    <w:pPr>
      <w:numPr>
        <w:numId w:val="3"/>
      </w:numPr>
      <w:spacing w:before="120" w:after="120"/>
      <w:jc w:val="both"/>
    </w:pPr>
  </w:style>
  <w:style w:type="paragraph" w:styleId="FootnoteText">
    <w:name w:val="footnote text"/>
    <w:basedOn w:val="Normal"/>
    <w:uiPriority w:val="99"/>
    <w:pPr>
      <w:ind w:left="720" w:hanging="720"/>
      <w:jc w:val="both"/>
    </w:pPr>
    <w:rPr>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styleId="ListNumber2">
    <w:name w:val="List Number 2"/>
    <w:basedOn w:val="Normal"/>
    <w:pPr>
      <w:numPr>
        <w:numId w:val="2"/>
      </w:numPr>
      <w:spacing w:before="120" w:after="120"/>
      <w:jc w:val="both"/>
    </w:pPr>
  </w:style>
  <w:style w:type="paragraph" w:customStyle="1" w:styleId="Text3">
    <w:name w:val="Text 3"/>
    <w:basedOn w:val="Normal"/>
    <w:pPr>
      <w:spacing w:before="120" w:after="120"/>
      <w:ind w:left="850"/>
      <w:jc w:val="both"/>
    </w:pPr>
  </w:style>
  <w:style w:type="paragraph" w:customStyle="1" w:styleId="ListNumber2Level2">
    <w:name w:val="List Number 2 (Level 2)"/>
    <w:basedOn w:val="Text2"/>
    <w:pPr>
      <w:tabs>
        <w:tab w:val="num" w:pos="1560"/>
      </w:tabs>
      <w:ind w:left="1560" w:hanging="709"/>
    </w:pPr>
  </w:style>
  <w:style w:type="paragraph" w:customStyle="1" w:styleId="ListNumber2Level3">
    <w:name w:val="List Number 2 (Level 3)"/>
    <w:basedOn w:val="Text2"/>
    <w:pPr>
      <w:tabs>
        <w:tab w:val="num" w:pos="1560"/>
      </w:tabs>
      <w:ind w:left="1560" w:hanging="709"/>
    </w:pPr>
  </w:style>
  <w:style w:type="paragraph" w:customStyle="1" w:styleId="ListNumber2Level4">
    <w:name w:val="List Number 2 (Level 4)"/>
    <w:basedOn w:val="Text2"/>
    <w:pPr>
      <w:tabs>
        <w:tab w:val="num" w:pos="1560"/>
      </w:tabs>
      <w:ind w:left="1560" w:hanging="709"/>
    </w:pPr>
  </w:style>
  <w:style w:type="paragraph" w:styleId="ListBullet">
    <w:name w:val="List Bullet"/>
    <w:basedOn w:val="Normal"/>
    <w:pPr>
      <w:spacing w:after="240"/>
      <w:jc w:val="both"/>
    </w:pPr>
    <w:rPr>
      <w:lang w:val="en-US"/>
    </w:rPr>
  </w:style>
  <w:style w:type="paragraph" w:styleId="ListParagraph">
    <w:name w:val="List Paragraph"/>
    <w:basedOn w:val="Normal"/>
    <w:uiPriority w:val="34"/>
    <w:qFormat/>
    <w:pPr>
      <w:ind w:left="720"/>
    </w:pPr>
    <w:rPr>
      <w:rFonts w:ascii="Arial" w:hAnsi="Arial" w:cs="Arial"/>
      <w:sz w:val="22"/>
      <w:szCs w:val="20"/>
    </w:rPr>
  </w:style>
  <w:style w:type="paragraph" w:customStyle="1" w:styleId="text20">
    <w:name w:val="text2"/>
    <w:basedOn w:val="Normal"/>
    <w:pPr>
      <w:spacing w:before="100" w:after="100"/>
    </w:pPr>
  </w:style>
  <w:style w:type="paragraph" w:styleId="NormalWeb">
    <w:name w:val="Normal (Web)"/>
    <w:basedOn w:val="Normal"/>
    <w:pPr>
      <w:spacing w:after="312"/>
    </w:pPr>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uiPriority w:val="99"/>
    <w:semiHidden/>
    <w:unhideWhenUsed/>
    <w:rsid w:val="00B86FB0"/>
    <w:rPr>
      <w:vertAlign w:val="superscript"/>
    </w:rPr>
  </w:style>
  <w:style w:type="character" w:customStyle="1" w:styleId="hps">
    <w:name w:val="hps"/>
    <w:rsid w:val="00B86FB0"/>
  </w:style>
  <w:style w:type="character" w:customStyle="1" w:styleId="atn">
    <w:name w:val="atn"/>
    <w:rsid w:val="00DE1100"/>
  </w:style>
  <w:style w:type="paragraph" w:customStyle="1" w:styleId="Default">
    <w:name w:val="Default"/>
    <w:rsid w:val="006364D2"/>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BB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1F95"/>
    <w:rPr>
      <w:rFonts w:ascii="Cambria" w:eastAsia="MS Mincho" w:hAnsi="Cambria" w:cs="Arial"/>
      <w:sz w:val="24"/>
      <w:szCs w:val="24"/>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04D9C"/>
    <w:rPr>
      <w:rFonts w:ascii="Courier New" w:hAnsi="Courier New" w:cs="Courier New"/>
      <w:sz w:val="20"/>
      <w:szCs w:val="20"/>
    </w:rPr>
  </w:style>
  <w:style w:type="character" w:customStyle="1" w:styleId="HTMLPreformattedChar">
    <w:name w:val="HTML Preformatted Char"/>
    <w:link w:val="HTMLPreformatted"/>
    <w:uiPriority w:val="99"/>
    <w:semiHidden/>
    <w:rsid w:val="00E04D9C"/>
    <w:rPr>
      <w:rFonts w:ascii="Courier New" w:hAnsi="Courier New" w:cs="Courier New"/>
      <w:lang w:eastAsia="zh-CN"/>
    </w:rPr>
  </w:style>
  <w:style w:type="paragraph" w:customStyle="1" w:styleId="Paragraphedeliste1">
    <w:name w:val="Paragraphe de liste1"/>
    <w:basedOn w:val="Normal"/>
    <w:uiPriority w:val="99"/>
    <w:rsid w:val="006F01AF"/>
    <w:pPr>
      <w:suppressAutoHyphens w:val="0"/>
      <w:ind w:left="720"/>
      <w:contextualSpacing/>
    </w:pPr>
    <w:rPr>
      <w:szCs w:val="20"/>
      <w:lang w:val="fr-FR" w:eastAsia="en-US"/>
    </w:rPr>
  </w:style>
  <w:style w:type="paragraph" w:customStyle="1" w:styleId="Numberedlist">
    <w:name w:val="Numbered list"/>
    <w:basedOn w:val="Normal"/>
    <w:qFormat/>
    <w:rsid w:val="00221CE8"/>
    <w:pPr>
      <w:numPr>
        <w:numId w:val="11"/>
      </w:numPr>
      <w:suppressAutoHyphens w:val="0"/>
      <w:spacing w:after="120" w:line="276" w:lineRule="auto"/>
    </w:pPr>
    <w:rPr>
      <w:rFonts w:ascii="Calibri" w:eastAsia="Calibri" w:hAnsi="Calibri"/>
      <w:szCs w:val="20"/>
      <w:lang w:eastAsia="nl-NL"/>
    </w:rPr>
  </w:style>
  <w:style w:type="character" w:styleId="Hyperlink">
    <w:name w:val="Hyperlink"/>
    <w:uiPriority w:val="99"/>
    <w:semiHidden/>
    <w:unhideWhenUsed/>
    <w:rsid w:val="00406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619">
      <w:bodyDiv w:val="1"/>
      <w:marLeft w:val="0"/>
      <w:marRight w:val="0"/>
      <w:marTop w:val="0"/>
      <w:marBottom w:val="0"/>
      <w:divBdr>
        <w:top w:val="none" w:sz="0" w:space="0" w:color="auto"/>
        <w:left w:val="none" w:sz="0" w:space="0" w:color="auto"/>
        <w:bottom w:val="none" w:sz="0" w:space="0" w:color="auto"/>
        <w:right w:val="none" w:sz="0" w:space="0" w:color="auto"/>
      </w:divBdr>
    </w:div>
    <w:div w:id="89476153">
      <w:bodyDiv w:val="1"/>
      <w:marLeft w:val="0"/>
      <w:marRight w:val="0"/>
      <w:marTop w:val="0"/>
      <w:marBottom w:val="0"/>
      <w:divBdr>
        <w:top w:val="none" w:sz="0" w:space="0" w:color="auto"/>
        <w:left w:val="none" w:sz="0" w:space="0" w:color="auto"/>
        <w:bottom w:val="none" w:sz="0" w:space="0" w:color="auto"/>
        <w:right w:val="none" w:sz="0" w:space="0" w:color="auto"/>
      </w:divBdr>
    </w:div>
    <w:div w:id="97528748">
      <w:bodyDiv w:val="1"/>
      <w:marLeft w:val="0"/>
      <w:marRight w:val="0"/>
      <w:marTop w:val="0"/>
      <w:marBottom w:val="0"/>
      <w:divBdr>
        <w:top w:val="none" w:sz="0" w:space="0" w:color="auto"/>
        <w:left w:val="none" w:sz="0" w:space="0" w:color="auto"/>
        <w:bottom w:val="none" w:sz="0" w:space="0" w:color="auto"/>
        <w:right w:val="none" w:sz="0" w:space="0" w:color="auto"/>
      </w:divBdr>
    </w:div>
    <w:div w:id="243879550">
      <w:bodyDiv w:val="1"/>
      <w:marLeft w:val="0"/>
      <w:marRight w:val="0"/>
      <w:marTop w:val="0"/>
      <w:marBottom w:val="0"/>
      <w:divBdr>
        <w:top w:val="none" w:sz="0" w:space="0" w:color="auto"/>
        <w:left w:val="none" w:sz="0" w:space="0" w:color="auto"/>
        <w:bottom w:val="none" w:sz="0" w:space="0" w:color="auto"/>
        <w:right w:val="none" w:sz="0" w:space="0" w:color="auto"/>
      </w:divBdr>
    </w:div>
    <w:div w:id="279337932">
      <w:bodyDiv w:val="1"/>
      <w:marLeft w:val="0"/>
      <w:marRight w:val="0"/>
      <w:marTop w:val="0"/>
      <w:marBottom w:val="0"/>
      <w:divBdr>
        <w:top w:val="none" w:sz="0" w:space="0" w:color="auto"/>
        <w:left w:val="none" w:sz="0" w:space="0" w:color="auto"/>
        <w:bottom w:val="none" w:sz="0" w:space="0" w:color="auto"/>
        <w:right w:val="none" w:sz="0" w:space="0" w:color="auto"/>
      </w:divBdr>
    </w:div>
    <w:div w:id="310141466">
      <w:bodyDiv w:val="1"/>
      <w:marLeft w:val="0"/>
      <w:marRight w:val="0"/>
      <w:marTop w:val="0"/>
      <w:marBottom w:val="0"/>
      <w:divBdr>
        <w:top w:val="none" w:sz="0" w:space="0" w:color="auto"/>
        <w:left w:val="none" w:sz="0" w:space="0" w:color="auto"/>
        <w:bottom w:val="none" w:sz="0" w:space="0" w:color="auto"/>
        <w:right w:val="none" w:sz="0" w:space="0" w:color="auto"/>
      </w:divBdr>
    </w:div>
    <w:div w:id="322662037">
      <w:bodyDiv w:val="1"/>
      <w:marLeft w:val="0"/>
      <w:marRight w:val="0"/>
      <w:marTop w:val="0"/>
      <w:marBottom w:val="0"/>
      <w:divBdr>
        <w:top w:val="none" w:sz="0" w:space="0" w:color="auto"/>
        <w:left w:val="none" w:sz="0" w:space="0" w:color="auto"/>
        <w:bottom w:val="none" w:sz="0" w:space="0" w:color="auto"/>
        <w:right w:val="none" w:sz="0" w:space="0" w:color="auto"/>
      </w:divBdr>
    </w:div>
    <w:div w:id="335038054">
      <w:bodyDiv w:val="1"/>
      <w:marLeft w:val="0"/>
      <w:marRight w:val="0"/>
      <w:marTop w:val="0"/>
      <w:marBottom w:val="0"/>
      <w:divBdr>
        <w:top w:val="none" w:sz="0" w:space="0" w:color="auto"/>
        <w:left w:val="none" w:sz="0" w:space="0" w:color="auto"/>
        <w:bottom w:val="none" w:sz="0" w:space="0" w:color="auto"/>
        <w:right w:val="none" w:sz="0" w:space="0" w:color="auto"/>
      </w:divBdr>
    </w:div>
    <w:div w:id="353918363">
      <w:bodyDiv w:val="1"/>
      <w:marLeft w:val="0"/>
      <w:marRight w:val="0"/>
      <w:marTop w:val="0"/>
      <w:marBottom w:val="0"/>
      <w:divBdr>
        <w:top w:val="none" w:sz="0" w:space="0" w:color="auto"/>
        <w:left w:val="none" w:sz="0" w:space="0" w:color="auto"/>
        <w:bottom w:val="none" w:sz="0" w:space="0" w:color="auto"/>
        <w:right w:val="none" w:sz="0" w:space="0" w:color="auto"/>
      </w:divBdr>
    </w:div>
    <w:div w:id="429547626">
      <w:bodyDiv w:val="1"/>
      <w:marLeft w:val="0"/>
      <w:marRight w:val="0"/>
      <w:marTop w:val="0"/>
      <w:marBottom w:val="0"/>
      <w:divBdr>
        <w:top w:val="none" w:sz="0" w:space="0" w:color="auto"/>
        <w:left w:val="none" w:sz="0" w:space="0" w:color="auto"/>
        <w:bottom w:val="none" w:sz="0" w:space="0" w:color="auto"/>
        <w:right w:val="none" w:sz="0" w:space="0" w:color="auto"/>
      </w:divBdr>
    </w:div>
    <w:div w:id="713163004">
      <w:bodyDiv w:val="1"/>
      <w:marLeft w:val="0"/>
      <w:marRight w:val="0"/>
      <w:marTop w:val="0"/>
      <w:marBottom w:val="0"/>
      <w:divBdr>
        <w:top w:val="none" w:sz="0" w:space="0" w:color="auto"/>
        <w:left w:val="none" w:sz="0" w:space="0" w:color="auto"/>
        <w:bottom w:val="none" w:sz="0" w:space="0" w:color="auto"/>
        <w:right w:val="none" w:sz="0" w:space="0" w:color="auto"/>
      </w:divBdr>
      <w:divsChild>
        <w:div w:id="1511984920">
          <w:marLeft w:val="0"/>
          <w:marRight w:val="0"/>
          <w:marTop w:val="0"/>
          <w:marBottom w:val="0"/>
          <w:divBdr>
            <w:top w:val="none" w:sz="0" w:space="0" w:color="auto"/>
            <w:left w:val="none" w:sz="0" w:space="0" w:color="auto"/>
            <w:bottom w:val="none" w:sz="0" w:space="0" w:color="auto"/>
            <w:right w:val="none" w:sz="0" w:space="0" w:color="auto"/>
          </w:divBdr>
          <w:divsChild>
            <w:div w:id="1431463722">
              <w:marLeft w:val="0"/>
              <w:marRight w:val="0"/>
              <w:marTop w:val="0"/>
              <w:marBottom w:val="0"/>
              <w:divBdr>
                <w:top w:val="none" w:sz="0" w:space="0" w:color="auto"/>
                <w:left w:val="none" w:sz="0" w:space="0" w:color="auto"/>
                <w:bottom w:val="none" w:sz="0" w:space="0" w:color="auto"/>
                <w:right w:val="none" w:sz="0" w:space="0" w:color="auto"/>
              </w:divBdr>
              <w:divsChild>
                <w:div w:id="1248731100">
                  <w:marLeft w:val="0"/>
                  <w:marRight w:val="0"/>
                  <w:marTop w:val="0"/>
                  <w:marBottom w:val="525"/>
                  <w:divBdr>
                    <w:top w:val="none" w:sz="0" w:space="0" w:color="auto"/>
                    <w:left w:val="none" w:sz="0" w:space="0" w:color="auto"/>
                    <w:bottom w:val="none" w:sz="0" w:space="0" w:color="auto"/>
                    <w:right w:val="none" w:sz="0" w:space="0" w:color="auto"/>
                  </w:divBdr>
                  <w:divsChild>
                    <w:div w:id="1667634896">
                      <w:marLeft w:val="0"/>
                      <w:marRight w:val="0"/>
                      <w:marTop w:val="0"/>
                      <w:marBottom w:val="0"/>
                      <w:divBdr>
                        <w:top w:val="none" w:sz="0" w:space="0" w:color="auto"/>
                        <w:left w:val="none" w:sz="0" w:space="0" w:color="auto"/>
                        <w:bottom w:val="none" w:sz="0" w:space="0" w:color="auto"/>
                        <w:right w:val="none" w:sz="0" w:space="0" w:color="auto"/>
                      </w:divBdr>
                      <w:divsChild>
                        <w:div w:id="13597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796060">
      <w:bodyDiv w:val="1"/>
      <w:marLeft w:val="0"/>
      <w:marRight w:val="0"/>
      <w:marTop w:val="0"/>
      <w:marBottom w:val="0"/>
      <w:divBdr>
        <w:top w:val="none" w:sz="0" w:space="0" w:color="auto"/>
        <w:left w:val="none" w:sz="0" w:space="0" w:color="auto"/>
        <w:bottom w:val="none" w:sz="0" w:space="0" w:color="auto"/>
        <w:right w:val="none" w:sz="0" w:space="0" w:color="auto"/>
      </w:divBdr>
    </w:div>
    <w:div w:id="1070035228">
      <w:bodyDiv w:val="1"/>
      <w:marLeft w:val="0"/>
      <w:marRight w:val="0"/>
      <w:marTop w:val="0"/>
      <w:marBottom w:val="0"/>
      <w:divBdr>
        <w:top w:val="none" w:sz="0" w:space="0" w:color="auto"/>
        <w:left w:val="none" w:sz="0" w:space="0" w:color="auto"/>
        <w:bottom w:val="none" w:sz="0" w:space="0" w:color="auto"/>
        <w:right w:val="none" w:sz="0" w:space="0" w:color="auto"/>
      </w:divBdr>
    </w:div>
    <w:div w:id="1088577228">
      <w:bodyDiv w:val="1"/>
      <w:marLeft w:val="0"/>
      <w:marRight w:val="0"/>
      <w:marTop w:val="0"/>
      <w:marBottom w:val="0"/>
      <w:divBdr>
        <w:top w:val="none" w:sz="0" w:space="0" w:color="auto"/>
        <w:left w:val="none" w:sz="0" w:space="0" w:color="auto"/>
        <w:bottom w:val="none" w:sz="0" w:space="0" w:color="auto"/>
        <w:right w:val="none" w:sz="0" w:space="0" w:color="auto"/>
      </w:divBdr>
    </w:div>
    <w:div w:id="1276016701">
      <w:bodyDiv w:val="1"/>
      <w:marLeft w:val="0"/>
      <w:marRight w:val="0"/>
      <w:marTop w:val="0"/>
      <w:marBottom w:val="0"/>
      <w:divBdr>
        <w:top w:val="none" w:sz="0" w:space="0" w:color="auto"/>
        <w:left w:val="none" w:sz="0" w:space="0" w:color="auto"/>
        <w:bottom w:val="none" w:sz="0" w:space="0" w:color="auto"/>
        <w:right w:val="none" w:sz="0" w:space="0" w:color="auto"/>
      </w:divBdr>
    </w:div>
    <w:div w:id="1284192816">
      <w:bodyDiv w:val="1"/>
      <w:marLeft w:val="0"/>
      <w:marRight w:val="0"/>
      <w:marTop w:val="0"/>
      <w:marBottom w:val="0"/>
      <w:divBdr>
        <w:top w:val="none" w:sz="0" w:space="0" w:color="auto"/>
        <w:left w:val="none" w:sz="0" w:space="0" w:color="auto"/>
        <w:bottom w:val="none" w:sz="0" w:space="0" w:color="auto"/>
        <w:right w:val="none" w:sz="0" w:space="0" w:color="auto"/>
      </w:divBdr>
    </w:div>
    <w:div w:id="1344894561">
      <w:bodyDiv w:val="1"/>
      <w:marLeft w:val="0"/>
      <w:marRight w:val="0"/>
      <w:marTop w:val="0"/>
      <w:marBottom w:val="0"/>
      <w:divBdr>
        <w:top w:val="none" w:sz="0" w:space="0" w:color="auto"/>
        <w:left w:val="none" w:sz="0" w:space="0" w:color="auto"/>
        <w:bottom w:val="none" w:sz="0" w:space="0" w:color="auto"/>
        <w:right w:val="none" w:sz="0" w:space="0" w:color="auto"/>
      </w:divBdr>
    </w:div>
    <w:div w:id="1415544454">
      <w:bodyDiv w:val="1"/>
      <w:marLeft w:val="0"/>
      <w:marRight w:val="0"/>
      <w:marTop w:val="0"/>
      <w:marBottom w:val="0"/>
      <w:divBdr>
        <w:top w:val="none" w:sz="0" w:space="0" w:color="auto"/>
        <w:left w:val="none" w:sz="0" w:space="0" w:color="auto"/>
        <w:bottom w:val="none" w:sz="0" w:space="0" w:color="auto"/>
        <w:right w:val="none" w:sz="0" w:space="0" w:color="auto"/>
      </w:divBdr>
    </w:div>
    <w:div w:id="1515803076">
      <w:bodyDiv w:val="1"/>
      <w:marLeft w:val="0"/>
      <w:marRight w:val="0"/>
      <w:marTop w:val="0"/>
      <w:marBottom w:val="0"/>
      <w:divBdr>
        <w:top w:val="none" w:sz="0" w:space="0" w:color="auto"/>
        <w:left w:val="none" w:sz="0" w:space="0" w:color="auto"/>
        <w:bottom w:val="none" w:sz="0" w:space="0" w:color="auto"/>
        <w:right w:val="none" w:sz="0" w:space="0" w:color="auto"/>
      </w:divBdr>
    </w:div>
    <w:div w:id="1516309779">
      <w:bodyDiv w:val="1"/>
      <w:marLeft w:val="0"/>
      <w:marRight w:val="0"/>
      <w:marTop w:val="0"/>
      <w:marBottom w:val="0"/>
      <w:divBdr>
        <w:top w:val="none" w:sz="0" w:space="0" w:color="auto"/>
        <w:left w:val="none" w:sz="0" w:space="0" w:color="auto"/>
        <w:bottom w:val="none" w:sz="0" w:space="0" w:color="auto"/>
        <w:right w:val="none" w:sz="0" w:space="0" w:color="auto"/>
      </w:divBdr>
    </w:div>
    <w:div w:id="1617910241">
      <w:bodyDiv w:val="1"/>
      <w:marLeft w:val="0"/>
      <w:marRight w:val="0"/>
      <w:marTop w:val="0"/>
      <w:marBottom w:val="0"/>
      <w:divBdr>
        <w:top w:val="none" w:sz="0" w:space="0" w:color="auto"/>
        <w:left w:val="none" w:sz="0" w:space="0" w:color="auto"/>
        <w:bottom w:val="none" w:sz="0" w:space="0" w:color="auto"/>
        <w:right w:val="none" w:sz="0" w:space="0" w:color="auto"/>
      </w:divBdr>
    </w:div>
    <w:div w:id="1621762977">
      <w:bodyDiv w:val="1"/>
      <w:marLeft w:val="0"/>
      <w:marRight w:val="0"/>
      <w:marTop w:val="0"/>
      <w:marBottom w:val="0"/>
      <w:divBdr>
        <w:top w:val="none" w:sz="0" w:space="0" w:color="auto"/>
        <w:left w:val="none" w:sz="0" w:space="0" w:color="auto"/>
        <w:bottom w:val="none" w:sz="0" w:space="0" w:color="auto"/>
        <w:right w:val="none" w:sz="0" w:space="0" w:color="auto"/>
      </w:divBdr>
    </w:div>
    <w:div w:id="1772703653">
      <w:bodyDiv w:val="1"/>
      <w:marLeft w:val="0"/>
      <w:marRight w:val="0"/>
      <w:marTop w:val="0"/>
      <w:marBottom w:val="0"/>
      <w:divBdr>
        <w:top w:val="none" w:sz="0" w:space="0" w:color="auto"/>
        <w:left w:val="none" w:sz="0" w:space="0" w:color="auto"/>
        <w:bottom w:val="none" w:sz="0" w:space="0" w:color="auto"/>
        <w:right w:val="none" w:sz="0" w:space="0" w:color="auto"/>
      </w:divBdr>
    </w:div>
    <w:div w:id="1776050762">
      <w:bodyDiv w:val="1"/>
      <w:marLeft w:val="0"/>
      <w:marRight w:val="0"/>
      <w:marTop w:val="0"/>
      <w:marBottom w:val="0"/>
      <w:divBdr>
        <w:top w:val="none" w:sz="0" w:space="0" w:color="auto"/>
        <w:left w:val="none" w:sz="0" w:space="0" w:color="auto"/>
        <w:bottom w:val="none" w:sz="0" w:space="0" w:color="auto"/>
        <w:right w:val="none" w:sz="0" w:space="0" w:color="auto"/>
      </w:divBdr>
    </w:div>
    <w:div w:id="1898085666">
      <w:bodyDiv w:val="1"/>
      <w:marLeft w:val="0"/>
      <w:marRight w:val="0"/>
      <w:marTop w:val="0"/>
      <w:marBottom w:val="0"/>
      <w:divBdr>
        <w:top w:val="none" w:sz="0" w:space="0" w:color="auto"/>
        <w:left w:val="none" w:sz="0" w:space="0" w:color="auto"/>
        <w:bottom w:val="none" w:sz="0" w:space="0" w:color="auto"/>
        <w:right w:val="none" w:sz="0" w:space="0" w:color="auto"/>
      </w:divBdr>
    </w:div>
    <w:div w:id="1940718943">
      <w:bodyDiv w:val="1"/>
      <w:marLeft w:val="0"/>
      <w:marRight w:val="0"/>
      <w:marTop w:val="0"/>
      <w:marBottom w:val="0"/>
      <w:divBdr>
        <w:top w:val="none" w:sz="0" w:space="0" w:color="auto"/>
        <w:left w:val="none" w:sz="0" w:space="0" w:color="auto"/>
        <w:bottom w:val="none" w:sz="0" w:space="0" w:color="auto"/>
        <w:right w:val="none" w:sz="0" w:space="0" w:color="auto"/>
      </w:divBdr>
    </w:div>
    <w:div w:id="2038726466">
      <w:bodyDiv w:val="1"/>
      <w:marLeft w:val="0"/>
      <w:marRight w:val="0"/>
      <w:marTop w:val="0"/>
      <w:marBottom w:val="0"/>
      <w:divBdr>
        <w:top w:val="none" w:sz="0" w:space="0" w:color="auto"/>
        <w:left w:val="none" w:sz="0" w:space="0" w:color="auto"/>
        <w:bottom w:val="none" w:sz="0" w:space="0" w:color="auto"/>
        <w:right w:val="none" w:sz="0" w:space="0" w:color="auto"/>
      </w:divBdr>
      <w:divsChild>
        <w:div w:id="1178694821">
          <w:marLeft w:val="0"/>
          <w:marRight w:val="0"/>
          <w:marTop w:val="0"/>
          <w:marBottom w:val="0"/>
          <w:divBdr>
            <w:top w:val="none" w:sz="0" w:space="0" w:color="auto"/>
            <w:left w:val="none" w:sz="0" w:space="0" w:color="auto"/>
            <w:bottom w:val="none" w:sz="0" w:space="0" w:color="auto"/>
            <w:right w:val="none" w:sz="0" w:space="0" w:color="auto"/>
          </w:divBdr>
          <w:divsChild>
            <w:div w:id="475802465">
              <w:marLeft w:val="0"/>
              <w:marRight w:val="0"/>
              <w:marTop w:val="0"/>
              <w:marBottom w:val="0"/>
              <w:divBdr>
                <w:top w:val="none" w:sz="0" w:space="0" w:color="auto"/>
                <w:left w:val="none" w:sz="0" w:space="0" w:color="auto"/>
                <w:bottom w:val="none" w:sz="0" w:space="0" w:color="auto"/>
                <w:right w:val="none" w:sz="0" w:space="0" w:color="auto"/>
              </w:divBdr>
              <w:divsChild>
                <w:div w:id="4532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9743">
          <w:marLeft w:val="0"/>
          <w:marRight w:val="0"/>
          <w:marTop w:val="0"/>
          <w:marBottom w:val="0"/>
          <w:divBdr>
            <w:top w:val="none" w:sz="0" w:space="0" w:color="auto"/>
            <w:left w:val="none" w:sz="0" w:space="0" w:color="auto"/>
            <w:bottom w:val="none" w:sz="0" w:space="0" w:color="auto"/>
            <w:right w:val="none" w:sz="0" w:space="0" w:color="auto"/>
          </w:divBdr>
          <w:divsChild>
            <w:div w:id="2432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400">
      <w:bodyDiv w:val="1"/>
      <w:marLeft w:val="0"/>
      <w:marRight w:val="0"/>
      <w:marTop w:val="0"/>
      <w:marBottom w:val="0"/>
      <w:divBdr>
        <w:top w:val="none" w:sz="0" w:space="0" w:color="auto"/>
        <w:left w:val="none" w:sz="0" w:space="0" w:color="auto"/>
        <w:bottom w:val="none" w:sz="0" w:space="0" w:color="auto"/>
        <w:right w:val="none" w:sz="0" w:space="0" w:color="auto"/>
      </w:divBdr>
    </w:div>
    <w:div w:id="2126534427">
      <w:bodyDiv w:val="1"/>
      <w:marLeft w:val="0"/>
      <w:marRight w:val="0"/>
      <w:marTop w:val="0"/>
      <w:marBottom w:val="0"/>
      <w:divBdr>
        <w:top w:val="none" w:sz="0" w:space="0" w:color="auto"/>
        <w:left w:val="none" w:sz="0" w:space="0" w:color="auto"/>
        <w:bottom w:val="none" w:sz="0" w:space="0" w:color="auto"/>
        <w:right w:val="none" w:sz="0" w:space="0" w:color="auto"/>
      </w:divBdr>
    </w:div>
    <w:div w:id="21319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apacity4dev.ec.europa.eu/trust-fund-beko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A4A1-923C-4853-8F9F-AE80C2D9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6564</Words>
  <Characters>37416</Characters>
  <Application>Microsoft Office Word</Application>
  <DocSecurity>0</DocSecurity>
  <Lines>311</Lines>
  <Paragraphs>87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Fiche d’action pour [pays/région/thème bénéficiaire] («annexe» lorsqu’ils deviennent une annexe jointe à la décision de financement)</vt:lpstr>
      <vt:lpstr>Fiche d’action pour [pays/région/thème bénéficiaire] («annexe» lorsqu’ils deviennent une annexe jointe à la décision de financement)</vt:lpstr>
    </vt:vector>
  </TitlesOfParts>
  <Company>European Commission</Company>
  <LinksUpToDate>false</LinksUpToDate>
  <CharactersWithSpaces>43893</CharactersWithSpaces>
  <SharedDoc>false</SharedDoc>
  <HLinks>
    <vt:vector size="6" baseType="variant">
      <vt:variant>
        <vt:i4>7995440</vt:i4>
      </vt:variant>
      <vt:variant>
        <vt:i4>0</vt:i4>
      </vt:variant>
      <vt:variant>
        <vt:i4>0</vt:i4>
      </vt:variant>
      <vt:variant>
        <vt:i4>5</vt:i4>
      </vt:variant>
      <vt:variant>
        <vt:lpwstr>http://capacity4dev.ec.europa.eu/trust-fund-bekou/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d’action pour [pays/région/thème bénéficiaire] («annexe» lorsqu’ils deviennent une annexe jointe à la décision de financement)</dc:title>
  <dc:creator>rayaafr</dc:creator>
  <cp:lastModifiedBy>WONE Mouhamed El Habib (DEVCO)</cp:lastModifiedBy>
  <cp:revision>3</cp:revision>
  <cp:lastPrinted>2018-02-01T10:37:00Z</cp:lastPrinted>
  <dcterms:created xsi:type="dcterms:W3CDTF">2018-02-26T13:34:00Z</dcterms:created>
  <dcterms:modified xsi:type="dcterms:W3CDTF">2018-02-26T13:37:00Z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Normale</vt:lpwstr>
  </property>
  <property fmtid="{D5CDD505-2E9C-101B-9397-08002B2CF9AE}" pid="3" name="_NewReviewCycle">
    <vt:lpwstr/>
  </property>
</Properties>
</file>