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CDDAB" w14:textId="333E66A7" w:rsidR="00767EE6" w:rsidRPr="00CC6865" w:rsidRDefault="00767EE6" w:rsidP="00767EE6">
      <w:pPr>
        <w:shd w:val="clear" w:color="auto" w:fill="FFFFFF"/>
        <w:jc w:val="center"/>
        <w:rPr>
          <w:rFonts w:ascii="Times New Roman" w:hAnsi="Times New Roman" w:cs="Times New Roman"/>
          <w:b/>
          <w:color w:val="222222"/>
          <w:sz w:val="28"/>
          <w:szCs w:val="28"/>
        </w:rPr>
      </w:pPr>
      <w:bookmarkStart w:id="0" w:name="_GoBack"/>
      <w:bookmarkEnd w:id="0"/>
      <w:r w:rsidRPr="00CC6865">
        <w:rPr>
          <w:rFonts w:ascii="Times New Roman" w:hAnsi="Times New Roman" w:cs="Times New Roman"/>
          <w:b/>
          <w:color w:val="222222"/>
          <w:sz w:val="28"/>
          <w:szCs w:val="28"/>
        </w:rPr>
        <w:t xml:space="preserve">Understanding </w:t>
      </w:r>
      <w:r w:rsidR="00CC6865">
        <w:rPr>
          <w:rFonts w:ascii="Times New Roman" w:hAnsi="Times New Roman" w:cs="Times New Roman"/>
          <w:b/>
          <w:color w:val="222222"/>
          <w:sz w:val="28"/>
          <w:szCs w:val="28"/>
        </w:rPr>
        <w:t xml:space="preserve">and Tackling </w:t>
      </w:r>
      <w:r w:rsidRPr="00CC6865">
        <w:rPr>
          <w:rFonts w:ascii="Times New Roman" w:hAnsi="Times New Roman" w:cs="Times New Roman"/>
          <w:b/>
          <w:color w:val="222222"/>
          <w:sz w:val="28"/>
          <w:szCs w:val="28"/>
        </w:rPr>
        <w:t>the Links Between Acute and Chronic M</w:t>
      </w:r>
      <w:r w:rsidRPr="00767EE6">
        <w:rPr>
          <w:rFonts w:ascii="Times New Roman" w:hAnsi="Times New Roman" w:cs="Times New Roman"/>
          <w:b/>
          <w:color w:val="222222"/>
          <w:sz w:val="28"/>
          <w:szCs w:val="28"/>
        </w:rPr>
        <w:t>alnutrition</w:t>
      </w:r>
      <w:r w:rsidR="00811A8D">
        <w:rPr>
          <w:rFonts w:ascii="Times New Roman" w:hAnsi="Times New Roman" w:cs="Times New Roman"/>
          <w:b/>
          <w:color w:val="222222"/>
          <w:sz w:val="28"/>
          <w:szCs w:val="28"/>
        </w:rPr>
        <w:t>: 08/08/2017</w:t>
      </w:r>
    </w:p>
    <w:p w14:paraId="47CC4358" w14:textId="77777777" w:rsidR="00A17425" w:rsidRPr="00292C53" w:rsidRDefault="00A17425" w:rsidP="00A17425">
      <w:pPr>
        <w:rPr>
          <w:rFonts w:ascii="Times New Roman" w:hAnsi="Times New Roman" w:cs="Times New Roman"/>
          <w:b/>
        </w:rPr>
      </w:pPr>
    </w:p>
    <w:tbl>
      <w:tblPr>
        <w:tblStyle w:val="TableGrid"/>
        <w:tblW w:w="0" w:type="auto"/>
        <w:tblLook w:val="04A0" w:firstRow="1" w:lastRow="0" w:firstColumn="1" w:lastColumn="0" w:noHBand="0" w:noVBand="1"/>
      </w:tblPr>
      <w:tblGrid>
        <w:gridCol w:w="9010"/>
      </w:tblGrid>
      <w:tr w:rsidR="004E16F7" w14:paraId="06A8FD5D" w14:textId="77777777" w:rsidTr="004E16F7">
        <w:tc>
          <w:tcPr>
            <w:tcW w:w="9010" w:type="dxa"/>
          </w:tcPr>
          <w:p w14:paraId="6EC9F9DD" w14:textId="77777777" w:rsidR="00811A8D" w:rsidRDefault="001866AA" w:rsidP="001866AA">
            <w:pPr>
              <w:jc w:val="both"/>
              <w:rPr>
                <w:rFonts w:ascii="Times New Roman" w:hAnsi="Times New Roman" w:cs="Times New Roman"/>
                <w:b/>
                <w:i/>
                <w:color w:val="222222"/>
              </w:rPr>
            </w:pPr>
            <w:r>
              <w:rPr>
                <w:rFonts w:ascii="Times New Roman" w:hAnsi="Times New Roman" w:cs="Times New Roman"/>
                <w:b/>
                <w:i/>
                <w:color w:val="222222"/>
              </w:rPr>
              <w:t>SUMMARY:</w:t>
            </w:r>
            <w:r w:rsidR="00E03748">
              <w:rPr>
                <w:rFonts w:ascii="Times New Roman" w:hAnsi="Times New Roman" w:cs="Times New Roman"/>
                <w:b/>
                <w:i/>
                <w:color w:val="222222"/>
              </w:rPr>
              <w:t xml:space="preserve"> </w:t>
            </w:r>
          </w:p>
          <w:p w14:paraId="31F7C897" w14:textId="77777777" w:rsidR="00811A8D" w:rsidRDefault="00811A8D" w:rsidP="001866AA">
            <w:pPr>
              <w:jc w:val="both"/>
              <w:rPr>
                <w:rFonts w:ascii="Times New Roman" w:hAnsi="Times New Roman" w:cs="Times New Roman"/>
                <w:b/>
                <w:i/>
                <w:color w:val="222222"/>
              </w:rPr>
            </w:pPr>
          </w:p>
          <w:p w14:paraId="21AB0792" w14:textId="558387A6" w:rsidR="001866AA" w:rsidRPr="00E03748" w:rsidRDefault="004E16F7" w:rsidP="001866AA">
            <w:pPr>
              <w:jc w:val="both"/>
              <w:rPr>
                <w:rFonts w:ascii="Times New Roman" w:hAnsi="Times New Roman" w:cs="Times New Roman"/>
                <w:b/>
                <w:i/>
                <w:color w:val="222222"/>
              </w:rPr>
            </w:pPr>
            <w:r w:rsidRPr="004E16F7">
              <w:rPr>
                <w:rFonts w:ascii="Times New Roman" w:hAnsi="Times New Roman" w:cs="Times New Roman"/>
                <w:color w:val="222222"/>
              </w:rPr>
              <w:t>T</w:t>
            </w:r>
            <w:r w:rsidRPr="007A5DA9">
              <w:rPr>
                <w:rFonts w:ascii="Times New Roman" w:hAnsi="Times New Roman" w:cs="Times New Roman"/>
                <w:color w:val="222222"/>
              </w:rPr>
              <w:t>he nutrition sector has tended to focus on wasting more in emergency situations and stunting, from more of a developmental perspective and this has tended to manifest itself in ‘siloed’ policies, plans, programmes and research</w:t>
            </w:r>
            <w:r w:rsidRPr="004E16F7">
              <w:rPr>
                <w:rFonts w:ascii="Times New Roman" w:hAnsi="Times New Roman" w:cs="Times New Roman"/>
                <w:color w:val="222222"/>
              </w:rPr>
              <w:t xml:space="preserve">. </w:t>
            </w:r>
            <w:r w:rsidR="001866AA">
              <w:rPr>
                <w:rFonts w:ascii="Times New Roman" w:hAnsi="Times New Roman" w:cs="Times New Roman"/>
                <w:color w:val="222222"/>
              </w:rPr>
              <w:t>Key questions</w:t>
            </w:r>
            <w:r w:rsidR="00811A8D">
              <w:rPr>
                <w:rFonts w:ascii="Times New Roman" w:hAnsi="Times New Roman" w:cs="Times New Roman"/>
                <w:color w:val="222222"/>
              </w:rPr>
              <w:t xml:space="preserve"> identified and addressed by an ongoing ENN initiative</w:t>
            </w:r>
            <w:r w:rsidR="001866AA">
              <w:rPr>
                <w:rFonts w:ascii="Times New Roman" w:hAnsi="Times New Roman" w:cs="Times New Roman"/>
                <w:color w:val="222222"/>
              </w:rPr>
              <w:t xml:space="preserve"> include:</w:t>
            </w:r>
          </w:p>
          <w:p w14:paraId="394E34A5" w14:textId="77777777" w:rsidR="001866AA" w:rsidRDefault="001866AA" w:rsidP="00E03748">
            <w:pPr>
              <w:pStyle w:val="ListParagraph"/>
              <w:numPr>
                <w:ilvl w:val="0"/>
                <w:numId w:val="12"/>
              </w:numPr>
              <w:spacing w:before="192" w:after="192"/>
              <w:jc w:val="both"/>
              <w:rPr>
                <w:rFonts w:ascii="Times New Roman" w:hAnsi="Times New Roman" w:cs="Times New Roman"/>
                <w:color w:val="222222"/>
              </w:rPr>
            </w:pPr>
            <w:r w:rsidRPr="001866AA">
              <w:rPr>
                <w:rFonts w:ascii="Times New Roman" w:hAnsi="Times New Roman" w:cs="Times New Roman"/>
                <w:color w:val="222222"/>
              </w:rPr>
              <w:t xml:space="preserve">Why are we not intervening given the very high mortality risk associated with being concurrently wasted and stunted? </w:t>
            </w:r>
          </w:p>
          <w:p w14:paraId="08467829" w14:textId="77777777" w:rsidR="001866AA" w:rsidRDefault="001866AA" w:rsidP="00E03748">
            <w:pPr>
              <w:pStyle w:val="ListParagraph"/>
              <w:numPr>
                <w:ilvl w:val="0"/>
                <w:numId w:val="12"/>
              </w:numPr>
              <w:spacing w:before="192" w:after="192"/>
              <w:jc w:val="both"/>
              <w:rPr>
                <w:rFonts w:ascii="Times New Roman" w:hAnsi="Times New Roman" w:cs="Times New Roman"/>
                <w:color w:val="222222"/>
              </w:rPr>
            </w:pPr>
            <w:r w:rsidRPr="001866AA">
              <w:rPr>
                <w:rFonts w:ascii="Times New Roman" w:hAnsi="Times New Roman" w:cs="Times New Roman"/>
                <w:color w:val="222222"/>
              </w:rPr>
              <w:t xml:space="preserve">Are we doing enough to prevent poor infant and child growth where seasonality places added risks </w:t>
            </w:r>
          </w:p>
          <w:p w14:paraId="2F247490" w14:textId="794FF95A" w:rsidR="00EC3776" w:rsidRPr="005A769B" w:rsidRDefault="001866AA" w:rsidP="004E16F7">
            <w:pPr>
              <w:pStyle w:val="ListParagraph"/>
              <w:numPr>
                <w:ilvl w:val="0"/>
                <w:numId w:val="12"/>
              </w:numPr>
              <w:spacing w:before="192" w:after="192"/>
              <w:jc w:val="both"/>
              <w:rPr>
                <w:rFonts w:ascii="Times New Roman" w:hAnsi="Times New Roman" w:cs="Times New Roman"/>
                <w:color w:val="222222"/>
              </w:rPr>
            </w:pPr>
            <w:r>
              <w:rPr>
                <w:rFonts w:ascii="Times New Roman" w:hAnsi="Times New Roman" w:cs="Times New Roman"/>
                <w:color w:val="222222"/>
              </w:rPr>
              <w:t xml:space="preserve">Are we </w:t>
            </w:r>
            <w:r w:rsidRPr="001866AA">
              <w:rPr>
                <w:rFonts w:ascii="Times New Roman" w:hAnsi="Times New Roman" w:cs="Times New Roman"/>
                <w:color w:val="222222"/>
              </w:rPr>
              <w:t>getting better at tackling wasting and stunting in the same programmes? </w:t>
            </w:r>
          </w:p>
          <w:p w14:paraId="0CD1ADAD" w14:textId="42C6F9F2" w:rsidR="001866AA" w:rsidRDefault="00EC3776" w:rsidP="004E16F7">
            <w:pPr>
              <w:jc w:val="both"/>
              <w:rPr>
                <w:rFonts w:ascii="Times New Roman" w:hAnsi="Times New Roman" w:cs="Times New Roman"/>
                <w:b/>
                <w:i/>
                <w:color w:val="222222"/>
              </w:rPr>
            </w:pPr>
            <w:r w:rsidRPr="00EC3776">
              <w:rPr>
                <w:rFonts w:ascii="Times New Roman" w:hAnsi="Times New Roman" w:cs="Times New Roman"/>
                <w:b/>
                <w:i/>
                <w:color w:val="222222"/>
              </w:rPr>
              <w:t xml:space="preserve">KEY </w:t>
            </w:r>
            <w:r w:rsidR="00811A8D">
              <w:rPr>
                <w:rFonts w:ascii="Times New Roman" w:hAnsi="Times New Roman" w:cs="Times New Roman"/>
                <w:b/>
                <w:i/>
                <w:color w:val="222222"/>
              </w:rPr>
              <w:t xml:space="preserve">FINDINGS AND </w:t>
            </w:r>
            <w:r w:rsidRPr="00EC3776">
              <w:rPr>
                <w:rFonts w:ascii="Times New Roman" w:hAnsi="Times New Roman" w:cs="Times New Roman"/>
                <w:b/>
                <w:i/>
                <w:color w:val="222222"/>
              </w:rPr>
              <w:t>MESSAGES:</w:t>
            </w:r>
          </w:p>
          <w:p w14:paraId="55C176EB" w14:textId="77777777" w:rsidR="005A769B" w:rsidRPr="00E03748" w:rsidRDefault="005A769B" w:rsidP="004E16F7">
            <w:pPr>
              <w:jc w:val="both"/>
              <w:rPr>
                <w:rFonts w:ascii="Times New Roman" w:hAnsi="Times New Roman" w:cs="Times New Roman"/>
                <w:b/>
                <w:i/>
                <w:color w:val="222222"/>
              </w:rPr>
            </w:pPr>
          </w:p>
          <w:p w14:paraId="1124D2EB" w14:textId="026330B8" w:rsidR="00EC3776" w:rsidRPr="00E03748" w:rsidRDefault="00EC3776" w:rsidP="00E03748">
            <w:pPr>
              <w:pStyle w:val="ListParagraph"/>
              <w:numPr>
                <w:ilvl w:val="0"/>
                <w:numId w:val="12"/>
              </w:numPr>
              <w:jc w:val="both"/>
              <w:rPr>
                <w:rFonts w:ascii="Times New Roman" w:hAnsi="Times New Roman" w:cs="Times New Roman"/>
                <w:color w:val="222222"/>
              </w:rPr>
            </w:pPr>
            <w:r>
              <w:rPr>
                <w:rFonts w:ascii="Times New Roman" w:hAnsi="Times New Roman" w:cs="Times New Roman"/>
                <w:color w:val="222222"/>
              </w:rPr>
              <w:t xml:space="preserve">Although reporting is weak, </w:t>
            </w:r>
            <w:r>
              <w:rPr>
                <w:rFonts w:ascii="Times New Roman" w:eastAsia="Times New Roman" w:hAnsi="Times New Roman" w:cs="Times New Roman"/>
                <w:color w:val="222222"/>
              </w:rPr>
              <w:t>w</w:t>
            </w:r>
            <w:r w:rsidRPr="00084309">
              <w:rPr>
                <w:rFonts w:ascii="Times New Roman" w:eastAsia="Times New Roman" w:hAnsi="Times New Roman" w:cs="Times New Roman"/>
                <w:color w:val="222222"/>
              </w:rPr>
              <w:t xml:space="preserve">asting and stunting occur together </w:t>
            </w:r>
            <w:r>
              <w:rPr>
                <w:rFonts w:ascii="Times New Roman" w:eastAsia="Times New Roman" w:hAnsi="Times New Roman" w:cs="Times New Roman"/>
                <w:color w:val="222222"/>
              </w:rPr>
              <w:t>in many country contexts and often</w:t>
            </w:r>
            <w:r w:rsidRPr="00084309">
              <w:rPr>
                <w:rFonts w:ascii="Times New Roman" w:eastAsia="Times New Roman" w:hAnsi="Times New Roman" w:cs="Times New Roman"/>
                <w:color w:val="222222"/>
              </w:rPr>
              <w:t xml:space="preserve"> coexist</w:t>
            </w:r>
            <w:r>
              <w:rPr>
                <w:rFonts w:ascii="Times New Roman" w:eastAsia="Times New Roman" w:hAnsi="Times New Roman" w:cs="Times New Roman"/>
                <w:color w:val="222222"/>
              </w:rPr>
              <w:t>s</w:t>
            </w:r>
            <w:r w:rsidRPr="00084309">
              <w:rPr>
                <w:rFonts w:ascii="Times New Roman" w:eastAsia="Times New Roman" w:hAnsi="Times New Roman" w:cs="Times New Roman"/>
                <w:color w:val="222222"/>
              </w:rPr>
              <w:t xml:space="preserve"> in the same child</w:t>
            </w:r>
          </w:p>
          <w:p w14:paraId="511D5044" w14:textId="77777777" w:rsidR="00E03748" w:rsidRDefault="00E03748" w:rsidP="00E03748">
            <w:pPr>
              <w:pStyle w:val="ListParagraph"/>
              <w:numPr>
                <w:ilvl w:val="0"/>
                <w:numId w:val="12"/>
              </w:numPr>
              <w:jc w:val="both"/>
              <w:rPr>
                <w:rFonts w:ascii="Times New Roman" w:eastAsia="Times New Roman" w:hAnsi="Times New Roman" w:cs="Times New Roman"/>
                <w:color w:val="222222"/>
              </w:rPr>
            </w:pPr>
            <w:r w:rsidRPr="001866AA">
              <w:rPr>
                <w:rFonts w:ascii="Times New Roman" w:eastAsia="Times New Roman" w:hAnsi="Times New Roman" w:cs="Times New Roman"/>
                <w:color w:val="222222"/>
              </w:rPr>
              <w:t>A period of being wasted (even just once) is a risk factor for being stunted.</w:t>
            </w:r>
          </w:p>
          <w:p w14:paraId="25ABFE65" w14:textId="77777777" w:rsidR="00EC3776" w:rsidRPr="004F5A58" w:rsidRDefault="00EC3776" w:rsidP="00E03748">
            <w:pPr>
              <w:pStyle w:val="ListParagraph"/>
              <w:numPr>
                <w:ilvl w:val="0"/>
                <w:numId w:val="12"/>
              </w:numPr>
              <w:jc w:val="both"/>
              <w:rPr>
                <w:rFonts w:ascii="Times New Roman" w:hAnsi="Times New Roman" w:cs="Times New Roman"/>
                <w:color w:val="222222"/>
              </w:rPr>
            </w:pPr>
            <w:r w:rsidRPr="00E03748">
              <w:rPr>
                <w:rFonts w:ascii="Times New Roman" w:eastAsia="Times New Roman" w:hAnsi="Times New Roman" w:cs="Times New Roman"/>
                <w:color w:val="222222"/>
              </w:rPr>
              <w:t xml:space="preserve">Being concurrently wasted and stunted may have particular causal pathways and </w:t>
            </w:r>
            <w:r w:rsidRPr="004F5A58">
              <w:rPr>
                <w:rFonts w:ascii="Times New Roman" w:eastAsia="Times New Roman" w:hAnsi="Times New Roman" w:cs="Times New Roman"/>
                <w:color w:val="222222"/>
              </w:rPr>
              <w:t>effects which are not yet fully understood.</w:t>
            </w:r>
          </w:p>
          <w:p w14:paraId="317E6045" w14:textId="5DCEEBF7" w:rsidR="00EC3776" w:rsidRPr="004F5A58" w:rsidRDefault="00EC3776" w:rsidP="00E03748">
            <w:pPr>
              <w:pStyle w:val="ListParagraph"/>
              <w:numPr>
                <w:ilvl w:val="0"/>
                <w:numId w:val="12"/>
              </w:numPr>
              <w:shd w:val="clear" w:color="auto" w:fill="FFFFFF"/>
              <w:rPr>
                <w:rFonts w:ascii="Times New Roman" w:eastAsia="Times New Roman" w:hAnsi="Times New Roman" w:cs="Times New Roman"/>
                <w:color w:val="222222"/>
              </w:rPr>
            </w:pPr>
            <w:r w:rsidRPr="004F5A58">
              <w:rPr>
                <w:rFonts w:ascii="Times New Roman" w:hAnsi="Times New Roman" w:cs="Times New Roman"/>
                <w:color w:val="222222"/>
              </w:rPr>
              <w:t xml:space="preserve">The evidence confirms that wasting and stunting have shared risk factors (as </w:t>
            </w:r>
            <w:r w:rsidRPr="004F5A58">
              <w:rPr>
                <w:rFonts w:ascii="Times New Roman" w:eastAsia="Times New Roman" w:hAnsi="Times New Roman" w:cs="Times New Roman"/>
                <w:color w:val="222222"/>
              </w:rPr>
              <w:t xml:space="preserve">illustrated by the UNICEF conceptual framework) </w:t>
            </w:r>
          </w:p>
          <w:p w14:paraId="265C182C" w14:textId="77777777" w:rsidR="00EC3776" w:rsidRPr="004F5A58" w:rsidRDefault="00EC3776" w:rsidP="00E03748">
            <w:pPr>
              <w:pStyle w:val="ListParagraph"/>
              <w:numPr>
                <w:ilvl w:val="0"/>
                <w:numId w:val="12"/>
              </w:numPr>
              <w:shd w:val="clear" w:color="auto" w:fill="FFFFFF"/>
              <w:rPr>
                <w:rFonts w:ascii="Times New Roman" w:eastAsia="Times New Roman" w:hAnsi="Times New Roman" w:cs="Times New Roman"/>
                <w:color w:val="222222"/>
              </w:rPr>
            </w:pPr>
            <w:r w:rsidRPr="004F5A58">
              <w:rPr>
                <w:rFonts w:ascii="Times New Roman" w:eastAsia="Times New Roman" w:hAnsi="Times New Roman" w:cs="Times New Roman"/>
                <w:color w:val="222222"/>
              </w:rPr>
              <w:t>Both wasting and stunting are associated with increased mortality. Where they coexist in the individual child there is evidence to suggest that the risk multiplies to a similar risk as the severely wasted child.</w:t>
            </w:r>
          </w:p>
          <w:p w14:paraId="0D0B68E3" w14:textId="1BA976DD" w:rsidR="00E03748" w:rsidRPr="00E03748" w:rsidRDefault="00E03748" w:rsidP="00E03748">
            <w:pPr>
              <w:pStyle w:val="ListParagraph"/>
              <w:numPr>
                <w:ilvl w:val="0"/>
                <w:numId w:val="12"/>
              </w:numPr>
              <w:jc w:val="both"/>
              <w:rPr>
                <w:rFonts w:ascii="Times New Roman" w:eastAsia="Times New Roman" w:hAnsi="Times New Roman" w:cs="Times New Roman"/>
                <w:color w:val="222222"/>
              </w:rPr>
            </w:pPr>
            <w:r w:rsidRPr="004F5A58">
              <w:rPr>
                <w:rFonts w:ascii="Times New Roman" w:eastAsia="Times New Roman" w:hAnsi="Times New Roman" w:cs="Times New Roman"/>
                <w:color w:val="222222"/>
              </w:rPr>
              <w:t>Boys are more likely to be concurrently wasted and stunted</w:t>
            </w:r>
            <w:r w:rsidRPr="001866AA">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than girls. This also appears to be the case</w:t>
            </w:r>
            <w:r w:rsidRPr="001866AA">
              <w:rPr>
                <w:rFonts w:ascii="Times New Roman" w:eastAsia="Times New Roman" w:hAnsi="Times New Roman" w:cs="Times New Roman"/>
                <w:color w:val="222222"/>
              </w:rPr>
              <w:t xml:space="preserve"> for wasting and stunting dealt with separately</w:t>
            </w:r>
            <w:r>
              <w:rPr>
                <w:rFonts w:ascii="Times New Roman" w:eastAsia="Times New Roman" w:hAnsi="Times New Roman" w:cs="Times New Roman"/>
                <w:color w:val="222222"/>
              </w:rPr>
              <w:t>.</w:t>
            </w:r>
          </w:p>
          <w:p w14:paraId="57E6D6E0" w14:textId="6E644A5D" w:rsidR="00EC3776" w:rsidRDefault="00EC3776" w:rsidP="00E03748">
            <w:pPr>
              <w:pStyle w:val="ListParagraph"/>
              <w:numPr>
                <w:ilvl w:val="0"/>
                <w:numId w:val="12"/>
              </w:numPr>
              <w:shd w:val="clear" w:color="auto" w:fill="FFFFFF"/>
              <w:rPr>
                <w:rFonts w:ascii="Times New Roman" w:eastAsia="Times New Roman" w:hAnsi="Times New Roman" w:cs="Times New Roman"/>
                <w:color w:val="222222"/>
              </w:rPr>
            </w:pPr>
            <w:r w:rsidRPr="00084309">
              <w:rPr>
                <w:rFonts w:ascii="Times New Roman" w:eastAsia="Times New Roman" w:hAnsi="Times New Roman" w:cs="Times New Roman"/>
                <w:color w:val="222222"/>
              </w:rPr>
              <w:t xml:space="preserve">Evidence suggests that linear growth slows at some point during wasting </w:t>
            </w:r>
            <w:r>
              <w:rPr>
                <w:rFonts w:ascii="Times New Roman" w:eastAsia="Times New Roman" w:hAnsi="Times New Roman" w:cs="Times New Roman"/>
                <w:color w:val="222222"/>
              </w:rPr>
              <w:t xml:space="preserve">and therefore that </w:t>
            </w:r>
            <w:r w:rsidRPr="00084309">
              <w:rPr>
                <w:rFonts w:ascii="Times New Roman" w:eastAsia="Times New Roman" w:hAnsi="Times New Roman" w:cs="Times New Roman"/>
                <w:color w:val="222222"/>
              </w:rPr>
              <w:t>early identification and treatment of wasting may play a role in preventing stunting in particular contexts.</w:t>
            </w:r>
            <w:r>
              <w:rPr>
                <w:rFonts w:ascii="Times New Roman" w:eastAsia="Times New Roman" w:hAnsi="Times New Roman" w:cs="Times New Roman"/>
                <w:color w:val="222222"/>
              </w:rPr>
              <w:t xml:space="preserve"> However, at the same time </w:t>
            </w:r>
            <w:r w:rsidRPr="00084309">
              <w:rPr>
                <w:rFonts w:ascii="Times New Roman" w:eastAsia="Times New Roman" w:hAnsi="Times New Roman" w:cs="Times New Roman"/>
                <w:color w:val="222222"/>
              </w:rPr>
              <w:t xml:space="preserve">preventing </w:t>
            </w:r>
            <w:r>
              <w:rPr>
                <w:rFonts w:ascii="Times New Roman" w:eastAsia="Times New Roman" w:hAnsi="Times New Roman" w:cs="Times New Roman"/>
                <w:color w:val="222222"/>
              </w:rPr>
              <w:t xml:space="preserve">both wasting and </w:t>
            </w:r>
            <w:r w:rsidRPr="00084309">
              <w:rPr>
                <w:rFonts w:ascii="Times New Roman" w:eastAsia="Times New Roman" w:hAnsi="Times New Roman" w:cs="Times New Roman"/>
                <w:color w:val="222222"/>
              </w:rPr>
              <w:t>stunting relies on a range of nutrition specific interventions and nutrition sensitive approaches.   </w:t>
            </w:r>
          </w:p>
          <w:p w14:paraId="3AA6A245" w14:textId="0DACAFC4" w:rsidR="00EC3776" w:rsidRPr="00E03748" w:rsidRDefault="00EC3776" w:rsidP="00E03748">
            <w:pPr>
              <w:pStyle w:val="ListParagraph"/>
              <w:numPr>
                <w:ilvl w:val="0"/>
                <w:numId w:val="12"/>
              </w:numPr>
              <w:jc w:val="both"/>
              <w:rPr>
                <w:rFonts w:ascii="Times New Roman" w:hAnsi="Times New Roman" w:cs="Times New Roman"/>
                <w:color w:val="222222"/>
              </w:rPr>
            </w:pPr>
            <w:r>
              <w:rPr>
                <w:rFonts w:ascii="Times New Roman" w:eastAsia="Times New Roman" w:hAnsi="Times New Roman" w:cs="Times New Roman"/>
                <w:color w:val="222222"/>
              </w:rPr>
              <w:t>W</w:t>
            </w:r>
            <w:r w:rsidRPr="00084309">
              <w:rPr>
                <w:rFonts w:ascii="Times New Roman" w:eastAsia="Times New Roman" w:hAnsi="Times New Roman" w:cs="Times New Roman"/>
                <w:color w:val="222222"/>
              </w:rPr>
              <w:t>hile there are efficacious treatments for wasting, there is little evidence of effective curative interventions for stunting.</w:t>
            </w:r>
          </w:p>
          <w:p w14:paraId="42D38F94" w14:textId="77777777" w:rsidR="00E03748" w:rsidRDefault="00E03748" w:rsidP="00E03748">
            <w:pPr>
              <w:pStyle w:val="ListParagraph"/>
              <w:numPr>
                <w:ilvl w:val="0"/>
                <w:numId w:val="12"/>
              </w:numPr>
              <w:shd w:val="clear" w:color="auto" w:fill="FFFFFF"/>
              <w:rPr>
                <w:rFonts w:ascii="Times New Roman" w:eastAsia="Times New Roman" w:hAnsi="Times New Roman" w:cs="Times New Roman"/>
                <w:color w:val="222222"/>
              </w:rPr>
            </w:pPr>
            <w:r w:rsidRPr="00084309">
              <w:rPr>
                <w:rFonts w:ascii="Times New Roman" w:eastAsia="Times New Roman" w:hAnsi="Times New Roman" w:cs="Times New Roman"/>
                <w:color w:val="222222"/>
              </w:rPr>
              <w:t>The prevailing separation in policy, guidance and resourcing for wasting and stunting limits the impact of current efforts to reduce childhood undernutrition.</w:t>
            </w:r>
          </w:p>
          <w:p w14:paraId="4937FBF4" w14:textId="77777777" w:rsidR="00E03748" w:rsidRDefault="00E03748" w:rsidP="00E03748">
            <w:pPr>
              <w:pStyle w:val="ListParagraph"/>
              <w:numPr>
                <w:ilvl w:val="0"/>
                <w:numId w:val="12"/>
              </w:numPr>
              <w:shd w:val="clear" w:color="auto" w:fill="FFFFFF"/>
              <w:rPr>
                <w:rFonts w:ascii="Times New Roman" w:eastAsia="Times New Roman" w:hAnsi="Times New Roman" w:cs="Times New Roman"/>
                <w:color w:val="222222"/>
              </w:rPr>
            </w:pPr>
            <w:r w:rsidRPr="00084309">
              <w:rPr>
                <w:rFonts w:ascii="Times New Roman" w:eastAsia="Times New Roman" w:hAnsi="Times New Roman" w:cs="Times New Roman"/>
                <w:color w:val="222222"/>
              </w:rPr>
              <w:t xml:space="preserve">Given that wasting and stunting share many common risk factors, clearer policy directives are needed to encourage and facilitate practical links, </w:t>
            </w:r>
            <w:r>
              <w:rPr>
                <w:rFonts w:ascii="Times New Roman" w:eastAsia="Times New Roman" w:hAnsi="Times New Roman" w:cs="Times New Roman"/>
                <w:color w:val="222222"/>
              </w:rPr>
              <w:t xml:space="preserve">for more integrated programming and services </w:t>
            </w:r>
            <w:r w:rsidRPr="00084309">
              <w:rPr>
                <w:rFonts w:ascii="Times New Roman" w:eastAsia="Times New Roman" w:hAnsi="Times New Roman" w:cs="Times New Roman"/>
                <w:color w:val="222222"/>
              </w:rPr>
              <w:t>tackling the different risk factors common to stunting and wasting, rather than deal</w:t>
            </w:r>
            <w:r>
              <w:rPr>
                <w:rFonts w:ascii="Times New Roman" w:eastAsia="Times New Roman" w:hAnsi="Times New Roman" w:cs="Times New Roman"/>
                <w:color w:val="222222"/>
              </w:rPr>
              <w:t>ing</w:t>
            </w:r>
            <w:r w:rsidRPr="00084309">
              <w:rPr>
                <w:rFonts w:ascii="Times New Roman" w:eastAsia="Times New Roman" w:hAnsi="Times New Roman" w:cs="Times New Roman"/>
                <w:color w:val="222222"/>
              </w:rPr>
              <w:t xml:space="preserve"> with each relationship in a linear fashion</w:t>
            </w:r>
          </w:p>
          <w:p w14:paraId="6B005425" w14:textId="5AC7AB2A" w:rsidR="004E16F7" w:rsidRPr="00E03748" w:rsidRDefault="00E03748" w:rsidP="00E03748">
            <w:pPr>
              <w:pStyle w:val="ListParagraph"/>
              <w:numPr>
                <w:ilvl w:val="0"/>
                <w:numId w:val="12"/>
              </w:numPr>
              <w:jc w:val="both"/>
              <w:rPr>
                <w:rFonts w:ascii="Times New Roman" w:hAnsi="Times New Roman" w:cs="Times New Roman"/>
                <w:color w:val="222222"/>
              </w:rPr>
            </w:pPr>
            <w:r w:rsidRPr="00084309">
              <w:rPr>
                <w:rFonts w:ascii="Times New Roman" w:eastAsia="Times New Roman" w:hAnsi="Times New Roman" w:cs="Times New Roman"/>
                <w:color w:val="222222"/>
              </w:rPr>
              <w:t>In view of the seasonal patterns of both wasting and stunting there is a need ensure that donor policies facilitate early preventative interventions aimed at mitigating seasonal peaks</w:t>
            </w:r>
          </w:p>
        </w:tc>
      </w:tr>
    </w:tbl>
    <w:p w14:paraId="57C86FC0" w14:textId="77777777" w:rsidR="005A769B" w:rsidRDefault="005A769B" w:rsidP="00A17425">
      <w:pPr>
        <w:jc w:val="both"/>
        <w:rPr>
          <w:rFonts w:ascii="Times New Roman" w:hAnsi="Times New Roman" w:cs="Times New Roman"/>
          <w:b/>
          <w:i/>
          <w:color w:val="222222"/>
        </w:rPr>
      </w:pPr>
    </w:p>
    <w:p w14:paraId="79FBFF9E" w14:textId="77777777" w:rsidR="005A769B" w:rsidRDefault="005A769B" w:rsidP="00A17425">
      <w:pPr>
        <w:jc w:val="both"/>
        <w:rPr>
          <w:rFonts w:ascii="Times New Roman" w:hAnsi="Times New Roman" w:cs="Times New Roman"/>
          <w:b/>
          <w:i/>
          <w:color w:val="222222"/>
        </w:rPr>
      </w:pPr>
    </w:p>
    <w:p w14:paraId="666F9CA4" w14:textId="77777777" w:rsidR="00811A8D" w:rsidRDefault="00811A8D" w:rsidP="00A17425">
      <w:pPr>
        <w:jc w:val="both"/>
        <w:rPr>
          <w:rFonts w:ascii="Times New Roman" w:hAnsi="Times New Roman" w:cs="Times New Roman"/>
          <w:b/>
          <w:i/>
          <w:color w:val="222222"/>
        </w:rPr>
      </w:pPr>
    </w:p>
    <w:p w14:paraId="06C550D9" w14:textId="77777777" w:rsidR="002906AF" w:rsidRPr="001C212B" w:rsidRDefault="008725E9" w:rsidP="002906AF">
      <w:pPr>
        <w:pStyle w:val="ListParagraph"/>
        <w:numPr>
          <w:ilvl w:val="0"/>
          <w:numId w:val="21"/>
        </w:numPr>
        <w:jc w:val="both"/>
        <w:rPr>
          <w:rFonts w:ascii="Times New Roman" w:hAnsi="Times New Roman" w:cs="Times New Roman"/>
          <w:b/>
          <w:color w:val="222222"/>
          <w:sz w:val="28"/>
          <w:szCs w:val="28"/>
          <w:u w:val="single"/>
        </w:rPr>
      </w:pPr>
      <w:r w:rsidRPr="001C212B">
        <w:rPr>
          <w:rFonts w:ascii="Times New Roman" w:hAnsi="Times New Roman" w:cs="Times New Roman"/>
          <w:b/>
          <w:color w:val="222222"/>
          <w:sz w:val="28"/>
          <w:szCs w:val="28"/>
          <w:u w:val="single"/>
        </w:rPr>
        <w:lastRenderedPageBreak/>
        <w:t>Introduction:</w:t>
      </w:r>
      <w:r w:rsidR="002906AF" w:rsidRPr="001C212B">
        <w:rPr>
          <w:rFonts w:ascii="Times New Roman" w:hAnsi="Times New Roman" w:cs="Times New Roman"/>
          <w:b/>
          <w:color w:val="222222"/>
          <w:sz w:val="28"/>
          <w:szCs w:val="28"/>
          <w:u w:val="single"/>
        </w:rPr>
        <w:t xml:space="preserve"> </w:t>
      </w:r>
    </w:p>
    <w:p w14:paraId="06380CD8" w14:textId="77777777" w:rsidR="002906AF" w:rsidRDefault="002906AF" w:rsidP="002906AF">
      <w:pPr>
        <w:jc w:val="both"/>
        <w:rPr>
          <w:rFonts w:ascii="Times New Roman" w:hAnsi="Times New Roman" w:cs="Times New Roman"/>
          <w:color w:val="222222"/>
        </w:rPr>
      </w:pPr>
    </w:p>
    <w:p w14:paraId="67BCE1CF" w14:textId="5ABB550B" w:rsidR="008725E9" w:rsidRPr="002906AF" w:rsidRDefault="00811A8D" w:rsidP="002906AF">
      <w:pPr>
        <w:jc w:val="both"/>
        <w:rPr>
          <w:rFonts w:ascii="Times New Roman" w:hAnsi="Times New Roman" w:cs="Times New Roman"/>
          <w:b/>
          <w:i/>
          <w:color w:val="222222"/>
        </w:rPr>
      </w:pPr>
      <w:r w:rsidRPr="002906AF">
        <w:rPr>
          <w:rFonts w:ascii="Times New Roman" w:hAnsi="Times New Roman" w:cs="Times New Roman"/>
          <w:color w:val="222222"/>
        </w:rPr>
        <w:t>Globally, w</w:t>
      </w:r>
      <w:r w:rsidR="00773662" w:rsidRPr="002906AF">
        <w:rPr>
          <w:rFonts w:ascii="Times New Roman" w:hAnsi="Times New Roman" w:cs="Times New Roman"/>
          <w:color w:val="222222"/>
        </w:rPr>
        <w:t>asting</w:t>
      </w:r>
      <w:r w:rsidR="00EC3776" w:rsidRPr="002906AF">
        <w:rPr>
          <w:rFonts w:ascii="Times New Roman" w:hAnsi="Times New Roman" w:cs="Times New Roman"/>
          <w:color w:val="222222"/>
        </w:rPr>
        <w:t xml:space="preserve"> (acute malnutrition)</w:t>
      </w:r>
      <w:r w:rsidR="00773662" w:rsidRPr="002906AF">
        <w:rPr>
          <w:rFonts w:ascii="Times New Roman" w:hAnsi="Times New Roman" w:cs="Times New Roman"/>
          <w:color w:val="222222"/>
        </w:rPr>
        <w:t xml:space="preserve"> affects </w:t>
      </w:r>
      <w:r w:rsidR="00EC3776" w:rsidRPr="002906AF">
        <w:rPr>
          <w:rFonts w:ascii="Times New Roman" w:hAnsi="Times New Roman" w:cs="Times New Roman"/>
          <w:color w:val="222222"/>
        </w:rPr>
        <w:t xml:space="preserve">7.7% or </w:t>
      </w:r>
      <w:r w:rsidR="0078418D" w:rsidRPr="002906AF">
        <w:rPr>
          <w:rFonts w:ascii="Times New Roman" w:hAnsi="Times New Roman" w:cs="Times New Roman"/>
          <w:color w:val="222222"/>
        </w:rPr>
        <w:t>52 million</w:t>
      </w:r>
      <w:r w:rsidR="00EC3776" w:rsidRPr="002906AF">
        <w:rPr>
          <w:rFonts w:ascii="Times New Roman" w:hAnsi="Times New Roman" w:cs="Times New Roman"/>
          <w:color w:val="222222"/>
        </w:rPr>
        <w:t xml:space="preserve"> children under five</w:t>
      </w:r>
      <w:r w:rsidR="0078418D" w:rsidRPr="002906AF">
        <w:rPr>
          <w:rFonts w:ascii="Times New Roman" w:hAnsi="Times New Roman" w:cs="Times New Roman"/>
          <w:color w:val="222222"/>
        </w:rPr>
        <w:t xml:space="preserve"> (</w:t>
      </w:r>
      <w:r w:rsidR="00EC3776" w:rsidRPr="002906AF">
        <w:rPr>
          <w:rFonts w:ascii="Times New Roman" w:hAnsi="Times New Roman" w:cs="Times New Roman"/>
          <w:color w:val="222222"/>
        </w:rPr>
        <w:t xml:space="preserve">with </w:t>
      </w:r>
      <w:r w:rsidR="0078418D" w:rsidRPr="002906AF">
        <w:rPr>
          <w:rFonts w:ascii="Times New Roman" w:hAnsi="Times New Roman" w:cs="Times New Roman"/>
          <w:color w:val="222222"/>
        </w:rPr>
        <w:t>17</w:t>
      </w:r>
      <w:r w:rsidR="008725E9" w:rsidRPr="002906AF">
        <w:rPr>
          <w:rFonts w:ascii="Times New Roman" w:hAnsi="Times New Roman" w:cs="Times New Roman"/>
          <w:color w:val="222222"/>
        </w:rPr>
        <w:t xml:space="preserve"> million </w:t>
      </w:r>
      <w:r w:rsidR="00EC3776" w:rsidRPr="002906AF">
        <w:rPr>
          <w:rFonts w:ascii="Times New Roman" w:hAnsi="Times New Roman" w:cs="Times New Roman"/>
          <w:color w:val="222222"/>
        </w:rPr>
        <w:t xml:space="preserve">being </w:t>
      </w:r>
      <w:r w:rsidR="008725E9" w:rsidRPr="002906AF">
        <w:rPr>
          <w:rFonts w:ascii="Times New Roman" w:hAnsi="Times New Roman" w:cs="Times New Roman"/>
          <w:color w:val="222222"/>
        </w:rPr>
        <w:t>severe</w:t>
      </w:r>
      <w:r w:rsidR="00EC3776" w:rsidRPr="002906AF">
        <w:rPr>
          <w:rFonts w:ascii="Times New Roman" w:hAnsi="Times New Roman" w:cs="Times New Roman"/>
          <w:color w:val="222222"/>
        </w:rPr>
        <w:t>ly wasted</w:t>
      </w:r>
      <w:r w:rsidR="008725E9" w:rsidRPr="002906AF">
        <w:rPr>
          <w:rFonts w:ascii="Times New Roman" w:hAnsi="Times New Roman" w:cs="Times New Roman"/>
          <w:color w:val="222222"/>
        </w:rPr>
        <w:t>) and stuntin</w:t>
      </w:r>
      <w:r w:rsidR="0078418D" w:rsidRPr="002906AF">
        <w:rPr>
          <w:rFonts w:ascii="Times New Roman" w:hAnsi="Times New Roman" w:cs="Times New Roman"/>
          <w:color w:val="222222"/>
        </w:rPr>
        <w:t>g</w:t>
      </w:r>
      <w:r w:rsidR="00EC3776" w:rsidRPr="002906AF">
        <w:rPr>
          <w:rFonts w:ascii="Times New Roman" w:hAnsi="Times New Roman" w:cs="Times New Roman"/>
          <w:color w:val="222222"/>
        </w:rPr>
        <w:t xml:space="preserve"> (chronic malnutrition)</w:t>
      </w:r>
      <w:r w:rsidR="0078418D" w:rsidRPr="002906AF">
        <w:rPr>
          <w:rFonts w:ascii="Times New Roman" w:hAnsi="Times New Roman" w:cs="Times New Roman"/>
          <w:color w:val="222222"/>
        </w:rPr>
        <w:t xml:space="preserve"> affects </w:t>
      </w:r>
      <w:r w:rsidR="00EC3776" w:rsidRPr="002906AF">
        <w:rPr>
          <w:rFonts w:ascii="Times New Roman" w:hAnsi="Times New Roman" w:cs="Times New Roman"/>
          <w:color w:val="222222"/>
        </w:rPr>
        <w:t xml:space="preserve">22.9% or </w:t>
      </w:r>
      <w:r w:rsidR="0078418D" w:rsidRPr="002906AF">
        <w:rPr>
          <w:rFonts w:ascii="Times New Roman" w:hAnsi="Times New Roman" w:cs="Times New Roman"/>
          <w:color w:val="222222"/>
        </w:rPr>
        <w:t>155</w:t>
      </w:r>
      <w:r w:rsidR="008725E9" w:rsidRPr="002906AF">
        <w:rPr>
          <w:rFonts w:ascii="Times New Roman" w:hAnsi="Times New Roman" w:cs="Times New Roman"/>
          <w:color w:val="222222"/>
        </w:rPr>
        <w:t xml:space="preserve"> million children under five years old each year.</w:t>
      </w:r>
      <w:r w:rsidR="00E22B5C" w:rsidRPr="00E22B5C">
        <w:rPr>
          <w:rStyle w:val="FootnoteReference"/>
          <w:rFonts w:ascii="Times New Roman" w:hAnsi="Times New Roman" w:cs="Times New Roman"/>
          <w:color w:val="222222"/>
        </w:rPr>
        <w:footnoteReference w:id="1"/>
      </w:r>
      <w:r w:rsidR="00E22B5C" w:rsidRPr="002906AF">
        <w:rPr>
          <w:rFonts w:ascii="Times New Roman" w:hAnsi="Times New Roman" w:cs="Times New Roman"/>
          <w:color w:val="222222"/>
        </w:rPr>
        <w:t xml:space="preserve"> </w:t>
      </w:r>
      <w:r w:rsidR="008725E9" w:rsidRPr="002906AF">
        <w:rPr>
          <w:rFonts w:ascii="Times New Roman" w:hAnsi="Times New Roman" w:cs="Times New Roman"/>
          <w:color w:val="222222"/>
        </w:rPr>
        <w:t xml:space="preserve">Wasting and stunting frequently co-exist in the same population (sometimes in the same child), but they are usually separated in terms of policy, guidance, programming and financing. Both forms of undernutrition share causal factors such as infectious diseases, poor diet and suboptimal infant feeding and caring practices, yet the physiological relationship between them and how interventions for one affect the other are poorly understood. Consequently, there is a need </w:t>
      </w:r>
      <w:r w:rsidR="00084309" w:rsidRPr="002906AF">
        <w:rPr>
          <w:rFonts w:ascii="Times New Roman" w:hAnsi="Times New Roman" w:cs="Times New Roman"/>
          <w:color w:val="222222"/>
        </w:rPr>
        <w:t xml:space="preserve">to better understand </w:t>
      </w:r>
      <w:r w:rsidR="008725E9" w:rsidRPr="002906AF">
        <w:rPr>
          <w:rFonts w:ascii="Times New Roman" w:hAnsi="Times New Roman" w:cs="Times New Roman"/>
          <w:color w:val="222222"/>
        </w:rPr>
        <w:t>how children experience both wasting and stunti</w:t>
      </w:r>
      <w:r w:rsidR="00084309" w:rsidRPr="002906AF">
        <w:rPr>
          <w:rFonts w:ascii="Times New Roman" w:hAnsi="Times New Roman" w:cs="Times New Roman"/>
          <w:color w:val="222222"/>
        </w:rPr>
        <w:t>ng over time, and how to strengthen policies and</w:t>
      </w:r>
      <w:r w:rsidR="008725E9" w:rsidRPr="002906AF">
        <w:rPr>
          <w:rFonts w:ascii="Times New Roman" w:hAnsi="Times New Roman" w:cs="Times New Roman"/>
          <w:color w:val="222222"/>
        </w:rPr>
        <w:t xml:space="preserve"> programming </w:t>
      </w:r>
      <w:r w:rsidR="00084309" w:rsidRPr="002906AF">
        <w:rPr>
          <w:rFonts w:ascii="Times New Roman" w:hAnsi="Times New Roman" w:cs="Times New Roman"/>
          <w:color w:val="222222"/>
        </w:rPr>
        <w:t xml:space="preserve">(especially regarding prevention) </w:t>
      </w:r>
      <w:r w:rsidR="008725E9" w:rsidRPr="002906AF">
        <w:rPr>
          <w:rFonts w:ascii="Times New Roman" w:hAnsi="Times New Roman" w:cs="Times New Roman"/>
          <w:color w:val="222222"/>
        </w:rPr>
        <w:t xml:space="preserve">to achieve impacts for both. </w:t>
      </w:r>
    </w:p>
    <w:p w14:paraId="43118B54" w14:textId="77777777" w:rsidR="008725E9" w:rsidRPr="008725E9" w:rsidRDefault="008725E9" w:rsidP="00A17425">
      <w:pPr>
        <w:jc w:val="both"/>
        <w:rPr>
          <w:rFonts w:ascii="Times New Roman" w:hAnsi="Times New Roman" w:cs="Times New Roman"/>
          <w:color w:val="222222"/>
        </w:rPr>
      </w:pPr>
    </w:p>
    <w:p w14:paraId="40205F2D" w14:textId="33D3194C" w:rsidR="003B36DE" w:rsidRDefault="00A17425" w:rsidP="00A17425">
      <w:pPr>
        <w:jc w:val="both"/>
        <w:rPr>
          <w:rFonts w:ascii="Times New Roman" w:eastAsia="Times New Roman" w:hAnsi="Times New Roman" w:cs="Times New Roman"/>
          <w:color w:val="222222"/>
          <w:shd w:val="clear" w:color="auto" w:fill="FFFFFF"/>
        </w:rPr>
      </w:pPr>
      <w:r w:rsidRPr="008725E9">
        <w:rPr>
          <w:rFonts w:ascii="Times New Roman" w:eastAsia="Times New Roman" w:hAnsi="Times New Roman" w:cs="Times New Roman"/>
          <w:color w:val="222222"/>
          <w:shd w:val="clear" w:color="auto" w:fill="FFFFFF"/>
        </w:rPr>
        <w:t>Providing a</w:t>
      </w:r>
      <w:r w:rsidR="008725E9" w:rsidRPr="008725E9">
        <w:rPr>
          <w:rFonts w:ascii="Times New Roman" w:eastAsia="Times New Roman" w:hAnsi="Times New Roman" w:cs="Times New Roman"/>
          <w:color w:val="222222"/>
          <w:shd w:val="clear" w:color="auto" w:fill="FFFFFF"/>
        </w:rPr>
        <w:t xml:space="preserve"> </w:t>
      </w:r>
      <w:r w:rsidRPr="00BC62D3">
        <w:rPr>
          <w:rFonts w:ascii="Times New Roman" w:eastAsia="Times New Roman" w:hAnsi="Times New Roman" w:cs="Times New Roman"/>
          <w:color w:val="222222"/>
          <w:shd w:val="clear" w:color="auto" w:fill="FFFFFF"/>
        </w:rPr>
        <w:t>narrative review of the available literature on the relationship between wasting and</w:t>
      </w:r>
      <w:r w:rsidRPr="008725E9">
        <w:rPr>
          <w:rFonts w:ascii="Times New Roman" w:eastAsia="Times New Roman" w:hAnsi="Times New Roman" w:cs="Times New Roman"/>
          <w:color w:val="222222"/>
        </w:rPr>
        <w:t xml:space="preserve"> </w:t>
      </w:r>
      <w:r w:rsidR="003B36DE" w:rsidRPr="008725E9">
        <w:rPr>
          <w:rFonts w:ascii="Times New Roman" w:eastAsia="Times New Roman" w:hAnsi="Times New Roman" w:cs="Times New Roman"/>
          <w:color w:val="222222"/>
          <w:shd w:val="clear" w:color="auto" w:fill="FFFFFF"/>
        </w:rPr>
        <w:t>stunting, the 2014 ENN Technical Briefing P</w:t>
      </w:r>
      <w:r w:rsidRPr="008725E9">
        <w:rPr>
          <w:rFonts w:ascii="Times New Roman" w:eastAsia="Times New Roman" w:hAnsi="Times New Roman" w:cs="Times New Roman"/>
          <w:color w:val="222222"/>
          <w:shd w:val="clear" w:color="auto" w:fill="FFFFFF"/>
        </w:rPr>
        <w:t>aper</w:t>
      </w:r>
      <w:r w:rsidR="003B36DE" w:rsidRPr="008725E9">
        <w:rPr>
          <w:rStyle w:val="FootnoteReference"/>
          <w:rFonts w:ascii="Times New Roman" w:eastAsia="Times New Roman" w:hAnsi="Times New Roman" w:cs="Times New Roman"/>
          <w:color w:val="222222"/>
          <w:shd w:val="clear" w:color="auto" w:fill="FFFFFF"/>
        </w:rPr>
        <w:footnoteReference w:id="2"/>
      </w:r>
      <w:r w:rsidRPr="00BC62D3">
        <w:rPr>
          <w:rFonts w:ascii="Times New Roman" w:eastAsia="Times New Roman" w:hAnsi="Times New Roman" w:cs="Times New Roman"/>
          <w:color w:val="222222"/>
          <w:shd w:val="clear" w:color="auto" w:fill="FFFFFF"/>
        </w:rPr>
        <w:t xml:space="preserve"> </w:t>
      </w:r>
      <w:r w:rsidRPr="008725E9">
        <w:rPr>
          <w:rFonts w:ascii="Times New Roman" w:eastAsia="Times New Roman" w:hAnsi="Times New Roman" w:cs="Times New Roman"/>
          <w:color w:val="222222"/>
          <w:shd w:val="clear" w:color="auto" w:fill="FFFFFF"/>
        </w:rPr>
        <w:t>evolved from critical analysis of the policy and programming divide associated with the</w:t>
      </w:r>
      <w:r w:rsidRPr="00BC62D3">
        <w:rPr>
          <w:rFonts w:ascii="Times New Roman" w:eastAsia="Times New Roman" w:hAnsi="Times New Roman" w:cs="Times New Roman"/>
          <w:color w:val="222222"/>
          <w:shd w:val="clear" w:color="auto" w:fill="FFFFFF"/>
        </w:rPr>
        <w:t> wasting and stunting</w:t>
      </w:r>
      <w:r w:rsidRPr="008725E9">
        <w:rPr>
          <w:rFonts w:ascii="Times New Roman" w:eastAsia="Times New Roman" w:hAnsi="Times New Roman" w:cs="Times New Roman"/>
          <w:color w:val="222222"/>
          <w:shd w:val="clear" w:color="auto" w:fill="FFFFFF"/>
        </w:rPr>
        <w:t xml:space="preserve"> distinction and </w:t>
      </w:r>
      <w:r w:rsidR="00B32053" w:rsidRPr="008725E9">
        <w:rPr>
          <w:rFonts w:ascii="Times New Roman" w:eastAsia="Times New Roman" w:hAnsi="Times New Roman" w:cs="Times New Roman"/>
          <w:color w:val="222222"/>
          <w:shd w:val="clear" w:color="auto" w:fill="FFFFFF"/>
        </w:rPr>
        <w:t xml:space="preserve">a growing concern regarding </w:t>
      </w:r>
      <w:r w:rsidRPr="008725E9">
        <w:rPr>
          <w:rFonts w:ascii="Times New Roman" w:eastAsia="Times New Roman" w:hAnsi="Times New Roman" w:cs="Times New Roman"/>
          <w:color w:val="222222"/>
          <w:shd w:val="clear" w:color="auto" w:fill="FFFFFF"/>
        </w:rPr>
        <w:t>the negative implications for nutrition</w:t>
      </w:r>
      <w:r w:rsidR="00B32053" w:rsidRPr="008725E9">
        <w:rPr>
          <w:rStyle w:val="FootnoteReference"/>
          <w:rFonts w:ascii="Times New Roman" w:eastAsia="Times New Roman" w:hAnsi="Times New Roman" w:cs="Times New Roman"/>
          <w:color w:val="222222"/>
          <w:shd w:val="clear" w:color="auto" w:fill="FFFFFF"/>
        </w:rPr>
        <w:footnoteReference w:id="3"/>
      </w:r>
      <w:r w:rsidRPr="008725E9">
        <w:rPr>
          <w:rFonts w:ascii="Times New Roman" w:eastAsia="Times New Roman" w:hAnsi="Times New Roman" w:cs="Times New Roman"/>
          <w:color w:val="222222"/>
          <w:shd w:val="clear" w:color="auto" w:fill="FFFFFF"/>
        </w:rPr>
        <w:t>. The basic message is that a shared understanding of</w:t>
      </w:r>
      <w:r>
        <w:rPr>
          <w:rFonts w:ascii="Times New Roman" w:eastAsia="Times New Roman" w:hAnsi="Times New Roman" w:cs="Times New Roman"/>
          <w:color w:val="222222"/>
          <w:shd w:val="clear" w:color="auto" w:fill="FFFFFF"/>
        </w:rPr>
        <w:t xml:space="preserve"> the links between wasting and stunting opens up opportunitie</w:t>
      </w:r>
      <w:r w:rsidR="00CC6865">
        <w:rPr>
          <w:rFonts w:ascii="Times New Roman" w:eastAsia="Times New Roman" w:hAnsi="Times New Roman" w:cs="Times New Roman"/>
          <w:color w:val="222222"/>
          <w:shd w:val="clear" w:color="auto" w:fill="FFFFFF"/>
        </w:rPr>
        <w:t xml:space="preserve">s (and may indeed be a precondition) for </w:t>
      </w:r>
      <w:r w:rsidR="00CC6865" w:rsidRPr="00084309">
        <w:rPr>
          <w:rFonts w:ascii="Times New Roman" w:eastAsia="Times New Roman" w:hAnsi="Times New Roman" w:cs="Times New Roman"/>
          <w:color w:val="222222"/>
          <w:shd w:val="clear" w:color="auto" w:fill="FFFFFF"/>
        </w:rPr>
        <w:t xml:space="preserve">more effectively tackling and eradicating </w:t>
      </w:r>
      <w:r w:rsidRPr="00084309">
        <w:rPr>
          <w:rFonts w:ascii="Times New Roman" w:eastAsia="Times New Roman" w:hAnsi="Times New Roman" w:cs="Times New Roman"/>
          <w:color w:val="222222"/>
          <w:shd w:val="clear" w:color="auto" w:fill="FFFFFF"/>
        </w:rPr>
        <w:t>undernutrition.</w:t>
      </w:r>
      <w:r w:rsidR="003B36DE" w:rsidRPr="00084309">
        <w:rPr>
          <w:rFonts w:ascii="Times New Roman" w:eastAsia="Times New Roman" w:hAnsi="Times New Roman" w:cs="Times New Roman"/>
          <w:color w:val="222222"/>
          <w:shd w:val="clear" w:color="auto" w:fill="FFFFFF"/>
        </w:rPr>
        <w:t xml:space="preserve"> </w:t>
      </w:r>
    </w:p>
    <w:p w14:paraId="77CBEF13" w14:textId="77777777" w:rsidR="003B36DE" w:rsidRDefault="003B36DE" w:rsidP="00A17425">
      <w:pPr>
        <w:jc w:val="both"/>
        <w:rPr>
          <w:rFonts w:ascii="Times New Roman" w:eastAsia="Times New Roman" w:hAnsi="Times New Roman" w:cs="Times New Roman"/>
          <w:color w:val="222222"/>
          <w:shd w:val="clear" w:color="auto" w:fill="FFFFFF"/>
        </w:rPr>
      </w:pPr>
    </w:p>
    <w:p w14:paraId="49525C8F" w14:textId="77777777" w:rsidR="001C212B" w:rsidRDefault="001C212B" w:rsidP="00A17425">
      <w:pPr>
        <w:jc w:val="both"/>
        <w:rPr>
          <w:rFonts w:ascii="Times New Roman" w:eastAsia="Times New Roman" w:hAnsi="Times New Roman" w:cs="Times New Roman"/>
          <w:color w:val="222222"/>
          <w:shd w:val="clear" w:color="auto" w:fill="FFFFFF"/>
        </w:rPr>
      </w:pPr>
    </w:p>
    <w:p w14:paraId="065859C5" w14:textId="77777777" w:rsidR="002906AF" w:rsidRPr="001C212B" w:rsidRDefault="002906AF" w:rsidP="002906AF">
      <w:pPr>
        <w:pStyle w:val="ListParagraph"/>
        <w:numPr>
          <w:ilvl w:val="0"/>
          <w:numId w:val="21"/>
        </w:numPr>
        <w:jc w:val="both"/>
        <w:rPr>
          <w:rFonts w:ascii="Times New Roman" w:eastAsia="Times New Roman" w:hAnsi="Times New Roman" w:cs="Times New Roman"/>
          <w:b/>
          <w:color w:val="222222"/>
          <w:sz w:val="28"/>
          <w:szCs w:val="28"/>
          <w:u w:val="single"/>
          <w:shd w:val="clear" w:color="auto" w:fill="FFFFFF"/>
        </w:rPr>
      </w:pPr>
      <w:r w:rsidRPr="001C212B">
        <w:rPr>
          <w:rFonts w:ascii="Times New Roman" w:hAnsi="Times New Roman" w:cs="Times New Roman"/>
          <w:b/>
          <w:bCs/>
          <w:color w:val="222222"/>
          <w:sz w:val="28"/>
          <w:szCs w:val="28"/>
          <w:u w:val="single"/>
        </w:rPr>
        <w:t xml:space="preserve">Main Findings of the Technical Briefing Paper </w:t>
      </w:r>
    </w:p>
    <w:p w14:paraId="4FF83B36" w14:textId="77777777" w:rsidR="002906AF" w:rsidRDefault="002906AF" w:rsidP="002906AF">
      <w:pPr>
        <w:jc w:val="both"/>
        <w:rPr>
          <w:rFonts w:ascii="Times New Roman" w:hAnsi="Times New Roman" w:cs="Times New Roman"/>
          <w:bCs/>
          <w:color w:val="222222"/>
        </w:rPr>
      </w:pPr>
    </w:p>
    <w:p w14:paraId="0240690E" w14:textId="06788069" w:rsidR="00A17425" w:rsidRPr="002906AF" w:rsidRDefault="003B36DE" w:rsidP="002906AF">
      <w:pPr>
        <w:jc w:val="both"/>
        <w:rPr>
          <w:rFonts w:ascii="Times New Roman" w:eastAsia="Times New Roman" w:hAnsi="Times New Roman" w:cs="Times New Roman"/>
          <w:color w:val="222222"/>
          <w:shd w:val="clear" w:color="auto" w:fill="FFFFFF"/>
        </w:rPr>
      </w:pPr>
      <w:r w:rsidRPr="002906AF">
        <w:rPr>
          <w:rFonts w:ascii="Times New Roman" w:hAnsi="Times New Roman" w:cs="Times New Roman"/>
          <w:bCs/>
          <w:color w:val="222222"/>
        </w:rPr>
        <w:t xml:space="preserve">The </w:t>
      </w:r>
      <w:r w:rsidR="002906AF" w:rsidRPr="002906AF">
        <w:rPr>
          <w:rFonts w:ascii="Times New Roman" w:hAnsi="Times New Roman" w:cs="Times New Roman"/>
          <w:bCs/>
          <w:color w:val="222222"/>
        </w:rPr>
        <w:t>Main F</w:t>
      </w:r>
      <w:r w:rsidRPr="002906AF">
        <w:rPr>
          <w:rFonts w:ascii="Times New Roman" w:hAnsi="Times New Roman" w:cs="Times New Roman"/>
          <w:bCs/>
          <w:color w:val="222222"/>
        </w:rPr>
        <w:t>indings of the Technical Briefing Paper</w:t>
      </w:r>
      <w:r w:rsidR="00811A8D" w:rsidRPr="002906AF">
        <w:rPr>
          <w:rFonts w:ascii="Times New Roman" w:hAnsi="Times New Roman" w:cs="Times New Roman"/>
          <w:bCs/>
          <w:color w:val="222222"/>
        </w:rPr>
        <w:t xml:space="preserve"> are</w:t>
      </w:r>
      <w:r w:rsidRPr="002906AF">
        <w:rPr>
          <w:rFonts w:ascii="Times New Roman" w:hAnsi="Times New Roman" w:cs="Times New Roman"/>
          <w:bCs/>
          <w:color w:val="222222"/>
        </w:rPr>
        <w:t xml:space="preserve"> summarized on the basis of five headings as follows:</w:t>
      </w:r>
    </w:p>
    <w:p w14:paraId="2936935C" w14:textId="77777777" w:rsidR="00A17425" w:rsidRDefault="00A17425" w:rsidP="009D3093">
      <w:pPr>
        <w:shd w:val="clear" w:color="auto" w:fill="FFFFFF"/>
        <w:rPr>
          <w:rFonts w:ascii="Times New Roman" w:hAnsi="Times New Roman" w:cs="Times New Roman"/>
          <w:b/>
          <w:bCs/>
          <w:color w:val="222222"/>
        </w:rPr>
      </w:pPr>
    </w:p>
    <w:tbl>
      <w:tblPr>
        <w:tblStyle w:val="TableGrid"/>
        <w:tblW w:w="0" w:type="auto"/>
        <w:tblLook w:val="04A0" w:firstRow="1" w:lastRow="0" w:firstColumn="1" w:lastColumn="0" w:noHBand="0" w:noVBand="1"/>
      </w:tblPr>
      <w:tblGrid>
        <w:gridCol w:w="2310"/>
        <w:gridCol w:w="6700"/>
      </w:tblGrid>
      <w:tr w:rsidR="00A17425" w14:paraId="65D3CED3" w14:textId="77777777" w:rsidTr="00CF4EBB">
        <w:tc>
          <w:tcPr>
            <w:tcW w:w="9010" w:type="dxa"/>
            <w:gridSpan w:val="2"/>
          </w:tcPr>
          <w:p w14:paraId="5FB2B4ED" w14:textId="3B0DE7FB" w:rsidR="00A17425" w:rsidRDefault="003B36DE" w:rsidP="003B36DE">
            <w:pPr>
              <w:shd w:val="clear" w:color="auto" w:fill="FFFFFF"/>
              <w:jc w:val="center"/>
              <w:rPr>
                <w:rFonts w:ascii="Times New Roman" w:hAnsi="Times New Roman" w:cs="Times New Roman"/>
                <w:b/>
                <w:bCs/>
                <w:color w:val="222222"/>
              </w:rPr>
            </w:pPr>
            <w:r>
              <w:rPr>
                <w:rFonts w:ascii="Times New Roman" w:hAnsi="Times New Roman" w:cs="Times New Roman"/>
                <w:b/>
                <w:bCs/>
                <w:color w:val="222222"/>
              </w:rPr>
              <w:t>Main Findings on the Links Between Acute and Chronic Malnutrition</w:t>
            </w:r>
          </w:p>
        </w:tc>
      </w:tr>
      <w:tr w:rsidR="00A17425" w14:paraId="12E9682B" w14:textId="77777777" w:rsidTr="00A17425">
        <w:tc>
          <w:tcPr>
            <w:tcW w:w="2310" w:type="dxa"/>
          </w:tcPr>
          <w:p w14:paraId="09B24F9E" w14:textId="41686AAE" w:rsidR="00A17425" w:rsidRDefault="00A17425" w:rsidP="009D3093">
            <w:pPr>
              <w:rPr>
                <w:rFonts w:ascii="Times New Roman" w:hAnsi="Times New Roman" w:cs="Times New Roman"/>
                <w:b/>
                <w:bCs/>
                <w:color w:val="222222"/>
              </w:rPr>
            </w:pPr>
            <w:r>
              <w:rPr>
                <w:rFonts w:ascii="Times New Roman" w:hAnsi="Times New Roman" w:cs="Times New Roman"/>
                <w:b/>
                <w:bCs/>
                <w:color w:val="222222"/>
              </w:rPr>
              <w:t>BURDEN</w:t>
            </w:r>
          </w:p>
        </w:tc>
        <w:tc>
          <w:tcPr>
            <w:tcW w:w="6700" w:type="dxa"/>
          </w:tcPr>
          <w:p w14:paraId="5A505F14" w14:textId="77777777" w:rsidR="00084309" w:rsidRDefault="00A17425" w:rsidP="00084309">
            <w:pPr>
              <w:pStyle w:val="ListParagraph"/>
              <w:numPr>
                <w:ilvl w:val="0"/>
                <w:numId w:val="13"/>
              </w:numPr>
              <w:shd w:val="clear" w:color="auto" w:fill="FFFFFF"/>
              <w:rPr>
                <w:rFonts w:ascii="Times New Roman" w:eastAsia="Times New Roman" w:hAnsi="Times New Roman" w:cs="Times New Roman"/>
                <w:color w:val="222222"/>
              </w:rPr>
            </w:pPr>
            <w:r w:rsidRPr="00084309">
              <w:rPr>
                <w:rFonts w:ascii="Times New Roman" w:eastAsia="Times New Roman" w:hAnsi="Times New Roman" w:cs="Times New Roman"/>
                <w:color w:val="222222"/>
              </w:rPr>
              <w:t xml:space="preserve">Wasting and stunting occur together in many country contexts and may coexist in the same child, though this tends to be unreported. </w:t>
            </w:r>
          </w:p>
          <w:p w14:paraId="6D1FB8E6" w14:textId="77777777" w:rsidR="00084309" w:rsidRDefault="00A17425" w:rsidP="00084309">
            <w:pPr>
              <w:pStyle w:val="ListParagraph"/>
              <w:numPr>
                <w:ilvl w:val="0"/>
                <w:numId w:val="13"/>
              </w:numPr>
              <w:shd w:val="clear" w:color="auto" w:fill="FFFFFF"/>
              <w:rPr>
                <w:rFonts w:ascii="Times New Roman" w:eastAsia="Times New Roman" w:hAnsi="Times New Roman" w:cs="Times New Roman"/>
                <w:color w:val="222222"/>
              </w:rPr>
            </w:pPr>
            <w:r w:rsidRPr="00084309">
              <w:rPr>
                <w:rFonts w:ascii="Times New Roman" w:eastAsia="Times New Roman" w:hAnsi="Times New Roman" w:cs="Times New Roman"/>
                <w:color w:val="222222"/>
              </w:rPr>
              <w:t>Being concurrently wasted and stunted may have particular causal pathways and effects which are not yet fully understood.</w:t>
            </w:r>
          </w:p>
          <w:p w14:paraId="18A52782" w14:textId="5DD65753" w:rsidR="00A17425" w:rsidRPr="00084309" w:rsidRDefault="00A17425" w:rsidP="004E16F7">
            <w:pPr>
              <w:pStyle w:val="ListParagraph"/>
              <w:numPr>
                <w:ilvl w:val="0"/>
                <w:numId w:val="13"/>
              </w:numPr>
              <w:shd w:val="clear" w:color="auto" w:fill="FFFFFF"/>
              <w:rPr>
                <w:rFonts w:ascii="Times New Roman" w:eastAsia="Times New Roman" w:hAnsi="Times New Roman" w:cs="Times New Roman"/>
                <w:color w:val="222222"/>
              </w:rPr>
            </w:pPr>
            <w:r w:rsidRPr="00084309">
              <w:rPr>
                <w:rFonts w:ascii="Times New Roman" w:eastAsia="Times New Roman" w:hAnsi="Times New Roman" w:cs="Times New Roman"/>
                <w:color w:val="222222"/>
              </w:rPr>
              <w:t>Seasonality has a marked impact on both wasting and stunting prevalence. Rates of gain in weight and height often take place at different times of year and seem to be related over time in a consistent way, with height faltering peaking 2-3 months after weight loss/ wasting levels have peaked.</w:t>
            </w:r>
            <w:r w:rsidR="004E16F7" w:rsidRPr="007A5DA9">
              <w:rPr>
                <w:rFonts w:ascii="Arial" w:hAnsi="Arial" w:cs="Arial"/>
                <w:color w:val="222222"/>
                <w:sz w:val="21"/>
                <w:szCs w:val="21"/>
              </w:rPr>
              <w:t xml:space="preserve"> </w:t>
            </w:r>
          </w:p>
        </w:tc>
      </w:tr>
      <w:tr w:rsidR="00A17425" w14:paraId="5EB51340" w14:textId="77777777" w:rsidTr="00A17425">
        <w:tc>
          <w:tcPr>
            <w:tcW w:w="2310" w:type="dxa"/>
          </w:tcPr>
          <w:p w14:paraId="1F4DE71B" w14:textId="5DD16801" w:rsidR="00A17425" w:rsidRDefault="00A17425" w:rsidP="009D3093">
            <w:pPr>
              <w:rPr>
                <w:rFonts w:ascii="Times New Roman" w:hAnsi="Times New Roman" w:cs="Times New Roman"/>
                <w:b/>
                <w:bCs/>
                <w:color w:val="222222"/>
              </w:rPr>
            </w:pPr>
            <w:r>
              <w:rPr>
                <w:rFonts w:ascii="Times New Roman" w:hAnsi="Times New Roman" w:cs="Times New Roman"/>
                <w:b/>
                <w:bCs/>
                <w:color w:val="222222"/>
              </w:rPr>
              <w:t>SHARED RISK FACTORS</w:t>
            </w:r>
          </w:p>
        </w:tc>
        <w:tc>
          <w:tcPr>
            <w:tcW w:w="6700" w:type="dxa"/>
          </w:tcPr>
          <w:p w14:paraId="5255F19F" w14:textId="77777777" w:rsidR="00084309" w:rsidRDefault="00A17425" w:rsidP="00084309">
            <w:pPr>
              <w:pStyle w:val="ListParagraph"/>
              <w:numPr>
                <w:ilvl w:val="0"/>
                <w:numId w:val="12"/>
              </w:numPr>
              <w:shd w:val="clear" w:color="auto" w:fill="FFFFFF"/>
              <w:rPr>
                <w:rFonts w:ascii="Times New Roman" w:eastAsia="Times New Roman" w:hAnsi="Times New Roman" w:cs="Times New Roman"/>
                <w:color w:val="222222"/>
              </w:rPr>
            </w:pPr>
            <w:r w:rsidRPr="00084309">
              <w:rPr>
                <w:rFonts w:ascii="Times New Roman" w:eastAsia="Times New Roman" w:hAnsi="Times New Roman" w:cs="Times New Roman"/>
                <w:color w:val="222222"/>
              </w:rPr>
              <w:t>Wasting and stunting share mainly common risk factors (dietary inadequacy, infectious disease</w:t>
            </w:r>
            <w:r w:rsidR="002135B1" w:rsidRPr="00084309">
              <w:rPr>
                <w:rFonts w:ascii="Times New Roman" w:eastAsia="Times New Roman" w:hAnsi="Times New Roman" w:cs="Times New Roman"/>
                <w:color w:val="222222"/>
              </w:rPr>
              <w:t>s</w:t>
            </w:r>
            <w:r w:rsidRPr="00084309">
              <w:rPr>
                <w:rFonts w:ascii="Times New Roman" w:eastAsia="Times New Roman" w:hAnsi="Times New Roman" w:cs="Times New Roman"/>
                <w:color w:val="222222"/>
              </w:rPr>
              <w:t xml:space="preserve"> in childh</w:t>
            </w:r>
            <w:r w:rsidR="00A867AD" w:rsidRPr="00084309">
              <w:rPr>
                <w:rFonts w:ascii="Times New Roman" w:eastAsia="Times New Roman" w:hAnsi="Times New Roman" w:cs="Times New Roman"/>
                <w:color w:val="222222"/>
              </w:rPr>
              <w:t>ood, diarrhoea, maternal nutrition</w:t>
            </w:r>
            <w:r w:rsidR="002135B1" w:rsidRPr="00084309">
              <w:rPr>
                <w:rFonts w:ascii="Times New Roman" w:eastAsia="Times New Roman" w:hAnsi="Times New Roman" w:cs="Times New Roman"/>
                <w:color w:val="222222"/>
              </w:rPr>
              <w:t xml:space="preserve"> etc. as illustrated by the UNICEF conceptual framework) and evidenced by the literature which fails to identify risk factors for wasting which do not also apply to stunting.</w:t>
            </w:r>
          </w:p>
          <w:p w14:paraId="1551BF94" w14:textId="77777777" w:rsidR="00084309" w:rsidRDefault="002135B1" w:rsidP="00084309">
            <w:pPr>
              <w:pStyle w:val="ListParagraph"/>
              <w:numPr>
                <w:ilvl w:val="0"/>
                <w:numId w:val="12"/>
              </w:numPr>
              <w:shd w:val="clear" w:color="auto" w:fill="FFFFFF"/>
              <w:rPr>
                <w:rFonts w:ascii="Times New Roman" w:eastAsia="Times New Roman" w:hAnsi="Times New Roman" w:cs="Times New Roman"/>
                <w:color w:val="222222"/>
              </w:rPr>
            </w:pPr>
            <w:r w:rsidRPr="00084309">
              <w:rPr>
                <w:rFonts w:ascii="Times New Roman" w:eastAsia="Times New Roman" w:hAnsi="Times New Roman" w:cs="Times New Roman"/>
                <w:color w:val="222222"/>
              </w:rPr>
              <w:t>There is evidence to suggest that inflammation and gut health may also play an important role in both wasting and stunting (either via the effects of chronic inflammation, malabsorption and/or appetite effects).</w:t>
            </w:r>
          </w:p>
          <w:p w14:paraId="051605B7" w14:textId="77777777" w:rsidR="00084309" w:rsidRDefault="00A17425" w:rsidP="00084309">
            <w:pPr>
              <w:pStyle w:val="ListParagraph"/>
              <w:numPr>
                <w:ilvl w:val="0"/>
                <w:numId w:val="12"/>
              </w:numPr>
              <w:shd w:val="clear" w:color="auto" w:fill="FFFFFF"/>
              <w:rPr>
                <w:rFonts w:ascii="Times New Roman" w:eastAsia="Times New Roman" w:hAnsi="Times New Roman" w:cs="Times New Roman"/>
                <w:color w:val="222222"/>
              </w:rPr>
            </w:pPr>
            <w:r w:rsidRPr="00084309">
              <w:rPr>
                <w:rFonts w:ascii="Times New Roman" w:eastAsia="Times New Roman" w:hAnsi="Times New Roman" w:cs="Times New Roman"/>
                <w:color w:val="222222"/>
              </w:rPr>
              <w:t>Only Environmental Enteric Dysfunction and zinc inadequacy were identified in the literature as risk factors only for stunting.</w:t>
            </w:r>
          </w:p>
          <w:p w14:paraId="0AA7B41B" w14:textId="38E5F959" w:rsidR="00A17425" w:rsidRPr="00084309" w:rsidRDefault="00A17425" w:rsidP="00084309">
            <w:pPr>
              <w:pStyle w:val="ListParagraph"/>
              <w:numPr>
                <w:ilvl w:val="0"/>
                <w:numId w:val="12"/>
              </w:numPr>
              <w:shd w:val="clear" w:color="auto" w:fill="FFFFFF"/>
              <w:rPr>
                <w:rFonts w:ascii="Times New Roman" w:eastAsia="Times New Roman" w:hAnsi="Times New Roman" w:cs="Times New Roman"/>
                <w:color w:val="222222"/>
              </w:rPr>
            </w:pPr>
            <w:r w:rsidRPr="00084309">
              <w:rPr>
                <w:rFonts w:ascii="Times New Roman" w:eastAsia="Times New Roman" w:hAnsi="Times New Roman" w:cs="Times New Roman"/>
                <w:color w:val="222222"/>
              </w:rPr>
              <w:t>There is good evidence that in-utero conditions and foetal growth contribute significantly to stunting at birth and during infancy; and there is emerging evidence of contributions to wasting.</w:t>
            </w:r>
          </w:p>
        </w:tc>
      </w:tr>
      <w:tr w:rsidR="00A17425" w14:paraId="72A7E8A2" w14:textId="77777777" w:rsidTr="00A17425">
        <w:tc>
          <w:tcPr>
            <w:tcW w:w="2310" w:type="dxa"/>
          </w:tcPr>
          <w:p w14:paraId="63B054DE" w14:textId="458FE38D" w:rsidR="00A17425" w:rsidRDefault="00A17425" w:rsidP="009D3093">
            <w:pPr>
              <w:rPr>
                <w:rFonts w:ascii="Times New Roman" w:hAnsi="Times New Roman" w:cs="Times New Roman"/>
                <w:b/>
                <w:bCs/>
                <w:color w:val="222222"/>
              </w:rPr>
            </w:pPr>
            <w:r>
              <w:rPr>
                <w:rFonts w:ascii="Times New Roman" w:hAnsi="Times New Roman" w:cs="Times New Roman"/>
                <w:b/>
                <w:bCs/>
                <w:color w:val="222222"/>
              </w:rPr>
              <w:t>SHARED EFFECTS</w:t>
            </w:r>
          </w:p>
        </w:tc>
        <w:tc>
          <w:tcPr>
            <w:tcW w:w="6700" w:type="dxa"/>
          </w:tcPr>
          <w:p w14:paraId="01569553" w14:textId="77777777" w:rsidR="00084309" w:rsidRDefault="00A17425" w:rsidP="00084309">
            <w:pPr>
              <w:pStyle w:val="ListParagraph"/>
              <w:numPr>
                <w:ilvl w:val="0"/>
                <w:numId w:val="12"/>
              </w:numPr>
              <w:shd w:val="clear" w:color="auto" w:fill="FFFFFF"/>
              <w:rPr>
                <w:rFonts w:ascii="Times New Roman" w:eastAsia="Times New Roman" w:hAnsi="Times New Roman" w:cs="Times New Roman"/>
                <w:color w:val="222222"/>
              </w:rPr>
            </w:pPr>
            <w:r w:rsidRPr="00084309">
              <w:rPr>
                <w:rFonts w:ascii="Times New Roman" w:eastAsia="Times New Roman" w:hAnsi="Times New Roman" w:cs="Times New Roman"/>
                <w:color w:val="222222"/>
              </w:rPr>
              <w:t>Both wasting and stunting are associated with increased mortality. Where they coexist in the individual child there is evidence to suggest that the risk multiplies to a similar risk as the severely wasted child.</w:t>
            </w:r>
          </w:p>
          <w:p w14:paraId="0B8291DE" w14:textId="77777777" w:rsidR="00084309" w:rsidRDefault="00A17425" w:rsidP="00084309">
            <w:pPr>
              <w:pStyle w:val="ListParagraph"/>
              <w:numPr>
                <w:ilvl w:val="0"/>
                <w:numId w:val="12"/>
              </w:numPr>
              <w:shd w:val="clear" w:color="auto" w:fill="FFFFFF"/>
              <w:rPr>
                <w:rFonts w:ascii="Times New Roman" w:eastAsia="Times New Roman" w:hAnsi="Times New Roman" w:cs="Times New Roman"/>
                <w:color w:val="222222"/>
              </w:rPr>
            </w:pPr>
            <w:r w:rsidRPr="00084309">
              <w:rPr>
                <w:rFonts w:ascii="Times New Roman" w:eastAsia="Times New Roman" w:hAnsi="Times New Roman" w:cs="Times New Roman"/>
                <w:color w:val="222222"/>
              </w:rPr>
              <w:t>Low muscle mass in both wasting and stunting and the link between muscle mass and survival during infection, suggest the risk of death associated with both conditions may be mediated through decreased muscle mass</w:t>
            </w:r>
            <w:r w:rsidR="00A867AD" w:rsidRPr="00084309">
              <w:rPr>
                <w:rFonts w:ascii="Times New Roman" w:eastAsia="Times New Roman" w:hAnsi="Times New Roman" w:cs="Times New Roman"/>
                <w:color w:val="222222"/>
              </w:rPr>
              <w:t xml:space="preserve"> (requires further investigation)</w:t>
            </w:r>
            <w:r w:rsidRPr="00084309">
              <w:rPr>
                <w:rFonts w:ascii="Times New Roman" w:eastAsia="Times New Roman" w:hAnsi="Times New Roman" w:cs="Times New Roman"/>
                <w:color w:val="222222"/>
              </w:rPr>
              <w:t xml:space="preserve">. </w:t>
            </w:r>
          </w:p>
          <w:p w14:paraId="7EB4A196" w14:textId="2B22B9F5" w:rsidR="00A17425" w:rsidRPr="00084309" w:rsidRDefault="00A17425" w:rsidP="00084309">
            <w:pPr>
              <w:pStyle w:val="ListParagraph"/>
              <w:numPr>
                <w:ilvl w:val="0"/>
                <w:numId w:val="12"/>
              </w:numPr>
              <w:shd w:val="clear" w:color="auto" w:fill="FFFFFF"/>
              <w:rPr>
                <w:rFonts w:ascii="Times New Roman" w:eastAsia="Times New Roman" w:hAnsi="Times New Roman" w:cs="Times New Roman"/>
                <w:color w:val="222222"/>
              </w:rPr>
            </w:pPr>
            <w:r w:rsidRPr="00084309">
              <w:rPr>
                <w:rFonts w:ascii="Times New Roman" w:eastAsia="Times New Roman" w:hAnsi="Times New Roman" w:cs="Times New Roman"/>
                <w:color w:val="222222"/>
              </w:rPr>
              <w:t>Stunting is associated with child mental (cognitive) and psychomotor development. Evidence for wasting being associated with mental (cognitive) and psychomotor development is less strong.</w:t>
            </w:r>
          </w:p>
        </w:tc>
      </w:tr>
      <w:tr w:rsidR="00A17425" w14:paraId="1252DCFA" w14:textId="77777777" w:rsidTr="00A17425">
        <w:tc>
          <w:tcPr>
            <w:tcW w:w="2310" w:type="dxa"/>
          </w:tcPr>
          <w:p w14:paraId="2E94737B" w14:textId="3C19755C" w:rsidR="00A17425" w:rsidRDefault="00A17425" w:rsidP="009D3093">
            <w:pPr>
              <w:rPr>
                <w:rFonts w:ascii="Times New Roman" w:hAnsi="Times New Roman" w:cs="Times New Roman"/>
                <w:b/>
                <w:bCs/>
                <w:color w:val="222222"/>
              </w:rPr>
            </w:pPr>
            <w:r>
              <w:rPr>
                <w:rFonts w:ascii="Times New Roman" w:hAnsi="Times New Roman" w:cs="Times New Roman"/>
                <w:b/>
                <w:bCs/>
                <w:color w:val="222222"/>
              </w:rPr>
              <w:t>DIRECT RELATIONSHIPS</w:t>
            </w:r>
          </w:p>
        </w:tc>
        <w:tc>
          <w:tcPr>
            <w:tcW w:w="6700" w:type="dxa"/>
          </w:tcPr>
          <w:p w14:paraId="7B5F96A7" w14:textId="77777777" w:rsidR="00084309" w:rsidRDefault="00A17425" w:rsidP="00084309">
            <w:pPr>
              <w:pStyle w:val="ListParagraph"/>
              <w:numPr>
                <w:ilvl w:val="0"/>
                <w:numId w:val="14"/>
              </w:numPr>
              <w:shd w:val="clear" w:color="auto" w:fill="FFFFFF"/>
              <w:rPr>
                <w:rFonts w:ascii="Times New Roman" w:eastAsia="Times New Roman" w:hAnsi="Times New Roman" w:cs="Times New Roman"/>
                <w:color w:val="222222"/>
              </w:rPr>
            </w:pPr>
            <w:r w:rsidRPr="00084309">
              <w:rPr>
                <w:rFonts w:ascii="Times New Roman" w:eastAsia="Times New Roman" w:hAnsi="Times New Roman" w:cs="Times New Roman"/>
                <w:color w:val="222222"/>
              </w:rPr>
              <w:t>Evidence suggests that linear growth slows at some point during wasting and that episodes of wasting in the previous three months (approximately) have an impact on attained length-for-age. Therefore, early identification and treatment of wasting may play a role in preventing stunting in particular contexts.</w:t>
            </w:r>
          </w:p>
          <w:p w14:paraId="101F0D6E" w14:textId="1D237AC2" w:rsidR="00A17425" w:rsidRPr="00084309" w:rsidRDefault="00A17425" w:rsidP="00084309">
            <w:pPr>
              <w:pStyle w:val="ListParagraph"/>
              <w:numPr>
                <w:ilvl w:val="0"/>
                <w:numId w:val="14"/>
              </w:numPr>
              <w:shd w:val="clear" w:color="auto" w:fill="FFFFFF"/>
              <w:rPr>
                <w:rFonts w:ascii="Times New Roman" w:eastAsia="Times New Roman" w:hAnsi="Times New Roman" w:cs="Times New Roman"/>
                <w:color w:val="222222"/>
              </w:rPr>
            </w:pPr>
            <w:r w:rsidRPr="00084309">
              <w:rPr>
                <w:rFonts w:ascii="Times New Roman" w:eastAsia="Times New Roman" w:hAnsi="Times New Roman" w:cs="Times New Roman"/>
                <w:color w:val="222222"/>
              </w:rPr>
              <w:t>Evidence that wasting treatment promotes linear growth of individual children is mixed. There are indications that optimising ready to use therapeutic food (RUTF) to include specific nutrients required for linear growth and development could have positive effects. However, preventing stunting relies on a range of nutrition specific interventions and nutrition sensitive approaches.   </w:t>
            </w:r>
          </w:p>
        </w:tc>
      </w:tr>
      <w:tr w:rsidR="00A17425" w14:paraId="531756C3" w14:textId="77777777" w:rsidTr="00A17425">
        <w:tc>
          <w:tcPr>
            <w:tcW w:w="2310" w:type="dxa"/>
          </w:tcPr>
          <w:p w14:paraId="0FF41626" w14:textId="695F000A" w:rsidR="00A17425" w:rsidRDefault="002135B1" w:rsidP="009D3093">
            <w:pPr>
              <w:rPr>
                <w:rFonts w:ascii="Times New Roman" w:hAnsi="Times New Roman" w:cs="Times New Roman"/>
                <w:b/>
                <w:bCs/>
                <w:color w:val="222222"/>
              </w:rPr>
            </w:pPr>
            <w:r>
              <w:rPr>
                <w:rFonts w:ascii="Times New Roman" w:hAnsi="Times New Roman" w:cs="Times New Roman"/>
                <w:b/>
                <w:bCs/>
                <w:color w:val="222222"/>
              </w:rPr>
              <w:t xml:space="preserve">POLICY AND </w:t>
            </w:r>
            <w:r w:rsidR="00A17425">
              <w:rPr>
                <w:rFonts w:ascii="Times New Roman" w:hAnsi="Times New Roman" w:cs="Times New Roman"/>
                <w:b/>
                <w:bCs/>
                <w:color w:val="222222"/>
              </w:rPr>
              <w:t>PROGRAMMATIC APPROACHES</w:t>
            </w:r>
          </w:p>
        </w:tc>
        <w:tc>
          <w:tcPr>
            <w:tcW w:w="6700" w:type="dxa"/>
          </w:tcPr>
          <w:p w14:paraId="6E1760E2" w14:textId="77777777" w:rsidR="00084309" w:rsidRDefault="00A17425" w:rsidP="00084309">
            <w:pPr>
              <w:pStyle w:val="ListParagraph"/>
              <w:numPr>
                <w:ilvl w:val="0"/>
                <w:numId w:val="15"/>
              </w:numPr>
              <w:shd w:val="clear" w:color="auto" w:fill="FFFFFF"/>
              <w:rPr>
                <w:rFonts w:ascii="Times New Roman" w:eastAsia="Times New Roman" w:hAnsi="Times New Roman" w:cs="Times New Roman"/>
                <w:color w:val="222222"/>
              </w:rPr>
            </w:pPr>
            <w:r w:rsidRPr="00084309">
              <w:rPr>
                <w:rFonts w:ascii="Times New Roman" w:eastAsia="Times New Roman" w:hAnsi="Times New Roman" w:cs="Times New Roman"/>
                <w:color w:val="222222"/>
              </w:rPr>
              <w:t>There is some encouraging operational research suggesting that both wasting and stunting (to a lesser extent) may be reduced with similar preventative food based approaches.</w:t>
            </w:r>
          </w:p>
          <w:p w14:paraId="5843FAB8" w14:textId="77777777" w:rsidR="00084309" w:rsidRDefault="002135B1" w:rsidP="00084309">
            <w:pPr>
              <w:pStyle w:val="ListParagraph"/>
              <w:numPr>
                <w:ilvl w:val="0"/>
                <w:numId w:val="15"/>
              </w:numPr>
              <w:shd w:val="clear" w:color="auto" w:fill="FFFFFF"/>
              <w:rPr>
                <w:rFonts w:ascii="Times New Roman" w:eastAsia="Times New Roman" w:hAnsi="Times New Roman" w:cs="Times New Roman"/>
                <w:color w:val="222222"/>
              </w:rPr>
            </w:pPr>
            <w:r w:rsidRPr="00084309">
              <w:rPr>
                <w:rFonts w:ascii="Times New Roman" w:eastAsia="Times New Roman" w:hAnsi="Times New Roman" w:cs="Times New Roman"/>
                <w:color w:val="222222"/>
              </w:rPr>
              <w:t>However, while there are efficacious treatments for wasting, there is little evidence of effective curative interventions for stunting.</w:t>
            </w:r>
          </w:p>
          <w:p w14:paraId="51A6294A" w14:textId="77777777" w:rsidR="00084309" w:rsidRDefault="002135B1" w:rsidP="00084309">
            <w:pPr>
              <w:pStyle w:val="ListParagraph"/>
              <w:numPr>
                <w:ilvl w:val="0"/>
                <w:numId w:val="15"/>
              </w:numPr>
              <w:shd w:val="clear" w:color="auto" w:fill="FFFFFF"/>
              <w:rPr>
                <w:rFonts w:ascii="Times New Roman" w:eastAsia="Times New Roman" w:hAnsi="Times New Roman" w:cs="Times New Roman"/>
                <w:color w:val="222222"/>
              </w:rPr>
            </w:pPr>
            <w:r w:rsidRPr="00084309">
              <w:rPr>
                <w:rFonts w:ascii="Times New Roman" w:eastAsia="Times New Roman" w:hAnsi="Times New Roman" w:cs="Times New Roman"/>
                <w:color w:val="222222"/>
              </w:rPr>
              <w:t>The prevailing separation in policy, guidance and resourcing for wasting and stunting limits the impact of current efforts to reduce childhood undernutrition.</w:t>
            </w:r>
          </w:p>
          <w:p w14:paraId="63973141" w14:textId="04F709C5" w:rsidR="00084309" w:rsidRDefault="002135B1" w:rsidP="00084309">
            <w:pPr>
              <w:pStyle w:val="ListParagraph"/>
              <w:numPr>
                <w:ilvl w:val="0"/>
                <w:numId w:val="15"/>
              </w:numPr>
              <w:shd w:val="clear" w:color="auto" w:fill="FFFFFF"/>
              <w:rPr>
                <w:rFonts w:ascii="Times New Roman" w:eastAsia="Times New Roman" w:hAnsi="Times New Roman" w:cs="Times New Roman"/>
                <w:color w:val="222222"/>
              </w:rPr>
            </w:pPr>
            <w:r w:rsidRPr="00084309">
              <w:rPr>
                <w:rFonts w:ascii="Times New Roman" w:eastAsia="Times New Roman" w:hAnsi="Times New Roman" w:cs="Times New Roman"/>
                <w:color w:val="222222"/>
              </w:rPr>
              <w:t xml:space="preserve">Given that wasting and stunting share many common risk factors, clearer policy directives are needed to encourage and facilitate practical links, </w:t>
            </w:r>
            <w:r w:rsidR="00E03748">
              <w:rPr>
                <w:rFonts w:ascii="Times New Roman" w:eastAsia="Times New Roman" w:hAnsi="Times New Roman" w:cs="Times New Roman"/>
                <w:color w:val="222222"/>
              </w:rPr>
              <w:t xml:space="preserve">for more integrated programming and services </w:t>
            </w:r>
            <w:r w:rsidR="00E03748" w:rsidRPr="00084309">
              <w:rPr>
                <w:rFonts w:ascii="Times New Roman" w:eastAsia="Times New Roman" w:hAnsi="Times New Roman" w:cs="Times New Roman"/>
                <w:color w:val="222222"/>
              </w:rPr>
              <w:t>tackling the different risk factors common to stunting and wasting, rather than deal</w:t>
            </w:r>
            <w:r w:rsidR="00E03748">
              <w:rPr>
                <w:rFonts w:ascii="Times New Roman" w:eastAsia="Times New Roman" w:hAnsi="Times New Roman" w:cs="Times New Roman"/>
                <w:color w:val="222222"/>
              </w:rPr>
              <w:t>ing</w:t>
            </w:r>
            <w:r w:rsidR="00E03748" w:rsidRPr="00084309">
              <w:rPr>
                <w:rFonts w:ascii="Times New Roman" w:eastAsia="Times New Roman" w:hAnsi="Times New Roman" w:cs="Times New Roman"/>
                <w:color w:val="222222"/>
              </w:rPr>
              <w:t xml:space="preserve"> with each relationship in a linear fashion</w:t>
            </w:r>
          </w:p>
          <w:p w14:paraId="2202738B" w14:textId="755FC25A" w:rsidR="002135B1" w:rsidRPr="00E03748" w:rsidRDefault="002135B1" w:rsidP="00E03748">
            <w:pPr>
              <w:pStyle w:val="ListParagraph"/>
              <w:numPr>
                <w:ilvl w:val="0"/>
                <w:numId w:val="15"/>
              </w:numPr>
              <w:shd w:val="clear" w:color="auto" w:fill="FFFFFF"/>
              <w:rPr>
                <w:rFonts w:ascii="Times New Roman" w:eastAsia="Times New Roman" w:hAnsi="Times New Roman" w:cs="Times New Roman"/>
                <w:color w:val="222222"/>
              </w:rPr>
            </w:pPr>
            <w:r w:rsidRPr="00084309">
              <w:rPr>
                <w:rFonts w:ascii="Times New Roman" w:eastAsia="Times New Roman" w:hAnsi="Times New Roman" w:cs="Times New Roman"/>
                <w:color w:val="222222"/>
              </w:rPr>
              <w:t>In view of the seasonal patterns of both wasting and stunting there is a need ensure that donor policies facilitate early preventative interventions aimed at mitigating seasonal peaks</w:t>
            </w:r>
          </w:p>
        </w:tc>
      </w:tr>
    </w:tbl>
    <w:p w14:paraId="3B4CBB37" w14:textId="77777777" w:rsidR="00A17425" w:rsidRDefault="00A17425" w:rsidP="009D3093">
      <w:pPr>
        <w:shd w:val="clear" w:color="auto" w:fill="FFFFFF"/>
        <w:rPr>
          <w:rFonts w:ascii="Times New Roman" w:hAnsi="Times New Roman" w:cs="Times New Roman"/>
          <w:b/>
          <w:bCs/>
          <w:color w:val="222222"/>
        </w:rPr>
      </w:pPr>
    </w:p>
    <w:p w14:paraId="4353A932" w14:textId="6E21A014" w:rsidR="001866AA" w:rsidRPr="001866AA" w:rsidRDefault="002906AF" w:rsidP="009D3093">
      <w:pPr>
        <w:shd w:val="clear" w:color="auto" w:fill="FFFFFF"/>
        <w:rPr>
          <w:rFonts w:ascii="Times New Roman" w:hAnsi="Times New Roman" w:cs="Times New Roman"/>
          <w:bCs/>
          <w:color w:val="222222"/>
        </w:rPr>
      </w:pPr>
      <w:r>
        <w:rPr>
          <w:rFonts w:ascii="Times New Roman" w:hAnsi="Times New Roman" w:cs="Times New Roman"/>
          <w:bCs/>
          <w:color w:val="222222"/>
        </w:rPr>
        <w:t>Furthermore, a</w:t>
      </w:r>
      <w:r w:rsidR="005A769B">
        <w:rPr>
          <w:rFonts w:ascii="Times New Roman" w:hAnsi="Times New Roman" w:cs="Times New Roman"/>
          <w:bCs/>
          <w:color w:val="222222"/>
        </w:rPr>
        <w:t xml:space="preserve">n overview of </w:t>
      </w:r>
      <w:r w:rsidR="00811A8D">
        <w:rPr>
          <w:rFonts w:ascii="Times New Roman" w:hAnsi="Times New Roman" w:cs="Times New Roman"/>
          <w:bCs/>
          <w:color w:val="222222"/>
        </w:rPr>
        <w:t xml:space="preserve">follow up </w:t>
      </w:r>
      <w:r w:rsidR="005A769B">
        <w:rPr>
          <w:rFonts w:ascii="Times New Roman" w:hAnsi="Times New Roman" w:cs="Times New Roman"/>
          <w:bCs/>
          <w:color w:val="222222"/>
        </w:rPr>
        <w:t>research priorities identified by WAST-TIG is attached as</w:t>
      </w:r>
      <w:r w:rsidR="00811A8D">
        <w:rPr>
          <w:rFonts w:ascii="Times New Roman" w:hAnsi="Times New Roman" w:cs="Times New Roman"/>
          <w:bCs/>
          <w:color w:val="222222"/>
        </w:rPr>
        <w:t xml:space="preserve"> Annex One</w:t>
      </w:r>
      <w:r w:rsidR="005A769B">
        <w:rPr>
          <w:rFonts w:ascii="Times New Roman" w:hAnsi="Times New Roman" w:cs="Times New Roman"/>
          <w:bCs/>
          <w:color w:val="222222"/>
        </w:rPr>
        <w:t xml:space="preserve">. The latest </w:t>
      </w:r>
      <w:r w:rsidR="001866AA" w:rsidRPr="001866AA">
        <w:rPr>
          <w:rFonts w:ascii="Times New Roman" w:hAnsi="Times New Roman" w:cs="Times New Roman"/>
          <w:bCs/>
          <w:color w:val="222222"/>
        </w:rPr>
        <w:t xml:space="preserve">update and presentation of </w:t>
      </w:r>
      <w:r w:rsidR="0028608C">
        <w:rPr>
          <w:rFonts w:ascii="Times New Roman" w:hAnsi="Times New Roman" w:cs="Times New Roman"/>
          <w:bCs/>
          <w:color w:val="222222"/>
        </w:rPr>
        <w:t xml:space="preserve">2017 </w:t>
      </w:r>
      <w:r w:rsidR="001866AA" w:rsidRPr="001866AA">
        <w:rPr>
          <w:rFonts w:ascii="Times New Roman" w:hAnsi="Times New Roman" w:cs="Times New Roman"/>
          <w:bCs/>
          <w:color w:val="222222"/>
        </w:rPr>
        <w:t>preliminary findings</w:t>
      </w:r>
      <w:r w:rsidR="0028608C">
        <w:rPr>
          <w:rFonts w:ascii="Times New Roman" w:hAnsi="Times New Roman" w:cs="Times New Roman"/>
          <w:bCs/>
          <w:color w:val="222222"/>
        </w:rPr>
        <w:t xml:space="preserve"> </w:t>
      </w:r>
      <w:r w:rsidR="001866AA" w:rsidRPr="001866AA">
        <w:rPr>
          <w:rFonts w:ascii="Times New Roman" w:hAnsi="Times New Roman" w:cs="Times New Roman"/>
          <w:bCs/>
          <w:color w:val="222222"/>
        </w:rPr>
        <w:t>emerging from WAST-TIG include</w:t>
      </w:r>
      <w:r w:rsidR="00811A8D">
        <w:rPr>
          <w:rFonts w:ascii="Times New Roman" w:hAnsi="Times New Roman" w:cs="Times New Roman"/>
          <w:bCs/>
          <w:color w:val="222222"/>
        </w:rPr>
        <w:t>d</w:t>
      </w:r>
      <w:r w:rsidR="001866AA" w:rsidRPr="001866AA">
        <w:rPr>
          <w:rFonts w:ascii="Times New Roman" w:hAnsi="Times New Roman" w:cs="Times New Roman"/>
          <w:bCs/>
          <w:color w:val="222222"/>
        </w:rPr>
        <w:t xml:space="preserve"> the following headlines:</w:t>
      </w:r>
    </w:p>
    <w:p w14:paraId="2DE68BB6" w14:textId="77777777" w:rsidR="001866AA" w:rsidRDefault="001866AA" w:rsidP="009D3093">
      <w:pPr>
        <w:shd w:val="clear" w:color="auto" w:fill="FFFFFF"/>
        <w:rPr>
          <w:rFonts w:ascii="Times New Roman" w:hAnsi="Times New Roman" w:cs="Times New Roman"/>
          <w:b/>
          <w:bCs/>
          <w:color w:val="222222"/>
        </w:rPr>
      </w:pPr>
    </w:p>
    <w:p w14:paraId="7995D91A" w14:textId="77777777" w:rsidR="001866AA" w:rsidRDefault="001866AA" w:rsidP="001866AA">
      <w:pPr>
        <w:pStyle w:val="ListParagraph"/>
        <w:numPr>
          <w:ilvl w:val="0"/>
          <w:numId w:val="17"/>
        </w:numPr>
        <w:jc w:val="both"/>
        <w:rPr>
          <w:rFonts w:ascii="Times New Roman" w:eastAsia="Times New Roman" w:hAnsi="Times New Roman" w:cs="Times New Roman"/>
          <w:color w:val="222222"/>
        </w:rPr>
      </w:pPr>
      <w:r w:rsidRPr="001866AA">
        <w:rPr>
          <w:rFonts w:ascii="Times New Roman" w:eastAsia="Times New Roman" w:hAnsi="Times New Roman" w:cs="Times New Roman"/>
          <w:color w:val="222222"/>
        </w:rPr>
        <w:t>A period of being wasted (even just once) is a risk factor for being stunted.</w:t>
      </w:r>
    </w:p>
    <w:p w14:paraId="25F542E3" w14:textId="77777777" w:rsidR="001866AA" w:rsidRDefault="001866AA" w:rsidP="001866AA">
      <w:pPr>
        <w:pStyle w:val="ListParagraph"/>
        <w:numPr>
          <w:ilvl w:val="0"/>
          <w:numId w:val="17"/>
        </w:numPr>
        <w:jc w:val="both"/>
        <w:rPr>
          <w:rFonts w:ascii="Times New Roman" w:eastAsia="Times New Roman" w:hAnsi="Times New Roman" w:cs="Times New Roman"/>
          <w:color w:val="222222"/>
        </w:rPr>
      </w:pPr>
      <w:r w:rsidRPr="001866AA">
        <w:rPr>
          <w:rFonts w:ascii="Times New Roman" w:eastAsia="Times New Roman" w:hAnsi="Times New Roman" w:cs="Times New Roman"/>
          <w:color w:val="222222"/>
        </w:rPr>
        <w:t>Being wasted and stunted at the same time (concurrently) conveys an elevated risk of mortality comparable with that associated with being severely wasted</w:t>
      </w:r>
    </w:p>
    <w:p w14:paraId="0784EA1D" w14:textId="77777777" w:rsidR="001866AA" w:rsidRDefault="001866AA" w:rsidP="001866AA">
      <w:pPr>
        <w:pStyle w:val="ListParagraph"/>
        <w:numPr>
          <w:ilvl w:val="0"/>
          <w:numId w:val="17"/>
        </w:numPr>
        <w:jc w:val="both"/>
        <w:rPr>
          <w:rFonts w:ascii="Times New Roman" w:eastAsia="Times New Roman" w:hAnsi="Times New Roman" w:cs="Times New Roman"/>
          <w:color w:val="222222"/>
        </w:rPr>
      </w:pPr>
      <w:r w:rsidRPr="001866AA">
        <w:rPr>
          <w:rFonts w:ascii="Times New Roman" w:eastAsia="Times New Roman" w:hAnsi="Times New Roman" w:cs="Times New Roman"/>
          <w:color w:val="222222"/>
        </w:rPr>
        <w:t>Boys are more likely to be concurrently wasted and stunted than girls. It looks like this is also the case for wasting and stunting dealt with separately.</w:t>
      </w:r>
    </w:p>
    <w:p w14:paraId="6B27C444" w14:textId="77777777" w:rsidR="001866AA" w:rsidRDefault="001866AA" w:rsidP="001866AA">
      <w:pPr>
        <w:pStyle w:val="ListParagraph"/>
        <w:numPr>
          <w:ilvl w:val="0"/>
          <w:numId w:val="17"/>
        </w:numPr>
        <w:jc w:val="both"/>
        <w:rPr>
          <w:rFonts w:ascii="Times New Roman" w:eastAsia="Times New Roman" w:hAnsi="Times New Roman" w:cs="Times New Roman"/>
          <w:color w:val="222222"/>
        </w:rPr>
      </w:pPr>
      <w:r w:rsidRPr="001866AA">
        <w:rPr>
          <w:rFonts w:ascii="Times New Roman" w:eastAsia="Times New Roman" w:hAnsi="Times New Roman" w:cs="Times New Roman"/>
          <w:color w:val="222222"/>
        </w:rPr>
        <w:t>Younger children (&lt;2yrs) are more likely to be concurrently wasted and stunted than older children.</w:t>
      </w:r>
    </w:p>
    <w:p w14:paraId="54791A55" w14:textId="6FA15EE9" w:rsidR="001866AA" w:rsidRPr="001866AA" w:rsidRDefault="001866AA" w:rsidP="001866AA">
      <w:pPr>
        <w:pStyle w:val="ListParagraph"/>
        <w:numPr>
          <w:ilvl w:val="0"/>
          <w:numId w:val="17"/>
        </w:numPr>
        <w:jc w:val="both"/>
        <w:rPr>
          <w:rFonts w:ascii="Times New Roman" w:eastAsia="Times New Roman" w:hAnsi="Times New Roman" w:cs="Times New Roman"/>
          <w:color w:val="222222"/>
        </w:rPr>
      </w:pPr>
      <w:r w:rsidRPr="001866AA">
        <w:rPr>
          <w:rFonts w:ascii="Times New Roman" w:eastAsia="Times New Roman" w:hAnsi="Times New Roman" w:cs="Times New Roman"/>
          <w:color w:val="222222"/>
        </w:rPr>
        <w:t>The season a child is born in defines its experience of wasting and stunting throughout childhood.</w:t>
      </w:r>
    </w:p>
    <w:p w14:paraId="2BB3DB08" w14:textId="77777777" w:rsidR="001866AA" w:rsidRDefault="001866AA" w:rsidP="009D3093">
      <w:pPr>
        <w:shd w:val="clear" w:color="auto" w:fill="FFFFFF"/>
        <w:rPr>
          <w:rFonts w:ascii="Times New Roman" w:hAnsi="Times New Roman" w:cs="Times New Roman"/>
          <w:b/>
          <w:bCs/>
          <w:color w:val="222222"/>
          <w:sz w:val="28"/>
          <w:szCs w:val="28"/>
        </w:rPr>
      </w:pPr>
    </w:p>
    <w:p w14:paraId="075B016D" w14:textId="77777777" w:rsidR="001C212B" w:rsidRPr="002906AF" w:rsidRDefault="001C212B" w:rsidP="009D3093">
      <w:pPr>
        <w:shd w:val="clear" w:color="auto" w:fill="FFFFFF"/>
        <w:rPr>
          <w:rFonts w:ascii="Times New Roman" w:hAnsi="Times New Roman" w:cs="Times New Roman"/>
          <w:b/>
          <w:bCs/>
          <w:color w:val="222222"/>
          <w:sz w:val="28"/>
          <w:szCs w:val="28"/>
        </w:rPr>
      </w:pPr>
    </w:p>
    <w:p w14:paraId="188C877A" w14:textId="77777777" w:rsidR="001C212B" w:rsidRDefault="003B36DE" w:rsidP="002906AF">
      <w:pPr>
        <w:pStyle w:val="ListParagraph"/>
        <w:numPr>
          <w:ilvl w:val="0"/>
          <w:numId w:val="21"/>
        </w:numPr>
        <w:shd w:val="clear" w:color="auto" w:fill="FFFFFF"/>
        <w:rPr>
          <w:rFonts w:ascii="Times New Roman" w:hAnsi="Times New Roman" w:cs="Times New Roman"/>
          <w:b/>
          <w:bCs/>
          <w:color w:val="222222"/>
          <w:sz w:val="28"/>
          <w:szCs w:val="28"/>
          <w:u w:val="single"/>
        </w:rPr>
      </w:pPr>
      <w:r w:rsidRPr="001C212B">
        <w:rPr>
          <w:rFonts w:ascii="Times New Roman" w:hAnsi="Times New Roman" w:cs="Times New Roman"/>
          <w:b/>
          <w:bCs/>
          <w:color w:val="222222"/>
          <w:sz w:val="28"/>
          <w:szCs w:val="28"/>
          <w:u w:val="single"/>
        </w:rPr>
        <w:t xml:space="preserve">Recommended Actions: </w:t>
      </w:r>
    </w:p>
    <w:p w14:paraId="14E58762" w14:textId="77777777" w:rsidR="001C212B" w:rsidRPr="001C212B" w:rsidRDefault="001C212B" w:rsidP="001C212B">
      <w:pPr>
        <w:shd w:val="clear" w:color="auto" w:fill="FFFFFF"/>
        <w:rPr>
          <w:rFonts w:ascii="Times New Roman" w:hAnsi="Times New Roman" w:cs="Times New Roman"/>
          <w:bCs/>
          <w:color w:val="222222"/>
        </w:rPr>
      </w:pPr>
    </w:p>
    <w:p w14:paraId="75E28066" w14:textId="62361136" w:rsidR="00A17425" w:rsidRPr="001C212B" w:rsidRDefault="003B36DE" w:rsidP="001C212B">
      <w:pPr>
        <w:shd w:val="clear" w:color="auto" w:fill="FFFFFF"/>
        <w:rPr>
          <w:rFonts w:ascii="Times New Roman" w:hAnsi="Times New Roman" w:cs="Times New Roman"/>
          <w:bCs/>
          <w:color w:val="222222"/>
        </w:rPr>
      </w:pPr>
      <w:r w:rsidRPr="001C212B">
        <w:rPr>
          <w:rFonts w:ascii="Times New Roman" w:hAnsi="Times New Roman" w:cs="Times New Roman"/>
          <w:bCs/>
          <w:color w:val="222222"/>
        </w:rPr>
        <w:t>The Technical Briefing P</w:t>
      </w:r>
      <w:r w:rsidR="001C212B" w:rsidRPr="001C212B">
        <w:rPr>
          <w:rFonts w:ascii="Times New Roman" w:hAnsi="Times New Roman" w:cs="Times New Roman"/>
          <w:bCs/>
          <w:color w:val="222222"/>
        </w:rPr>
        <w:t>aper specifically suggests five key areas requiring</w:t>
      </w:r>
      <w:r w:rsidRPr="001C212B">
        <w:rPr>
          <w:rFonts w:ascii="Times New Roman" w:hAnsi="Times New Roman" w:cs="Times New Roman"/>
          <w:bCs/>
          <w:color w:val="222222"/>
        </w:rPr>
        <w:t xml:space="preserve"> follow up: </w:t>
      </w:r>
    </w:p>
    <w:p w14:paraId="11A7C08F" w14:textId="77777777" w:rsidR="00CC6865" w:rsidRPr="00CC6865" w:rsidRDefault="00CC6865" w:rsidP="00CC6865">
      <w:pPr>
        <w:shd w:val="clear" w:color="auto" w:fill="FFFFFF"/>
        <w:rPr>
          <w:rFonts w:ascii="Times New Roman" w:hAnsi="Times New Roman" w:cs="Times New Roman"/>
          <w:b/>
          <w:bCs/>
          <w:color w:val="222222"/>
        </w:rPr>
      </w:pPr>
    </w:p>
    <w:p w14:paraId="1EF070FF" w14:textId="09AF9610" w:rsidR="00CC6865" w:rsidRDefault="00CC6865" w:rsidP="00CC6865">
      <w:pPr>
        <w:pStyle w:val="NormalWeb"/>
        <w:numPr>
          <w:ilvl w:val="0"/>
          <w:numId w:val="10"/>
        </w:numPr>
        <w:shd w:val="clear" w:color="auto" w:fill="FFFFFF"/>
        <w:spacing w:before="0" w:beforeAutospacing="0" w:after="0" w:afterAutospacing="0"/>
        <w:jc w:val="both"/>
        <w:rPr>
          <w:color w:val="222222"/>
        </w:rPr>
      </w:pPr>
      <w:r w:rsidRPr="00CC6865">
        <w:rPr>
          <w:rStyle w:val="Emphasis"/>
          <w:b/>
          <w:color w:val="222222"/>
        </w:rPr>
        <w:t>Longitudinal data tracking nutritional status</w:t>
      </w:r>
      <w:r>
        <w:rPr>
          <w:rStyle w:val="Emphasis"/>
          <w:color w:val="222222"/>
        </w:rPr>
        <w:t>:</w:t>
      </w:r>
      <w:r>
        <w:rPr>
          <w:color w:val="222222"/>
        </w:rPr>
        <w:t xml:space="preserve"> </w:t>
      </w:r>
      <w:r w:rsidR="00090736">
        <w:rPr>
          <w:color w:val="222222"/>
        </w:rPr>
        <w:t>M</w:t>
      </w:r>
      <w:r w:rsidRPr="00CC6865">
        <w:rPr>
          <w:color w:val="222222"/>
        </w:rPr>
        <w:t>easuring the association between wasting and stunting is challenged by the common use of cross</w:t>
      </w:r>
      <w:r w:rsidR="00090736">
        <w:rPr>
          <w:color w:val="222222"/>
        </w:rPr>
        <w:t xml:space="preserve"> sectional prevalence data. This</w:t>
      </w:r>
      <w:r w:rsidRPr="00CC6865">
        <w:rPr>
          <w:color w:val="222222"/>
        </w:rPr>
        <w:t xml:space="preserve"> does not allow for the capture of incident wasting cases occurring over time, nor how the causal pathways for wasting and stunting develop over time separately and in combination. Collection and analysis of longitudinal data tracking children’s status over time is required to better inform the design of services aiming to intervene in these causal pathways.</w:t>
      </w:r>
    </w:p>
    <w:p w14:paraId="309667AE" w14:textId="77777777" w:rsidR="00CC6865" w:rsidRDefault="00CC6865" w:rsidP="00CC6865">
      <w:pPr>
        <w:pStyle w:val="NormalWeb"/>
        <w:shd w:val="clear" w:color="auto" w:fill="FFFFFF"/>
        <w:spacing w:before="0" w:beforeAutospacing="0" w:after="0" w:afterAutospacing="0"/>
        <w:ind w:left="720"/>
        <w:jc w:val="both"/>
        <w:rPr>
          <w:color w:val="222222"/>
        </w:rPr>
      </w:pPr>
    </w:p>
    <w:p w14:paraId="2F116703" w14:textId="77777777" w:rsidR="002135B1" w:rsidRDefault="00CC6865" w:rsidP="002135B1">
      <w:pPr>
        <w:pStyle w:val="NormalWeb"/>
        <w:numPr>
          <w:ilvl w:val="0"/>
          <w:numId w:val="10"/>
        </w:numPr>
        <w:shd w:val="clear" w:color="auto" w:fill="FFFFFF"/>
        <w:spacing w:before="0" w:beforeAutospacing="0" w:after="0" w:afterAutospacing="0"/>
        <w:jc w:val="both"/>
        <w:rPr>
          <w:color w:val="222222"/>
        </w:rPr>
      </w:pPr>
      <w:r w:rsidRPr="00CC6865">
        <w:rPr>
          <w:rStyle w:val="Emphasis"/>
          <w:b/>
          <w:color w:val="222222"/>
        </w:rPr>
        <w:t>Concurrent wasting and stunting:</w:t>
      </w:r>
      <w:r>
        <w:rPr>
          <w:color w:val="222222"/>
        </w:rPr>
        <w:t xml:space="preserve"> </w:t>
      </w:r>
      <w:r w:rsidR="00090736">
        <w:rPr>
          <w:color w:val="222222"/>
        </w:rPr>
        <w:t>T</w:t>
      </w:r>
      <w:r w:rsidRPr="00CC6865">
        <w:rPr>
          <w:color w:val="222222"/>
        </w:rPr>
        <w:t>he</w:t>
      </w:r>
      <w:r w:rsidR="00090736">
        <w:rPr>
          <w:color w:val="222222"/>
        </w:rPr>
        <w:t xml:space="preserve"> extent of the</w:t>
      </w:r>
      <w:r w:rsidRPr="00CC6865">
        <w:rPr>
          <w:color w:val="222222"/>
        </w:rPr>
        <w:t xml:space="preserve"> burden of concurrent wasting and stunting</w:t>
      </w:r>
      <w:r w:rsidR="00090736">
        <w:rPr>
          <w:color w:val="222222"/>
        </w:rPr>
        <w:t xml:space="preserve"> remains largely unknown</w:t>
      </w:r>
      <w:r w:rsidRPr="00CC6865">
        <w:rPr>
          <w:color w:val="222222"/>
        </w:rPr>
        <w:t xml:space="preserve">, </w:t>
      </w:r>
      <w:r w:rsidR="00090736">
        <w:rPr>
          <w:color w:val="222222"/>
        </w:rPr>
        <w:t xml:space="preserve">as do </w:t>
      </w:r>
      <w:r w:rsidRPr="00CC6865">
        <w:rPr>
          <w:color w:val="222222"/>
        </w:rPr>
        <w:t>the full implications for a ch</w:t>
      </w:r>
      <w:r w:rsidR="00090736">
        <w:rPr>
          <w:color w:val="222222"/>
        </w:rPr>
        <w:t>ild experiencing both deficits. However, d</w:t>
      </w:r>
      <w:r w:rsidRPr="00CC6865">
        <w:rPr>
          <w:color w:val="222222"/>
        </w:rPr>
        <w:t>ata is available that could be analysed as a priority to quantify national, regional and global burdens of concurrent wasting and stunting. Further research/analysis of mortality and morbidity implications of concurrent wasting and stunting is also required. At the same time</w:t>
      </w:r>
      <w:r w:rsidR="0033193A">
        <w:rPr>
          <w:color w:val="222222"/>
        </w:rPr>
        <w:t xml:space="preserve"> the coverage of these children by existing nutrition interventions requires investigation.</w:t>
      </w:r>
      <w:r w:rsidRPr="00CC6865">
        <w:rPr>
          <w:color w:val="222222"/>
        </w:rPr>
        <w:t xml:space="preserve"> </w:t>
      </w:r>
    </w:p>
    <w:p w14:paraId="0F8ED0CD" w14:textId="77777777" w:rsidR="002135B1" w:rsidRDefault="002135B1" w:rsidP="002135B1">
      <w:pPr>
        <w:pStyle w:val="NormalWeb"/>
        <w:shd w:val="clear" w:color="auto" w:fill="FFFFFF"/>
        <w:spacing w:before="0" w:beforeAutospacing="0" w:after="0" w:afterAutospacing="0"/>
        <w:jc w:val="both"/>
        <w:rPr>
          <w:rStyle w:val="Emphasis"/>
          <w:b/>
          <w:color w:val="222222"/>
        </w:rPr>
      </w:pPr>
    </w:p>
    <w:p w14:paraId="3E12DF2A" w14:textId="6198FDE7" w:rsidR="00CC6865" w:rsidRPr="002135B1" w:rsidRDefault="00CC6865" w:rsidP="002135B1">
      <w:pPr>
        <w:pStyle w:val="NormalWeb"/>
        <w:numPr>
          <w:ilvl w:val="0"/>
          <w:numId w:val="10"/>
        </w:numPr>
        <w:shd w:val="clear" w:color="auto" w:fill="FFFFFF"/>
        <w:spacing w:before="0" w:beforeAutospacing="0" w:after="0" w:afterAutospacing="0"/>
        <w:jc w:val="both"/>
        <w:rPr>
          <w:color w:val="222222"/>
        </w:rPr>
      </w:pPr>
      <w:r w:rsidRPr="002135B1">
        <w:rPr>
          <w:rStyle w:val="Emphasis"/>
          <w:b/>
          <w:color w:val="222222"/>
        </w:rPr>
        <w:t>Common prevention approaches and research</w:t>
      </w:r>
      <w:r w:rsidRPr="002135B1">
        <w:rPr>
          <w:rStyle w:val="Emphasis"/>
          <w:color w:val="222222"/>
        </w:rPr>
        <w:t>:</w:t>
      </w:r>
      <w:r w:rsidRPr="002135B1">
        <w:rPr>
          <w:color w:val="222222"/>
        </w:rPr>
        <w:t xml:space="preserve"> As wasting and stunting share mainly common risk factors</w:t>
      </w:r>
      <w:r w:rsidR="00C71D15" w:rsidRPr="002135B1">
        <w:rPr>
          <w:color w:val="222222"/>
        </w:rPr>
        <w:t xml:space="preserve">, then there is no requirement to continue with </w:t>
      </w:r>
      <w:r w:rsidRPr="002135B1">
        <w:rPr>
          <w:color w:val="222222"/>
        </w:rPr>
        <w:t>different preventive intervention packages. Common prevention approaches are required and policies which separate the two re-examined. In addition</w:t>
      </w:r>
      <w:r w:rsidR="00C71D15" w:rsidRPr="002135B1">
        <w:rPr>
          <w:color w:val="222222"/>
        </w:rPr>
        <w:t>,</w:t>
      </w:r>
      <w:r w:rsidRPr="002135B1">
        <w:rPr>
          <w:color w:val="222222"/>
        </w:rPr>
        <w:t xml:space="preserve"> research could more routinely measure impacts on incidence of both forms of undernutrition in order to more appropriately inform programming for both conditions. As wasting can adversely affect linear growth the timely identification</w:t>
      </w:r>
      <w:r w:rsidR="001317ED" w:rsidRPr="002135B1">
        <w:rPr>
          <w:color w:val="222222"/>
        </w:rPr>
        <w:t xml:space="preserve"> and treatment of wasting</w:t>
      </w:r>
      <w:r w:rsidR="002135B1">
        <w:rPr>
          <w:color w:val="222222"/>
        </w:rPr>
        <w:t xml:space="preserve"> </w:t>
      </w:r>
      <w:r w:rsidR="001317ED" w:rsidRPr="002135B1">
        <w:rPr>
          <w:color w:val="222222"/>
        </w:rPr>
        <w:t>is</w:t>
      </w:r>
      <w:r w:rsidRPr="002135B1">
        <w:rPr>
          <w:color w:val="222222"/>
        </w:rPr>
        <w:t xml:space="preserve"> an important component of stunting prevention in some contexts. The question of whether protocols for the treatment of wasting could also be </w:t>
      </w:r>
      <w:r w:rsidR="002135B1">
        <w:rPr>
          <w:color w:val="222222"/>
        </w:rPr>
        <w:t>optimized,</w:t>
      </w:r>
      <w:r w:rsidRPr="002135B1">
        <w:rPr>
          <w:color w:val="222222"/>
        </w:rPr>
        <w:t xml:space="preserve"> (i.e. through reformulation of RUTF) to promote linear growth </w:t>
      </w:r>
      <w:r w:rsidR="001317ED" w:rsidRPr="002135B1">
        <w:rPr>
          <w:color w:val="222222"/>
        </w:rPr>
        <w:t>requires further investigation.</w:t>
      </w:r>
    </w:p>
    <w:p w14:paraId="5510F797" w14:textId="77777777" w:rsidR="00CC6865" w:rsidRDefault="00CC6865" w:rsidP="00CC6865">
      <w:pPr>
        <w:pStyle w:val="NormalWeb"/>
        <w:shd w:val="clear" w:color="auto" w:fill="FFFFFF"/>
        <w:spacing w:before="0" w:beforeAutospacing="0" w:after="0" w:afterAutospacing="0"/>
        <w:jc w:val="both"/>
        <w:rPr>
          <w:rStyle w:val="Emphasis"/>
          <w:color w:val="222222"/>
        </w:rPr>
      </w:pPr>
    </w:p>
    <w:p w14:paraId="739D17E6" w14:textId="7DBED70E" w:rsidR="00CC6865" w:rsidRDefault="00CC6865" w:rsidP="00CC6865">
      <w:pPr>
        <w:pStyle w:val="NormalWeb"/>
        <w:numPr>
          <w:ilvl w:val="0"/>
          <w:numId w:val="10"/>
        </w:numPr>
        <w:shd w:val="clear" w:color="auto" w:fill="FFFFFF"/>
        <w:spacing w:before="0" w:beforeAutospacing="0" w:after="0" w:afterAutospacing="0"/>
        <w:jc w:val="both"/>
        <w:rPr>
          <w:color w:val="222222"/>
        </w:rPr>
      </w:pPr>
      <w:r w:rsidRPr="00CC6865">
        <w:rPr>
          <w:rStyle w:val="Emphasis"/>
          <w:b/>
          <w:color w:val="222222"/>
        </w:rPr>
        <w:t>Maternal nutrition</w:t>
      </w:r>
      <w:r w:rsidRPr="00CC6865">
        <w:rPr>
          <w:b/>
          <w:color w:val="222222"/>
        </w:rPr>
        <w:t>:</w:t>
      </w:r>
      <w:r>
        <w:rPr>
          <w:color w:val="222222"/>
        </w:rPr>
        <w:t xml:space="preserve"> </w:t>
      </w:r>
      <w:r w:rsidRPr="00CC6865">
        <w:rPr>
          <w:color w:val="222222"/>
        </w:rPr>
        <w:t xml:space="preserve">Evidence included in the review that both wasting and stunting have origins in foetal growth highlights the importance of attention to maternal and adolescent girl health and nutrition as part of wasting and stunting prevention approaches. </w:t>
      </w:r>
    </w:p>
    <w:p w14:paraId="70AEEADC" w14:textId="77777777" w:rsidR="00CC6865" w:rsidRDefault="00CC6865" w:rsidP="00CC6865">
      <w:pPr>
        <w:pStyle w:val="NormalWeb"/>
        <w:shd w:val="clear" w:color="auto" w:fill="FFFFFF"/>
        <w:spacing w:before="0" w:beforeAutospacing="0" w:after="0" w:afterAutospacing="0"/>
        <w:jc w:val="both"/>
        <w:rPr>
          <w:rStyle w:val="Emphasis"/>
          <w:color w:val="222222"/>
        </w:rPr>
      </w:pPr>
    </w:p>
    <w:p w14:paraId="340D38AD" w14:textId="2EA14676" w:rsidR="00CC6865" w:rsidRPr="00CC6865" w:rsidRDefault="00CC6865" w:rsidP="00CC6865">
      <w:pPr>
        <w:pStyle w:val="NormalWeb"/>
        <w:numPr>
          <w:ilvl w:val="0"/>
          <w:numId w:val="10"/>
        </w:numPr>
        <w:shd w:val="clear" w:color="auto" w:fill="FFFFFF"/>
        <w:spacing w:before="0" w:beforeAutospacing="0" w:after="0" w:afterAutospacing="0"/>
        <w:jc w:val="both"/>
        <w:rPr>
          <w:color w:val="222222"/>
        </w:rPr>
      </w:pPr>
      <w:r w:rsidRPr="00CC6865">
        <w:rPr>
          <w:rStyle w:val="Emphasis"/>
          <w:b/>
          <w:color w:val="222222"/>
        </w:rPr>
        <w:t>Seasonal approaches</w:t>
      </w:r>
      <w:r w:rsidRPr="00CC6865">
        <w:rPr>
          <w:b/>
          <w:color w:val="222222"/>
        </w:rPr>
        <w:t>:</w:t>
      </w:r>
      <w:r>
        <w:rPr>
          <w:color w:val="222222"/>
        </w:rPr>
        <w:t xml:space="preserve"> </w:t>
      </w:r>
      <w:r w:rsidRPr="00CC6865">
        <w:rPr>
          <w:color w:val="222222"/>
        </w:rPr>
        <w:t>The evidence of seasonal and related patterns in wasting and stunting does not infer causality as other seasonal factors may be involved. Further research is needed to better understand these seasonal relationships and to build on existing experience of what works to mitigate seasonal peaks in both deficits.</w:t>
      </w:r>
    </w:p>
    <w:p w14:paraId="4D2E94BE" w14:textId="77777777" w:rsidR="00CC6865" w:rsidRDefault="00CC6865" w:rsidP="009D3093">
      <w:pPr>
        <w:shd w:val="clear" w:color="auto" w:fill="FFFFFF"/>
        <w:rPr>
          <w:rFonts w:ascii="Times New Roman" w:hAnsi="Times New Roman" w:cs="Times New Roman"/>
          <w:b/>
          <w:bCs/>
          <w:color w:val="222222"/>
        </w:rPr>
      </w:pPr>
    </w:p>
    <w:p w14:paraId="3EF991CB" w14:textId="77777777" w:rsidR="001C212B" w:rsidRDefault="001C212B" w:rsidP="009D3093">
      <w:pPr>
        <w:shd w:val="clear" w:color="auto" w:fill="FFFFFF"/>
        <w:rPr>
          <w:rFonts w:ascii="Times New Roman" w:hAnsi="Times New Roman" w:cs="Times New Roman"/>
          <w:b/>
          <w:bCs/>
          <w:color w:val="222222"/>
        </w:rPr>
      </w:pPr>
    </w:p>
    <w:p w14:paraId="219CBBB8" w14:textId="1FEF7A70" w:rsidR="00187603" w:rsidRPr="001C212B" w:rsidRDefault="006F2E44" w:rsidP="002906AF">
      <w:pPr>
        <w:pStyle w:val="ListParagraph"/>
        <w:numPr>
          <w:ilvl w:val="0"/>
          <w:numId w:val="21"/>
        </w:numPr>
        <w:shd w:val="clear" w:color="auto" w:fill="FFFFFF"/>
        <w:rPr>
          <w:rFonts w:ascii="Times New Roman" w:hAnsi="Times New Roman" w:cs="Times New Roman"/>
          <w:b/>
          <w:color w:val="222222"/>
          <w:sz w:val="28"/>
          <w:szCs w:val="28"/>
          <w:u w:val="single"/>
        </w:rPr>
      </w:pPr>
      <w:r w:rsidRPr="001C212B">
        <w:rPr>
          <w:rFonts w:ascii="Times New Roman" w:hAnsi="Times New Roman" w:cs="Times New Roman"/>
          <w:b/>
          <w:bCs/>
          <w:color w:val="222222"/>
          <w:sz w:val="28"/>
          <w:szCs w:val="28"/>
          <w:u w:val="single"/>
        </w:rPr>
        <w:t xml:space="preserve">Burden and Prevalence of Wasted and Stunted Children in the </w:t>
      </w:r>
      <w:r w:rsidR="007D7E37" w:rsidRPr="001C212B">
        <w:rPr>
          <w:rFonts w:ascii="Times New Roman" w:hAnsi="Times New Roman" w:cs="Times New Roman"/>
          <w:b/>
          <w:bCs/>
          <w:color w:val="222222"/>
          <w:sz w:val="28"/>
          <w:szCs w:val="28"/>
          <w:u w:val="single"/>
        </w:rPr>
        <w:t xml:space="preserve">Context of Current </w:t>
      </w:r>
      <w:r w:rsidRPr="001C212B">
        <w:rPr>
          <w:rFonts w:ascii="Times New Roman" w:hAnsi="Times New Roman" w:cs="Times New Roman"/>
          <w:b/>
          <w:bCs/>
          <w:color w:val="222222"/>
          <w:sz w:val="28"/>
          <w:szCs w:val="28"/>
          <w:u w:val="single"/>
        </w:rPr>
        <w:t xml:space="preserve">of Major </w:t>
      </w:r>
      <w:r w:rsidR="007D7E37" w:rsidRPr="001C212B">
        <w:rPr>
          <w:rFonts w:ascii="Times New Roman" w:hAnsi="Times New Roman" w:cs="Times New Roman"/>
          <w:b/>
          <w:bCs/>
          <w:color w:val="222222"/>
          <w:sz w:val="28"/>
          <w:szCs w:val="28"/>
          <w:u w:val="single"/>
        </w:rPr>
        <w:t>Humanitarian Crises</w:t>
      </w:r>
      <w:r w:rsidRPr="001C212B">
        <w:rPr>
          <w:rFonts w:ascii="Times New Roman" w:hAnsi="Times New Roman" w:cs="Times New Roman"/>
          <w:b/>
          <w:bCs/>
          <w:color w:val="222222"/>
          <w:sz w:val="28"/>
          <w:szCs w:val="28"/>
          <w:u w:val="single"/>
        </w:rPr>
        <w:t>:</w:t>
      </w:r>
    </w:p>
    <w:p w14:paraId="1319B282" w14:textId="77777777" w:rsidR="00187603" w:rsidRPr="002906AF" w:rsidRDefault="00187603" w:rsidP="009D3093">
      <w:pPr>
        <w:shd w:val="clear" w:color="auto" w:fill="FFFFFF"/>
        <w:rPr>
          <w:rFonts w:ascii="Times New Roman" w:hAnsi="Times New Roman" w:cs="Times New Roman"/>
          <w:color w:val="222222"/>
        </w:rPr>
      </w:pPr>
    </w:p>
    <w:p w14:paraId="1F792A5D" w14:textId="77777777" w:rsidR="002B38E9" w:rsidRDefault="00B5356B" w:rsidP="00B5356B">
      <w:pPr>
        <w:shd w:val="clear" w:color="auto" w:fill="FFFFFF"/>
        <w:jc w:val="both"/>
        <w:rPr>
          <w:rFonts w:ascii="Times New Roman" w:eastAsia="Times New Roman" w:hAnsi="Times New Roman" w:cs="Times New Roman"/>
        </w:rPr>
      </w:pPr>
      <w:r w:rsidRPr="002906AF">
        <w:rPr>
          <w:rFonts w:ascii="Times New Roman" w:eastAsia="Times New Roman" w:hAnsi="Times New Roman" w:cs="Times New Roman"/>
        </w:rPr>
        <w:t>As recognized by the EU Consensus ‘extreme and chronic fragility, structural and recurring crises remain the source of humanitarian emergencies’ and the 4 crises are the long lasting consequences of pre-existent crises. Since the four famines represent about 22.5% of the total amount of people in food crisis this year, a global approach should be privileged looking at the global picture of food crises, not only the four famines.</w:t>
      </w:r>
      <w:r w:rsidR="00440C20">
        <w:rPr>
          <w:rFonts w:ascii="Times New Roman" w:eastAsia="Times New Roman" w:hAnsi="Times New Roman" w:cs="Times New Roman"/>
        </w:rPr>
        <w:t xml:space="preserve"> </w:t>
      </w:r>
    </w:p>
    <w:p w14:paraId="6D4A1143" w14:textId="77777777" w:rsidR="002B38E9" w:rsidRDefault="002B38E9" w:rsidP="00B5356B">
      <w:pPr>
        <w:shd w:val="clear" w:color="auto" w:fill="FFFFFF"/>
        <w:jc w:val="both"/>
        <w:rPr>
          <w:rFonts w:ascii="Times New Roman" w:eastAsia="Times New Roman" w:hAnsi="Times New Roman" w:cs="Times New Roman"/>
        </w:rPr>
      </w:pPr>
    </w:p>
    <w:p w14:paraId="2A45D57B" w14:textId="065B07E2" w:rsidR="006F2E44" w:rsidRPr="002906AF" w:rsidRDefault="002B38E9" w:rsidP="00B5356B">
      <w:pPr>
        <w:shd w:val="clear" w:color="auto" w:fill="FFFFFF"/>
        <w:jc w:val="both"/>
        <w:rPr>
          <w:rFonts w:ascii="Times New Roman" w:hAnsi="Times New Roman" w:cs="Times New Roman"/>
          <w:color w:val="222222"/>
        </w:rPr>
      </w:pPr>
      <w:r>
        <w:rPr>
          <w:rFonts w:ascii="Times New Roman" w:eastAsia="Times New Roman" w:hAnsi="Times New Roman" w:cs="Times New Roman"/>
        </w:rPr>
        <w:t>U</w:t>
      </w:r>
      <w:r w:rsidR="00B5356B" w:rsidRPr="002906AF">
        <w:rPr>
          <w:rFonts w:ascii="Times New Roman" w:eastAsia="Times New Roman" w:hAnsi="Times New Roman" w:cs="Times New Roman"/>
        </w:rPr>
        <w:t xml:space="preserve">nderstanding the interrelationship between wasting and stunting highlights that in addition to being an important component alongside the treatment of wasting, </w:t>
      </w:r>
      <w:r w:rsidR="006F2E44" w:rsidRPr="002906AF">
        <w:rPr>
          <w:rFonts w:ascii="Times New Roman" w:eastAsia="Times New Roman" w:hAnsi="Times New Roman" w:cs="Times New Roman"/>
        </w:rPr>
        <w:t>a nutrition sensitive approach to both developmental and humanitaria</w:t>
      </w:r>
      <w:r w:rsidR="00B5356B" w:rsidRPr="002906AF">
        <w:rPr>
          <w:rFonts w:ascii="Times New Roman" w:eastAsia="Times New Roman" w:hAnsi="Times New Roman" w:cs="Times New Roman"/>
        </w:rPr>
        <w:t>n assistance in the context of</w:t>
      </w:r>
      <w:r w:rsidR="006F2E44" w:rsidRPr="002906AF">
        <w:rPr>
          <w:rFonts w:ascii="Times New Roman" w:eastAsia="Times New Roman" w:hAnsi="Times New Roman" w:cs="Times New Roman"/>
        </w:rPr>
        <w:t xml:space="preserve"> humanitarian crises </w:t>
      </w:r>
      <w:r w:rsidR="00B5356B" w:rsidRPr="002906AF">
        <w:rPr>
          <w:rFonts w:ascii="Times New Roman" w:eastAsia="Times New Roman" w:hAnsi="Times New Roman" w:cs="Times New Roman"/>
        </w:rPr>
        <w:t xml:space="preserve">is essential to prevent undernutrition as well as to </w:t>
      </w:r>
      <w:r w:rsidR="006F2E44" w:rsidRPr="002906AF">
        <w:rPr>
          <w:rFonts w:ascii="Times New Roman" w:eastAsia="Times New Roman" w:hAnsi="Times New Roman" w:cs="Times New Roman"/>
        </w:rPr>
        <w:t>strengthen resilience and avoid the escalation of the crisis into a famine situation.</w:t>
      </w:r>
      <w:r w:rsidR="00B5356B" w:rsidRPr="002906AF">
        <w:rPr>
          <w:rFonts w:ascii="Times New Roman" w:eastAsia="Times New Roman" w:hAnsi="Times New Roman" w:cs="Times New Roman"/>
        </w:rPr>
        <w:t xml:space="preserve"> </w:t>
      </w:r>
      <w:r w:rsidR="006F2E44" w:rsidRPr="002906AF">
        <w:rPr>
          <w:rFonts w:ascii="Times New Roman" w:eastAsia="Times New Roman" w:hAnsi="Times New Roman" w:cs="Times New Roman"/>
        </w:rPr>
        <w:t>It also highlights the requirement to ensure a strategic and systemic approach to the treatment of acute malnutrition as a crucial component of the health system in the medium and long term</w:t>
      </w:r>
    </w:p>
    <w:p w14:paraId="03B303CF" w14:textId="77777777" w:rsidR="00B5356B" w:rsidRPr="002906AF" w:rsidRDefault="00B5356B" w:rsidP="00B5356B">
      <w:pPr>
        <w:jc w:val="both"/>
        <w:rPr>
          <w:rFonts w:ascii="Times New Roman" w:eastAsia="Times New Roman" w:hAnsi="Times New Roman" w:cs="Times New Roman"/>
        </w:rPr>
      </w:pPr>
    </w:p>
    <w:p w14:paraId="51629CD3" w14:textId="4D851EF7" w:rsidR="006F2E44" w:rsidRPr="002906AF" w:rsidRDefault="006F2E44" w:rsidP="00B5356B">
      <w:pPr>
        <w:jc w:val="both"/>
        <w:rPr>
          <w:rFonts w:ascii="Times New Roman" w:eastAsia="Times New Roman" w:hAnsi="Times New Roman" w:cs="Times New Roman"/>
        </w:rPr>
      </w:pPr>
      <w:r w:rsidRPr="002906AF">
        <w:rPr>
          <w:rFonts w:ascii="Times New Roman" w:eastAsia="Times New Roman" w:hAnsi="Times New Roman" w:cs="Times New Roman"/>
        </w:rPr>
        <w:t xml:space="preserve">As mechanisms for situation assessment and analysis become increasingly sophisticated and comprehensive in nature, and the importance of timely intervention is reinforced as the most effective way to avoid humanitarian crises, at the same time it is imperative to ensure </w:t>
      </w:r>
      <w:r w:rsidR="00B5356B" w:rsidRPr="002906AF">
        <w:rPr>
          <w:rFonts w:ascii="Times New Roman" w:eastAsia="Times New Roman" w:hAnsi="Times New Roman" w:cs="Times New Roman"/>
        </w:rPr>
        <w:t xml:space="preserve">both </w:t>
      </w:r>
      <w:r w:rsidRPr="002906AF">
        <w:rPr>
          <w:rFonts w:ascii="Times New Roman" w:eastAsia="Times New Roman" w:hAnsi="Times New Roman" w:cs="Times New Roman"/>
        </w:rPr>
        <w:t xml:space="preserve">the political commitment </w:t>
      </w:r>
      <w:r w:rsidR="00B5356B" w:rsidRPr="002906AF">
        <w:rPr>
          <w:rFonts w:ascii="Times New Roman" w:eastAsia="Times New Roman" w:hAnsi="Times New Roman" w:cs="Times New Roman"/>
        </w:rPr>
        <w:t xml:space="preserve">and functional / technical capacities </w:t>
      </w:r>
      <w:r w:rsidRPr="002906AF">
        <w:rPr>
          <w:rFonts w:ascii="Times New Roman" w:eastAsia="Times New Roman" w:hAnsi="Times New Roman" w:cs="Times New Roman"/>
        </w:rPr>
        <w:t>to ensure appropriate resource allocation</w:t>
      </w:r>
      <w:r w:rsidR="00B5356B" w:rsidRPr="002906AF">
        <w:rPr>
          <w:rFonts w:ascii="Times New Roman" w:eastAsia="Times New Roman" w:hAnsi="Times New Roman" w:cs="Times New Roman"/>
        </w:rPr>
        <w:t xml:space="preserve"> and effective implementation</w:t>
      </w:r>
      <w:r w:rsidRPr="002906AF">
        <w:rPr>
          <w:rFonts w:ascii="Times New Roman" w:eastAsia="Times New Roman" w:hAnsi="Times New Roman" w:cs="Times New Roman"/>
        </w:rPr>
        <w:t xml:space="preserve"> based on the specific priorities identified. </w:t>
      </w:r>
    </w:p>
    <w:p w14:paraId="4F272983" w14:textId="77777777" w:rsidR="006F2E44" w:rsidRPr="002906AF" w:rsidRDefault="006F2E44" w:rsidP="006F2E44">
      <w:pPr>
        <w:jc w:val="both"/>
        <w:rPr>
          <w:rFonts w:ascii="Times New Roman" w:hAnsi="Times New Roman" w:cs="Times New Roman"/>
          <w:lang w:val="en-GB"/>
        </w:rPr>
      </w:pPr>
    </w:p>
    <w:p w14:paraId="6DF0F07A" w14:textId="264044C3" w:rsidR="006F2E44" w:rsidRPr="0028608C" w:rsidRDefault="006F2E44" w:rsidP="006F2E44">
      <w:pPr>
        <w:jc w:val="both"/>
        <w:rPr>
          <w:rFonts w:ascii="Times New Roman" w:hAnsi="Times New Roman" w:cs="Times New Roman"/>
          <w:b/>
          <w:i/>
          <w:sz w:val="22"/>
          <w:szCs w:val="22"/>
          <w:lang w:val="en-GB"/>
        </w:rPr>
      </w:pPr>
      <w:r w:rsidRPr="00AB4EF6">
        <w:rPr>
          <w:rFonts w:ascii="Times New Roman" w:hAnsi="Times New Roman" w:cs="Times New Roman"/>
          <w:b/>
          <w:i/>
          <w:sz w:val="22"/>
          <w:szCs w:val="22"/>
          <w:lang w:val="en-GB"/>
        </w:rPr>
        <w:t xml:space="preserve">Overview of </w:t>
      </w:r>
      <w:r w:rsidR="00811A8D">
        <w:rPr>
          <w:rFonts w:ascii="Times New Roman" w:hAnsi="Times New Roman" w:cs="Times New Roman"/>
          <w:b/>
          <w:i/>
          <w:sz w:val="22"/>
          <w:szCs w:val="22"/>
          <w:lang w:val="en-GB"/>
        </w:rPr>
        <w:t xml:space="preserve">Nutrition </w:t>
      </w:r>
      <w:r w:rsidRPr="00AB4EF6">
        <w:rPr>
          <w:rFonts w:ascii="Times New Roman" w:hAnsi="Times New Roman" w:cs="Times New Roman"/>
          <w:b/>
          <w:i/>
          <w:sz w:val="22"/>
          <w:szCs w:val="22"/>
          <w:lang w:val="en-GB"/>
        </w:rPr>
        <w:t>Data</w:t>
      </w:r>
      <w:r w:rsidR="00811A8D">
        <w:rPr>
          <w:rFonts w:ascii="Times New Roman" w:hAnsi="Times New Roman" w:cs="Times New Roman"/>
          <w:b/>
          <w:i/>
          <w:sz w:val="22"/>
          <w:szCs w:val="22"/>
          <w:lang w:val="en-GB"/>
        </w:rPr>
        <w:t xml:space="preserve"> in the Context of Ongoing Major Humanitarian Crises</w:t>
      </w:r>
      <w:r w:rsidR="00F35A7F">
        <w:rPr>
          <w:rFonts w:ascii="Times New Roman" w:hAnsi="Times New Roman" w:cs="Times New Roman"/>
          <w:b/>
          <w:i/>
          <w:sz w:val="22"/>
          <w:szCs w:val="22"/>
          <w:lang w:val="en-GB"/>
        </w:rPr>
        <w:t xml:space="preserve">: </w:t>
      </w:r>
    </w:p>
    <w:tbl>
      <w:tblPr>
        <w:tblStyle w:val="TableGrid"/>
        <w:tblW w:w="0" w:type="auto"/>
        <w:tblLook w:val="04A0" w:firstRow="1" w:lastRow="0" w:firstColumn="1" w:lastColumn="0" w:noHBand="0" w:noVBand="1"/>
      </w:tblPr>
      <w:tblGrid>
        <w:gridCol w:w="1145"/>
        <w:gridCol w:w="1122"/>
        <w:gridCol w:w="1159"/>
        <w:gridCol w:w="1208"/>
        <w:gridCol w:w="994"/>
        <w:gridCol w:w="1228"/>
        <w:gridCol w:w="1077"/>
        <w:gridCol w:w="1077"/>
      </w:tblGrid>
      <w:tr w:rsidR="00F26DB7" w:rsidRPr="00E05035" w14:paraId="75A9FF15" w14:textId="77777777" w:rsidTr="006F2E44">
        <w:tc>
          <w:tcPr>
            <w:tcW w:w="1145" w:type="dxa"/>
          </w:tcPr>
          <w:p w14:paraId="4F465FA5" w14:textId="77777777" w:rsidR="006F2E44" w:rsidRPr="00BF4550" w:rsidRDefault="006F2E44" w:rsidP="003066EC">
            <w:pPr>
              <w:jc w:val="both"/>
              <w:rPr>
                <w:rFonts w:ascii="Times New Roman" w:hAnsi="Times New Roman" w:cs="Times New Roman"/>
                <w:sz w:val="16"/>
                <w:szCs w:val="16"/>
                <w:lang w:val="en-GB"/>
              </w:rPr>
            </w:pPr>
          </w:p>
        </w:tc>
        <w:tc>
          <w:tcPr>
            <w:tcW w:w="1122" w:type="dxa"/>
          </w:tcPr>
          <w:p w14:paraId="59D0295D" w14:textId="77777777" w:rsidR="006F2E44" w:rsidRPr="00BF4550" w:rsidRDefault="006F2E44" w:rsidP="003066EC">
            <w:pPr>
              <w:jc w:val="both"/>
              <w:rPr>
                <w:rFonts w:ascii="Times New Roman" w:hAnsi="Times New Roman" w:cs="Times New Roman"/>
                <w:b/>
                <w:sz w:val="16"/>
                <w:szCs w:val="16"/>
                <w:lang w:val="en-GB"/>
              </w:rPr>
            </w:pPr>
            <w:r w:rsidRPr="00BF4550">
              <w:rPr>
                <w:rFonts w:ascii="Times New Roman" w:hAnsi="Times New Roman" w:cs="Times New Roman"/>
                <w:b/>
                <w:sz w:val="16"/>
                <w:szCs w:val="16"/>
                <w:lang w:val="en-GB"/>
              </w:rPr>
              <w:t xml:space="preserve">2017 </w:t>
            </w:r>
            <w:r>
              <w:rPr>
                <w:rFonts w:ascii="Times New Roman" w:hAnsi="Times New Roman" w:cs="Times New Roman"/>
                <w:b/>
                <w:sz w:val="16"/>
                <w:szCs w:val="16"/>
                <w:lang w:val="en-GB"/>
              </w:rPr>
              <w:t xml:space="preserve">UN </w:t>
            </w:r>
            <w:r w:rsidRPr="00BF4550">
              <w:rPr>
                <w:rFonts w:ascii="Times New Roman" w:hAnsi="Times New Roman" w:cs="Times New Roman"/>
                <w:b/>
                <w:sz w:val="16"/>
                <w:szCs w:val="16"/>
                <w:lang w:val="en-GB"/>
              </w:rPr>
              <w:t>Appeal</w:t>
            </w:r>
            <w:r>
              <w:rPr>
                <w:rFonts w:ascii="Times New Roman" w:hAnsi="Times New Roman" w:cs="Times New Roman"/>
                <w:b/>
                <w:sz w:val="16"/>
                <w:szCs w:val="16"/>
                <w:lang w:val="en-GB"/>
              </w:rPr>
              <w:t xml:space="preserve"> (Euro million)</w:t>
            </w:r>
          </w:p>
        </w:tc>
        <w:tc>
          <w:tcPr>
            <w:tcW w:w="1159" w:type="dxa"/>
          </w:tcPr>
          <w:p w14:paraId="21CFA842" w14:textId="77777777" w:rsidR="006F2E44" w:rsidRPr="00BF4550" w:rsidRDefault="006F2E44" w:rsidP="003066EC">
            <w:pPr>
              <w:jc w:val="both"/>
              <w:rPr>
                <w:rFonts w:ascii="Times New Roman" w:hAnsi="Times New Roman" w:cs="Times New Roman"/>
                <w:b/>
                <w:sz w:val="16"/>
                <w:szCs w:val="16"/>
                <w:lang w:val="en-GB"/>
              </w:rPr>
            </w:pPr>
            <w:r w:rsidRPr="00BF4550">
              <w:rPr>
                <w:rFonts w:ascii="Times New Roman" w:hAnsi="Times New Roman" w:cs="Times New Roman"/>
                <w:b/>
                <w:sz w:val="16"/>
                <w:szCs w:val="16"/>
                <w:lang w:val="en-GB"/>
              </w:rPr>
              <w:t>Est Number Affected by Food Crisis</w:t>
            </w:r>
            <w:r>
              <w:rPr>
                <w:rFonts w:ascii="Times New Roman" w:hAnsi="Times New Roman" w:cs="Times New Roman"/>
                <w:b/>
                <w:sz w:val="16"/>
                <w:szCs w:val="16"/>
                <w:lang w:val="en-GB"/>
              </w:rPr>
              <w:t xml:space="preserve"> (IPC / GRFC)</w:t>
            </w:r>
            <w:r>
              <w:rPr>
                <w:rStyle w:val="FootnoteReference"/>
                <w:rFonts w:ascii="Times New Roman" w:hAnsi="Times New Roman" w:cs="Times New Roman"/>
                <w:b/>
                <w:sz w:val="16"/>
                <w:szCs w:val="16"/>
                <w:lang w:val="en-GB"/>
              </w:rPr>
              <w:footnoteReference w:id="4"/>
            </w:r>
          </w:p>
        </w:tc>
        <w:tc>
          <w:tcPr>
            <w:tcW w:w="1208" w:type="dxa"/>
          </w:tcPr>
          <w:p w14:paraId="3676ACCA" w14:textId="77777777" w:rsidR="006F2E44" w:rsidRPr="00BF4550" w:rsidRDefault="006F2E44" w:rsidP="003066EC">
            <w:pPr>
              <w:jc w:val="both"/>
              <w:rPr>
                <w:rFonts w:ascii="Times New Roman" w:hAnsi="Times New Roman" w:cs="Times New Roman"/>
                <w:b/>
                <w:sz w:val="16"/>
                <w:szCs w:val="16"/>
                <w:lang w:val="en-GB"/>
              </w:rPr>
            </w:pPr>
            <w:r w:rsidRPr="00BF4550">
              <w:rPr>
                <w:rFonts w:ascii="Times New Roman" w:hAnsi="Times New Roman" w:cs="Times New Roman"/>
                <w:b/>
                <w:sz w:val="16"/>
                <w:szCs w:val="16"/>
                <w:lang w:val="en-GB"/>
              </w:rPr>
              <w:t xml:space="preserve">Est Number GAM cases and % Prevalence </w:t>
            </w:r>
          </w:p>
        </w:tc>
        <w:tc>
          <w:tcPr>
            <w:tcW w:w="994" w:type="dxa"/>
          </w:tcPr>
          <w:p w14:paraId="01803DE1" w14:textId="26A3BC8E" w:rsidR="006F2E44" w:rsidRPr="00BF4550" w:rsidRDefault="006F2E44" w:rsidP="003066EC">
            <w:pPr>
              <w:jc w:val="both"/>
              <w:rPr>
                <w:rFonts w:ascii="Times New Roman" w:hAnsi="Times New Roman" w:cs="Times New Roman"/>
                <w:b/>
                <w:sz w:val="16"/>
                <w:szCs w:val="16"/>
                <w:lang w:val="en-GB"/>
              </w:rPr>
            </w:pPr>
            <w:r>
              <w:rPr>
                <w:rFonts w:ascii="Times New Roman" w:hAnsi="Times New Roman" w:cs="Times New Roman"/>
                <w:b/>
                <w:sz w:val="16"/>
                <w:szCs w:val="16"/>
                <w:lang w:val="en-GB"/>
              </w:rPr>
              <w:t>Est Number Stunted Children and %</w:t>
            </w:r>
          </w:p>
        </w:tc>
        <w:tc>
          <w:tcPr>
            <w:tcW w:w="1228" w:type="dxa"/>
          </w:tcPr>
          <w:p w14:paraId="01CF9FCC" w14:textId="42819D67" w:rsidR="006F2E44" w:rsidRPr="00BF4550" w:rsidRDefault="006F2E44" w:rsidP="003066EC">
            <w:pPr>
              <w:jc w:val="both"/>
              <w:rPr>
                <w:rFonts w:ascii="Times New Roman" w:hAnsi="Times New Roman" w:cs="Times New Roman"/>
                <w:b/>
                <w:sz w:val="16"/>
                <w:szCs w:val="16"/>
                <w:lang w:val="en-GB"/>
              </w:rPr>
            </w:pPr>
            <w:r w:rsidRPr="00BF4550">
              <w:rPr>
                <w:rFonts w:ascii="Times New Roman" w:hAnsi="Times New Roman" w:cs="Times New Roman"/>
                <w:b/>
                <w:sz w:val="16"/>
                <w:szCs w:val="16"/>
                <w:lang w:val="en-GB"/>
              </w:rPr>
              <w:t>2017 EU</w:t>
            </w:r>
            <w:r>
              <w:rPr>
                <w:rFonts w:ascii="Times New Roman" w:hAnsi="Times New Roman" w:cs="Times New Roman"/>
                <w:b/>
                <w:sz w:val="16"/>
                <w:szCs w:val="16"/>
                <w:lang w:val="en-GB"/>
              </w:rPr>
              <w:t xml:space="preserve"> Allocation </w:t>
            </w:r>
            <w:r w:rsidRPr="00BF4550">
              <w:rPr>
                <w:rFonts w:ascii="Times New Roman" w:hAnsi="Times New Roman" w:cs="Times New Roman"/>
                <w:b/>
                <w:sz w:val="16"/>
                <w:szCs w:val="16"/>
                <w:lang w:val="en-GB"/>
              </w:rPr>
              <w:t>(total</w:t>
            </w:r>
            <w:r>
              <w:rPr>
                <w:rFonts w:ascii="Times New Roman" w:hAnsi="Times New Roman" w:cs="Times New Roman"/>
                <w:b/>
                <w:sz w:val="16"/>
                <w:szCs w:val="16"/>
                <w:lang w:val="en-GB"/>
              </w:rPr>
              <w:t xml:space="preserve"> in millions</w:t>
            </w:r>
            <w:r w:rsidRPr="00BF4550">
              <w:rPr>
                <w:rFonts w:ascii="Times New Roman" w:hAnsi="Times New Roman" w:cs="Times New Roman"/>
                <w:b/>
                <w:sz w:val="16"/>
                <w:szCs w:val="16"/>
                <w:lang w:val="en-GB"/>
              </w:rPr>
              <w:t>)</w:t>
            </w:r>
          </w:p>
        </w:tc>
        <w:tc>
          <w:tcPr>
            <w:tcW w:w="1077" w:type="dxa"/>
          </w:tcPr>
          <w:p w14:paraId="1532037E" w14:textId="77777777" w:rsidR="006F2E44" w:rsidRPr="00BF4550" w:rsidRDefault="006F2E44" w:rsidP="003066EC">
            <w:pPr>
              <w:jc w:val="both"/>
              <w:rPr>
                <w:rFonts w:ascii="Times New Roman" w:hAnsi="Times New Roman" w:cs="Times New Roman"/>
                <w:b/>
                <w:sz w:val="16"/>
                <w:szCs w:val="16"/>
                <w:lang w:val="en-GB"/>
              </w:rPr>
            </w:pPr>
            <w:r w:rsidRPr="00BF4550">
              <w:rPr>
                <w:rFonts w:ascii="Times New Roman" w:hAnsi="Times New Roman" w:cs="Times New Roman"/>
                <w:b/>
                <w:sz w:val="16"/>
                <w:szCs w:val="16"/>
                <w:lang w:val="en-GB"/>
              </w:rPr>
              <w:t>ECHO Allocation</w:t>
            </w:r>
            <w:r>
              <w:rPr>
                <w:rFonts w:ascii="Times New Roman" w:hAnsi="Times New Roman" w:cs="Times New Roman"/>
                <w:b/>
                <w:sz w:val="16"/>
                <w:szCs w:val="16"/>
                <w:lang w:val="en-GB"/>
              </w:rPr>
              <w:t xml:space="preserve"> (in millions)</w:t>
            </w:r>
          </w:p>
        </w:tc>
        <w:tc>
          <w:tcPr>
            <w:tcW w:w="1077" w:type="dxa"/>
          </w:tcPr>
          <w:p w14:paraId="3ABCBCF6" w14:textId="77777777" w:rsidR="006F2E44" w:rsidRPr="00BF4550" w:rsidRDefault="006F2E44" w:rsidP="003066EC">
            <w:pPr>
              <w:jc w:val="both"/>
              <w:rPr>
                <w:rFonts w:ascii="Times New Roman" w:hAnsi="Times New Roman" w:cs="Times New Roman"/>
                <w:b/>
                <w:sz w:val="16"/>
                <w:szCs w:val="16"/>
                <w:lang w:val="en-GB"/>
              </w:rPr>
            </w:pPr>
            <w:r w:rsidRPr="00BF4550">
              <w:rPr>
                <w:rFonts w:ascii="Times New Roman" w:hAnsi="Times New Roman" w:cs="Times New Roman"/>
                <w:b/>
                <w:sz w:val="16"/>
                <w:szCs w:val="16"/>
                <w:lang w:val="en-GB"/>
              </w:rPr>
              <w:t>DEVCO</w:t>
            </w:r>
            <w:r>
              <w:rPr>
                <w:rFonts w:ascii="Times New Roman" w:hAnsi="Times New Roman" w:cs="Times New Roman"/>
                <w:b/>
                <w:sz w:val="16"/>
                <w:szCs w:val="16"/>
                <w:lang w:val="en-GB"/>
              </w:rPr>
              <w:t xml:space="preserve"> Allocation (in millions)</w:t>
            </w:r>
          </w:p>
        </w:tc>
      </w:tr>
      <w:tr w:rsidR="00F26DB7" w:rsidRPr="00E05035" w14:paraId="13B3A225" w14:textId="77777777" w:rsidTr="001C212B">
        <w:trPr>
          <w:trHeight w:val="1682"/>
        </w:trPr>
        <w:tc>
          <w:tcPr>
            <w:tcW w:w="1145" w:type="dxa"/>
          </w:tcPr>
          <w:p w14:paraId="15ABC10B" w14:textId="77777777" w:rsidR="006F2E44" w:rsidRPr="00390AD6" w:rsidRDefault="006F2E44" w:rsidP="003066EC">
            <w:pPr>
              <w:jc w:val="both"/>
              <w:rPr>
                <w:rFonts w:ascii="Times New Roman" w:hAnsi="Times New Roman" w:cs="Times New Roman"/>
                <w:b/>
                <w:i/>
                <w:sz w:val="16"/>
                <w:szCs w:val="16"/>
                <w:lang w:val="en-GB"/>
              </w:rPr>
            </w:pPr>
            <w:r w:rsidRPr="00390AD6">
              <w:rPr>
                <w:rFonts w:ascii="Times New Roman" w:hAnsi="Times New Roman" w:cs="Times New Roman"/>
                <w:b/>
                <w:i/>
                <w:sz w:val="16"/>
                <w:szCs w:val="16"/>
                <w:lang w:val="en-GB"/>
              </w:rPr>
              <w:t>North Nigeria</w:t>
            </w:r>
          </w:p>
        </w:tc>
        <w:tc>
          <w:tcPr>
            <w:tcW w:w="1122" w:type="dxa"/>
          </w:tcPr>
          <w:p w14:paraId="79197293" w14:textId="77777777" w:rsidR="006F2E44" w:rsidRPr="00BF4550" w:rsidRDefault="006F2E44" w:rsidP="003066EC">
            <w:pPr>
              <w:jc w:val="center"/>
              <w:rPr>
                <w:rFonts w:ascii="Times New Roman" w:hAnsi="Times New Roman" w:cs="Times New Roman"/>
                <w:sz w:val="16"/>
                <w:szCs w:val="16"/>
                <w:lang w:val="en-GB"/>
              </w:rPr>
            </w:pPr>
            <w:r>
              <w:rPr>
                <w:rFonts w:ascii="Times New Roman" w:hAnsi="Times New Roman" w:cs="Times New Roman"/>
                <w:sz w:val="16"/>
                <w:szCs w:val="16"/>
                <w:lang w:val="en-GB"/>
              </w:rPr>
              <w:t>1,024</w:t>
            </w:r>
          </w:p>
        </w:tc>
        <w:tc>
          <w:tcPr>
            <w:tcW w:w="1159" w:type="dxa"/>
          </w:tcPr>
          <w:p w14:paraId="604D585A" w14:textId="77777777" w:rsidR="006F2E44" w:rsidRPr="00BF4550" w:rsidRDefault="006F2E44" w:rsidP="003066EC">
            <w:pPr>
              <w:jc w:val="center"/>
              <w:rPr>
                <w:rFonts w:ascii="Times New Roman" w:hAnsi="Times New Roman" w:cs="Times New Roman"/>
                <w:sz w:val="16"/>
                <w:szCs w:val="16"/>
                <w:lang w:val="en-GB"/>
              </w:rPr>
            </w:pPr>
            <w:r>
              <w:rPr>
                <w:rFonts w:ascii="Times New Roman" w:hAnsi="Times New Roman" w:cs="Times New Roman"/>
                <w:sz w:val="16"/>
                <w:szCs w:val="16"/>
                <w:lang w:val="en-GB"/>
              </w:rPr>
              <w:t>8.1 million</w:t>
            </w:r>
          </w:p>
        </w:tc>
        <w:tc>
          <w:tcPr>
            <w:tcW w:w="1208" w:type="dxa"/>
          </w:tcPr>
          <w:p w14:paraId="124364B7" w14:textId="77777777" w:rsidR="006F2E44" w:rsidRDefault="006F2E44" w:rsidP="003066EC">
            <w:pPr>
              <w:jc w:val="center"/>
              <w:rPr>
                <w:rFonts w:ascii="Times New Roman" w:hAnsi="Times New Roman" w:cs="Times New Roman"/>
                <w:sz w:val="16"/>
                <w:szCs w:val="16"/>
                <w:lang w:val="en-GB"/>
              </w:rPr>
            </w:pPr>
            <w:r>
              <w:rPr>
                <w:rFonts w:ascii="Times New Roman" w:hAnsi="Times New Roman" w:cs="Times New Roman"/>
                <w:sz w:val="16"/>
                <w:szCs w:val="16"/>
                <w:lang w:val="en-GB"/>
              </w:rPr>
              <w:t xml:space="preserve">9.5% GAM in Northern East Region implying approx. </w:t>
            </w:r>
          </w:p>
          <w:p w14:paraId="3E7B8929" w14:textId="0C92CC0B" w:rsidR="006F2E44" w:rsidRPr="00BF4550" w:rsidRDefault="00525B9E" w:rsidP="003066EC">
            <w:pPr>
              <w:jc w:val="center"/>
              <w:rPr>
                <w:rFonts w:ascii="Times New Roman" w:hAnsi="Times New Roman" w:cs="Times New Roman"/>
                <w:sz w:val="16"/>
                <w:szCs w:val="16"/>
                <w:lang w:val="en-GB"/>
              </w:rPr>
            </w:pPr>
            <w:r w:rsidRPr="001C212B">
              <w:rPr>
                <w:rFonts w:ascii="Times New Roman" w:hAnsi="Times New Roman" w:cs="Times New Roman"/>
                <w:color w:val="FF0000"/>
                <w:sz w:val="16"/>
                <w:szCs w:val="16"/>
                <w:lang w:val="en-GB"/>
              </w:rPr>
              <w:t>2</w:t>
            </w:r>
            <w:r w:rsidR="006F2E44" w:rsidRPr="001C212B">
              <w:rPr>
                <w:rFonts w:ascii="Times New Roman" w:hAnsi="Times New Roman" w:cs="Times New Roman"/>
                <w:color w:val="FF0000"/>
                <w:sz w:val="16"/>
                <w:szCs w:val="16"/>
                <w:lang w:val="en-GB"/>
              </w:rPr>
              <w:t xml:space="preserve"> million GAM cases </w:t>
            </w:r>
            <w:r w:rsidR="006F2E44">
              <w:rPr>
                <w:rFonts w:ascii="Times New Roman" w:hAnsi="Times New Roman" w:cs="Times New Roman"/>
                <w:sz w:val="16"/>
                <w:szCs w:val="16"/>
                <w:lang w:val="en-GB"/>
              </w:rPr>
              <w:t xml:space="preserve">(of which </w:t>
            </w:r>
            <w:r>
              <w:rPr>
                <w:rFonts w:ascii="Times New Roman" w:hAnsi="Times New Roman" w:cs="Times New Roman"/>
                <w:sz w:val="16"/>
                <w:szCs w:val="16"/>
                <w:lang w:val="en-GB"/>
              </w:rPr>
              <w:t>750</w:t>
            </w:r>
            <w:r w:rsidR="006F2E44">
              <w:rPr>
                <w:rFonts w:ascii="Times New Roman" w:hAnsi="Times New Roman" w:cs="Times New Roman"/>
                <w:sz w:val="16"/>
                <w:szCs w:val="16"/>
                <w:lang w:val="en-GB"/>
              </w:rPr>
              <w:t>,000 SAM cases)</w:t>
            </w:r>
            <w:r>
              <w:rPr>
                <w:rStyle w:val="FootnoteReference"/>
                <w:rFonts w:ascii="Times New Roman" w:hAnsi="Times New Roman" w:cs="Times New Roman"/>
                <w:sz w:val="16"/>
                <w:szCs w:val="16"/>
                <w:lang w:val="en-GB"/>
              </w:rPr>
              <w:footnoteReference w:id="5"/>
            </w:r>
          </w:p>
        </w:tc>
        <w:tc>
          <w:tcPr>
            <w:tcW w:w="994" w:type="dxa"/>
          </w:tcPr>
          <w:p w14:paraId="63C28376" w14:textId="1785B9A7" w:rsidR="006F2E44" w:rsidRDefault="00F26DB7" w:rsidP="003066EC">
            <w:pPr>
              <w:jc w:val="center"/>
              <w:rPr>
                <w:rFonts w:ascii="Times New Roman" w:hAnsi="Times New Roman" w:cs="Times New Roman"/>
                <w:sz w:val="16"/>
                <w:szCs w:val="16"/>
                <w:lang w:val="en-GB"/>
              </w:rPr>
            </w:pPr>
            <w:r>
              <w:rPr>
                <w:rFonts w:ascii="Times New Roman" w:hAnsi="Times New Roman" w:cs="Times New Roman"/>
                <w:sz w:val="16"/>
                <w:szCs w:val="16"/>
                <w:lang w:val="en-GB"/>
              </w:rPr>
              <w:t xml:space="preserve">11 million - </w:t>
            </w:r>
            <w:r w:rsidR="00525B9E">
              <w:rPr>
                <w:rFonts w:ascii="Times New Roman" w:hAnsi="Times New Roman" w:cs="Times New Roman"/>
                <w:sz w:val="16"/>
                <w:szCs w:val="16"/>
                <w:lang w:val="en-GB"/>
              </w:rPr>
              <w:t>33</w:t>
            </w:r>
            <w:r w:rsidR="00F74CA6">
              <w:rPr>
                <w:rFonts w:ascii="Times New Roman" w:hAnsi="Times New Roman" w:cs="Times New Roman"/>
                <w:sz w:val="16"/>
                <w:szCs w:val="16"/>
                <w:lang w:val="en-GB"/>
              </w:rPr>
              <w:t>% Stunting (National)</w:t>
            </w:r>
          </w:p>
          <w:p w14:paraId="77C6F486" w14:textId="77777777" w:rsidR="00525B9E" w:rsidRDefault="00525B9E" w:rsidP="00F26DB7">
            <w:pPr>
              <w:jc w:val="center"/>
              <w:rPr>
                <w:rFonts w:ascii="Times New Roman" w:hAnsi="Times New Roman" w:cs="Times New Roman"/>
                <w:sz w:val="16"/>
                <w:szCs w:val="16"/>
                <w:lang w:val="en-GB"/>
              </w:rPr>
            </w:pPr>
          </w:p>
          <w:p w14:paraId="4487683C" w14:textId="77777777" w:rsidR="00F74CA6" w:rsidRDefault="0028608C" w:rsidP="0028608C">
            <w:pPr>
              <w:jc w:val="center"/>
              <w:rPr>
                <w:rFonts w:ascii="Times New Roman" w:hAnsi="Times New Roman" w:cs="Times New Roman"/>
                <w:sz w:val="16"/>
                <w:szCs w:val="16"/>
                <w:lang w:val="en-GB"/>
              </w:rPr>
            </w:pPr>
            <w:r>
              <w:rPr>
                <w:rFonts w:ascii="Times New Roman" w:hAnsi="Times New Roman" w:cs="Times New Roman"/>
                <w:sz w:val="16"/>
                <w:szCs w:val="16"/>
                <w:lang w:val="en-GB"/>
              </w:rPr>
              <w:t>16.7%</w:t>
            </w:r>
            <w:r w:rsidR="00F26DB7">
              <w:rPr>
                <w:rFonts w:ascii="Times New Roman" w:hAnsi="Times New Roman" w:cs="Times New Roman"/>
                <w:sz w:val="16"/>
                <w:szCs w:val="16"/>
                <w:lang w:val="en-GB"/>
              </w:rPr>
              <w:t xml:space="preserve"> North East Region</w:t>
            </w:r>
            <w:r w:rsidR="00525B9E">
              <w:rPr>
                <w:rStyle w:val="FootnoteReference"/>
                <w:rFonts w:ascii="Times New Roman" w:hAnsi="Times New Roman" w:cs="Times New Roman"/>
                <w:sz w:val="16"/>
                <w:szCs w:val="16"/>
                <w:lang w:val="en-GB"/>
              </w:rPr>
              <w:footnoteReference w:id="6"/>
            </w:r>
          </w:p>
          <w:p w14:paraId="3EBD5A6F" w14:textId="37AD9A3F" w:rsidR="001C212B" w:rsidRDefault="001C212B" w:rsidP="0028608C">
            <w:pPr>
              <w:jc w:val="center"/>
              <w:rPr>
                <w:rFonts w:ascii="Times New Roman" w:hAnsi="Times New Roman" w:cs="Times New Roman"/>
                <w:sz w:val="16"/>
                <w:szCs w:val="16"/>
                <w:lang w:val="en-GB"/>
              </w:rPr>
            </w:pPr>
            <w:r w:rsidRPr="001C212B">
              <w:rPr>
                <w:rFonts w:ascii="Times New Roman" w:hAnsi="Times New Roman" w:cs="Times New Roman"/>
                <w:color w:val="FF0000"/>
                <w:sz w:val="16"/>
                <w:szCs w:val="16"/>
                <w:lang w:val="en-GB"/>
              </w:rPr>
              <w:t>approx. 6 million</w:t>
            </w:r>
          </w:p>
        </w:tc>
        <w:tc>
          <w:tcPr>
            <w:tcW w:w="1228" w:type="dxa"/>
          </w:tcPr>
          <w:p w14:paraId="2449CB14" w14:textId="2FD2A2D4" w:rsidR="006F2E44" w:rsidRPr="00BF4550" w:rsidRDefault="006F2E44" w:rsidP="003066EC">
            <w:pPr>
              <w:jc w:val="center"/>
              <w:rPr>
                <w:rFonts w:ascii="Times New Roman" w:hAnsi="Times New Roman" w:cs="Times New Roman"/>
                <w:sz w:val="16"/>
                <w:szCs w:val="16"/>
                <w:lang w:val="en-GB"/>
              </w:rPr>
            </w:pPr>
            <w:r>
              <w:rPr>
                <w:rFonts w:ascii="Times New Roman" w:hAnsi="Times New Roman" w:cs="Times New Roman"/>
                <w:sz w:val="16"/>
                <w:szCs w:val="16"/>
                <w:lang w:val="en-GB"/>
              </w:rPr>
              <w:t>207.5</w:t>
            </w:r>
          </w:p>
        </w:tc>
        <w:tc>
          <w:tcPr>
            <w:tcW w:w="1077" w:type="dxa"/>
          </w:tcPr>
          <w:p w14:paraId="3E00884C" w14:textId="77777777" w:rsidR="006F2E44" w:rsidRPr="00BF4550" w:rsidRDefault="006F2E44" w:rsidP="003066EC">
            <w:pPr>
              <w:jc w:val="center"/>
              <w:rPr>
                <w:rFonts w:ascii="Times New Roman" w:hAnsi="Times New Roman" w:cs="Times New Roman"/>
                <w:sz w:val="16"/>
                <w:szCs w:val="16"/>
                <w:lang w:val="en-GB"/>
              </w:rPr>
            </w:pPr>
            <w:r>
              <w:rPr>
                <w:rFonts w:ascii="Times New Roman" w:hAnsi="Times New Roman" w:cs="Times New Roman"/>
                <w:sz w:val="16"/>
                <w:szCs w:val="16"/>
                <w:lang w:val="en-GB"/>
              </w:rPr>
              <w:t>59.5</w:t>
            </w:r>
          </w:p>
        </w:tc>
        <w:tc>
          <w:tcPr>
            <w:tcW w:w="1077" w:type="dxa"/>
          </w:tcPr>
          <w:p w14:paraId="357990C5" w14:textId="77777777" w:rsidR="006F2E44" w:rsidRPr="00BF4550" w:rsidRDefault="006F2E44" w:rsidP="003066EC">
            <w:pPr>
              <w:jc w:val="center"/>
              <w:rPr>
                <w:rFonts w:ascii="Times New Roman" w:hAnsi="Times New Roman" w:cs="Times New Roman"/>
                <w:sz w:val="16"/>
                <w:szCs w:val="16"/>
                <w:lang w:val="en-GB"/>
              </w:rPr>
            </w:pPr>
            <w:r>
              <w:rPr>
                <w:rFonts w:ascii="Times New Roman" w:hAnsi="Times New Roman" w:cs="Times New Roman"/>
                <w:sz w:val="16"/>
                <w:szCs w:val="16"/>
                <w:lang w:val="en-GB"/>
              </w:rPr>
              <w:t>148</w:t>
            </w:r>
          </w:p>
        </w:tc>
      </w:tr>
      <w:tr w:rsidR="00F26DB7" w:rsidRPr="00E05035" w14:paraId="28F8F2B1" w14:textId="77777777" w:rsidTr="006F2E44">
        <w:tc>
          <w:tcPr>
            <w:tcW w:w="1145" w:type="dxa"/>
          </w:tcPr>
          <w:p w14:paraId="6D603157" w14:textId="383A33B6" w:rsidR="006F2E44" w:rsidRPr="00390AD6" w:rsidRDefault="006F2E44" w:rsidP="003066EC">
            <w:pPr>
              <w:jc w:val="both"/>
              <w:rPr>
                <w:rFonts w:ascii="Times New Roman" w:hAnsi="Times New Roman" w:cs="Times New Roman"/>
                <w:b/>
                <w:i/>
                <w:sz w:val="16"/>
                <w:szCs w:val="16"/>
                <w:lang w:val="en-GB"/>
              </w:rPr>
            </w:pPr>
            <w:r w:rsidRPr="00390AD6">
              <w:rPr>
                <w:rFonts w:ascii="Times New Roman" w:hAnsi="Times New Roman" w:cs="Times New Roman"/>
                <w:b/>
                <w:i/>
                <w:sz w:val="16"/>
                <w:szCs w:val="16"/>
                <w:lang w:val="en-GB"/>
              </w:rPr>
              <w:t>South Sudan</w:t>
            </w:r>
          </w:p>
        </w:tc>
        <w:tc>
          <w:tcPr>
            <w:tcW w:w="1122" w:type="dxa"/>
          </w:tcPr>
          <w:p w14:paraId="1E51D6E3" w14:textId="77777777" w:rsidR="006F2E44" w:rsidRPr="00BF4550" w:rsidRDefault="006F2E44" w:rsidP="003066EC">
            <w:pPr>
              <w:jc w:val="center"/>
              <w:rPr>
                <w:rFonts w:ascii="Times New Roman" w:hAnsi="Times New Roman" w:cs="Times New Roman"/>
                <w:sz w:val="16"/>
                <w:szCs w:val="16"/>
                <w:lang w:val="en-GB"/>
              </w:rPr>
            </w:pPr>
            <w:r>
              <w:rPr>
                <w:rFonts w:ascii="Times New Roman" w:hAnsi="Times New Roman" w:cs="Times New Roman"/>
                <w:sz w:val="16"/>
                <w:szCs w:val="16"/>
                <w:lang w:val="en-GB"/>
              </w:rPr>
              <w:t>1,490</w:t>
            </w:r>
          </w:p>
        </w:tc>
        <w:tc>
          <w:tcPr>
            <w:tcW w:w="1159" w:type="dxa"/>
          </w:tcPr>
          <w:p w14:paraId="44AD74BE" w14:textId="77777777" w:rsidR="006F2E44" w:rsidRPr="00BF4550" w:rsidRDefault="006F2E44" w:rsidP="003066EC">
            <w:pPr>
              <w:jc w:val="center"/>
              <w:rPr>
                <w:rFonts w:ascii="Times New Roman" w:hAnsi="Times New Roman" w:cs="Times New Roman"/>
                <w:sz w:val="16"/>
                <w:szCs w:val="16"/>
                <w:lang w:val="en-GB"/>
              </w:rPr>
            </w:pPr>
            <w:r>
              <w:rPr>
                <w:rFonts w:ascii="Times New Roman" w:hAnsi="Times New Roman" w:cs="Times New Roman"/>
                <w:sz w:val="16"/>
                <w:szCs w:val="16"/>
                <w:lang w:val="en-GB"/>
              </w:rPr>
              <w:t>4.9 million</w:t>
            </w:r>
          </w:p>
        </w:tc>
        <w:tc>
          <w:tcPr>
            <w:tcW w:w="1208" w:type="dxa"/>
          </w:tcPr>
          <w:p w14:paraId="4D64724B" w14:textId="77777777" w:rsidR="006F2E44" w:rsidRPr="00BF4550" w:rsidRDefault="006F2E44" w:rsidP="003066EC">
            <w:pPr>
              <w:jc w:val="center"/>
              <w:rPr>
                <w:rFonts w:ascii="Times New Roman" w:hAnsi="Times New Roman" w:cs="Times New Roman"/>
                <w:sz w:val="16"/>
                <w:szCs w:val="16"/>
                <w:lang w:val="en-GB"/>
              </w:rPr>
            </w:pPr>
            <w:r>
              <w:rPr>
                <w:rFonts w:ascii="Times New Roman" w:hAnsi="Times New Roman" w:cs="Times New Roman"/>
                <w:sz w:val="16"/>
                <w:szCs w:val="16"/>
                <w:lang w:val="en-GB"/>
              </w:rPr>
              <w:t xml:space="preserve">17.9% GAM with </w:t>
            </w:r>
            <w:r w:rsidRPr="001C212B">
              <w:rPr>
                <w:rFonts w:ascii="Times New Roman" w:hAnsi="Times New Roman" w:cs="Times New Roman"/>
                <w:color w:val="FF0000"/>
                <w:sz w:val="16"/>
                <w:szCs w:val="16"/>
                <w:lang w:val="en-GB"/>
              </w:rPr>
              <w:t>1.1 million GAM cases</w:t>
            </w:r>
          </w:p>
        </w:tc>
        <w:tc>
          <w:tcPr>
            <w:tcW w:w="994" w:type="dxa"/>
          </w:tcPr>
          <w:p w14:paraId="420FF213" w14:textId="77777777" w:rsidR="006F2E44" w:rsidRDefault="00731A52" w:rsidP="003066EC">
            <w:pPr>
              <w:jc w:val="center"/>
              <w:rPr>
                <w:rFonts w:ascii="Times New Roman" w:hAnsi="Times New Roman" w:cs="Times New Roman"/>
                <w:sz w:val="16"/>
                <w:szCs w:val="16"/>
                <w:lang w:val="en-GB"/>
              </w:rPr>
            </w:pPr>
            <w:r>
              <w:rPr>
                <w:rFonts w:ascii="Times New Roman" w:hAnsi="Times New Roman" w:cs="Times New Roman"/>
                <w:sz w:val="16"/>
                <w:szCs w:val="16"/>
                <w:lang w:val="en-GB"/>
              </w:rPr>
              <w:t>31%</w:t>
            </w:r>
          </w:p>
          <w:p w14:paraId="0B446C54" w14:textId="24702DA6" w:rsidR="00731A52" w:rsidRDefault="00731A52" w:rsidP="003066EC">
            <w:pPr>
              <w:jc w:val="center"/>
              <w:rPr>
                <w:rFonts w:ascii="Times New Roman" w:hAnsi="Times New Roman" w:cs="Times New Roman"/>
                <w:sz w:val="16"/>
                <w:szCs w:val="16"/>
                <w:lang w:val="en-GB"/>
              </w:rPr>
            </w:pPr>
            <w:r w:rsidRPr="001C212B">
              <w:rPr>
                <w:rFonts w:ascii="Times New Roman" w:hAnsi="Times New Roman" w:cs="Times New Roman"/>
                <w:color w:val="FF0000"/>
                <w:sz w:val="16"/>
                <w:szCs w:val="16"/>
                <w:lang w:val="en-GB"/>
              </w:rPr>
              <w:t>498,000</w:t>
            </w:r>
            <w:r>
              <w:rPr>
                <w:rStyle w:val="FootnoteReference"/>
                <w:rFonts w:ascii="Times New Roman" w:hAnsi="Times New Roman" w:cs="Times New Roman"/>
                <w:sz w:val="16"/>
                <w:szCs w:val="16"/>
                <w:lang w:val="en-GB"/>
              </w:rPr>
              <w:footnoteReference w:id="7"/>
            </w:r>
          </w:p>
        </w:tc>
        <w:tc>
          <w:tcPr>
            <w:tcW w:w="1228" w:type="dxa"/>
          </w:tcPr>
          <w:p w14:paraId="218175D9" w14:textId="01433B3E" w:rsidR="006F2E44" w:rsidRPr="00BF4550" w:rsidRDefault="006F2E44" w:rsidP="003066EC">
            <w:pPr>
              <w:jc w:val="center"/>
              <w:rPr>
                <w:rFonts w:ascii="Times New Roman" w:hAnsi="Times New Roman" w:cs="Times New Roman"/>
                <w:sz w:val="16"/>
                <w:szCs w:val="16"/>
                <w:lang w:val="en-GB"/>
              </w:rPr>
            </w:pPr>
            <w:r>
              <w:rPr>
                <w:rFonts w:ascii="Times New Roman" w:hAnsi="Times New Roman" w:cs="Times New Roman"/>
                <w:sz w:val="16"/>
                <w:szCs w:val="16"/>
                <w:lang w:val="en-GB"/>
              </w:rPr>
              <w:t>146</w:t>
            </w:r>
          </w:p>
        </w:tc>
        <w:tc>
          <w:tcPr>
            <w:tcW w:w="1077" w:type="dxa"/>
          </w:tcPr>
          <w:p w14:paraId="7E92CE0F" w14:textId="77777777" w:rsidR="006F2E44" w:rsidRPr="00BF4550" w:rsidRDefault="006F2E44" w:rsidP="003066EC">
            <w:pPr>
              <w:jc w:val="center"/>
              <w:rPr>
                <w:rFonts w:ascii="Times New Roman" w:hAnsi="Times New Roman" w:cs="Times New Roman"/>
                <w:sz w:val="16"/>
                <w:szCs w:val="16"/>
                <w:lang w:val="en-GB"/>
              </w:rPr>
            </w:pPr>
            <w:r>
              <w:rPr>
                <w:rFonts w:ascii="Times New Roman" w:hAnsi="Times New Roman" w:cs="Times New Roman"/>
                <w:sz w:val="16"/>
                <w:szCs w:val="16"/>
                <w:lang w:val="en-GB"/>
              </w:rPr>
              <w:t>112</w:t>
            </w:r>
          </w:p>
        </w:tc>
        <w:tc>
          <w:tcPr>
            <w:tcW w:w="1077" w:type="dxa"/>
          </w:tcPr>
          <w:p w14:paraId="60F8198C" w14:textId="77777777" w:rsidR="006F2E44" w:rsidRPr="00BF4550" w:rsidRDefault="006F2E44" w:rsidP="003066EC">
            <w:pPr>
              <w:jc w:val="center"/>
              <w:rPr>
                <w:rFonts w:ascii="Times New Roman" w:hAnsi="Times New Roman" w:cs="Times New Roman"/>
                <w:sz w:val="16"/>
                <w:szCs w:val="16"/>
                <w:lang w:val="en-GB"/>
              </w:rPr>
            </w:pPr>
            <w:r>
              <w:rPr>
                <w:rFonts w:ascii="Times New Roman" w:hAnsi="Times New Roman" w:cs="Times New Roman"/>
                <w:sz w:val="16"/>
                <w:szCs w:val="16"/>
                <w:lang w:val="en-GB"/>
              </w:rPr>
              <w:t>34</w:t>
            </w:r>
          </w:p>
        </w:tc>
      </w:tr>
      <w:tr w:rsidR="00F26DB7" w:rsidRPr="00E05035" w14:paraId="70785247" w14:textId="77777777" w:rsidTr="006F2E44">
        <w:tc>
          <w:tcPr>
            <w:tcW w:w="1145" w:type="dxa"/>
          </w:tcPr>
          <w:p w14:paraId="71833A2D" w14:textId="77777777" w:rsidR="006F2E44" w:rsidRPr="00390AD6" w:rsidRDefault="006F2E44" w:rsidP="003066EC">
            <w:pPr>
              <w:jc w:val="both"/>
              <w:rPr>
                <w:rFonts w:ascii="Times New Roman" w:hAnsi="Times New Roman" w:cs="Times New Roman"/>
                <w:b/>
                <w:i/>
                <w:sz w:val="16"/>
                <w:szCs w:val="16"/>
                <w:lang w:val="en-GB"/>
              </w:rPr>
            </w:pPr>
            <w:r w:rsidRPr="00390AD6">
              <w:rPr>
                <w:rFonts w:ascii="Times New Roman" w:hAnsi="Times New Roman" w:cs="Times New Roman"/>
                <w:b/>
                <w:i/>
                <w:sz w:val="16"/>
                <w:szCs w:val="16"/>
                <w:lang w:val="en-GB"/>
              </w:rPr>
              <w:t>Somalia</w:t>
            </w:r>
          </w:p>
        </w:tc>
        <w:tc>
          <w:tcPr>
            <w:tcW w:w="1122" w:type="dxa"/>
          </w:tcPr>
          <w:p w14:paraId="525BD44C" w14:textId="77777777" w:rsidR="006F2E44" w:rsidRPr="00BF4550" w:rsidRDefault="006F2E44" w:rsidP="003066EC">
            <w:pPr>
              <w:jc w:val="center"/>
              <w:rPr>
                <w:rFonts w:ascii="Times New Roman" w:hAnsi="Times New Roman" w:cs="Times New Roman"/>
                <w:sz w:val="16"/>
                <w:szCs w:val="16"/>
                <w:lang w:val="en-GB"/>
              </w:rPr>
            </w:pPr>
            <w:r>
              <w:rPr>
                <w:rFonts w:ascii="Times New Roman" w:hAnsi="Times New Roman" w:cs="Times New Roman"/>
                <w:sz w:val="16"/>
                <w:szCs w:val="16"/>
                <w:lang w:val="en-GB"/>
              </w:rPr>
              <w:t>803</w:t>
            </w:r>
          </w:p>
        </w:tc>
        <w:tc>
          <w:tcPr>
            <w:tcW w:w="1159" w:type="dxa"/>
          </w:tcPr>
          <w:p w14:paraId="27EC3C81" w14:textId="77777777" w:rsidR="006F2E44" w:rsidRPr="00BF4550" w:rsidRDefault="006F2E44" w:rsidP="003066EC">
            <w:pPr>
              <w:jc w:val="center"/>
              <w:rPr>
                <w:rFonts w:ascii="Times New Roman" w:hAnsi="Times New Roman" w:cs="Times New Roman"/>
                <w:sz w:val="16"/>
                <w:szCs w:val="16"/>
                <w:lang w:val="en-GB"/>
              </w:rPr>
            </w:pPr>
            <w:r>
              <w:rPr>
                <w:rFonts w:ascii="Times New Roman" w:hAnsi="Times New Roman" w:cs="Times New Roman"/>
                <w:sz w:val="16"/>
                <w:szCs w:val="16"/>
                <w:lang w:val="en-GB"/>
              </w:rPr>
              <w:t>2.9 million</w:t>
            </w:r>
          </w:p>
        </w:tc>
        <w:tc>
          <w:tcPr>
            <w:tcW w:w="1208" w:type="dxa"/>
          </w:tcPr>
          <w:p w14:paraId="2CD9F2FC" w14:textId="77777777" w:rsidR="006F2E44" w:rsidRDefault="006F2E44" w:rsidP="003066EC">
            <w:pPr>
              <w:jc w:val="center"/>
              <w:rPr>
                <w:rFonts w:ascii="Times New Roman" w:hAnsi="Times New Roman" w:cs="Times New Roman"/>
                <w:sz w:val="16"/>
                <w:szCs w:val="16"/>
                <w:lang w:val="en-GB"/>
              </w:rPr>
            </w:pPr>
            <w:r>
              <w:rPr>
                <w:rFonts w:ascii="Times New Roman" w:hAnsi="Times New Roman" w:cs="Times New Roman"/>
                <w:sz w:val="16"/>
                <w:szCs w:val="16"/>
                <w:lang w:val="en-GB"/>
              </w:rPr>
              <w:t>15.6% GAM</w:t>
            </w:r>
          </w:p>
          <w:p w14:paraId="404B8A62" w14:textId="36DBF423" w:rsidR="006F2E44" w:rsidRPr="00BF4550" w:rsidRDefault="0002170E" w:rsidP="0002170E">
            <w:pPr>
              <w:jc w:val="center"/>
              <w:rPr>
                <w:rFonts w:ascii="Times New Roman" w:hAnsi="Times New Roman" w:cs="Times New Roman"/>
                <w:sz w:val="16"/>
                <w:szCs w:val="16"/>
                <w:lang w:val="en-GB"/>
              </w:rPr>
            </w:pPr>
            <w:r>
              <w:rPr>
                <w:rFonts w:ascii="Times New Roman" w:hAnsi="Times New Roman" w:cs="Times New Roman"/>
                <w:sz w:val="16"/>
                <w:szCs w:val="16"/>
                <w:lang w:val="en-GB"/>
              </w:rPr>
              <w:t xml:space="preserve">with </w:t>
            </w:r>
            <w:r w:rsidRPr="001C212B">
              <w:rPr>
                <w:rFonts w:ascii="Times New Roman" w:hAnsi="Times New Roman" w:cs="Times New Roman"/>
                <w:color w:val="FF0000"/>
                <w:sz w:val="16"/>
                <w:szCs w:val="16"/>
                <w:lang w:val="en-GB"/>
              </w:rPr>
              <w:t>363,000</w:t>
            </w:r>
            <w:r w:rsidR="006F2E44" w:rsidRPr="001C212B">
              <w:rPr>
                <w:rFonts w:ascii="Times New Roman" w:hAnsi="Times New Roman" w:cs="Times New Roman"/>
                <w:color w:val="FF0000"/>
                <w:sz w:val="16"/>
                <w:szCs w:val="16"/>
                <w:lang w:val="en-GB"/>
              </w:rPr>
              <w:t xml:space="preserve"> GAM cases</w:t>
            </w:r>
            <w:r>
              <w:rPr>
                <w:rStyle w:val="FootnoteReference"/>
                <w:rFonts w:ascii="Times New Roman" w:hAnsi="Times New Roman" w:cs="Times New Roman"/>
                <w:sz w:val="16"/>
                <w:szCs w:val="16"/>
                <w:lang w:val="en-GB"/>
              </w:rPr>
              <w:footnoteReference w:id="8"/>
            </w:r>
          </w:p>
        </w:tc>
        <w:tc>
          <w:tcPr>
            <w:tcW w:w="994" w:type="dxa"/>
          </w:tcPr>
          <w:p w14:paraId="258D745C" w14:textId="62DE90D5" w:rsidR="006F2E44" w:rsidRDefault="00076B5B" w:rsidP="003066EC">
            <w:pPr>
              <w:jc w:val="center"/>
              <w:rPr>
                <w:rFonts w:ascii="Times New Roman" w:hAnsi="Times New Roman" w:cs="Times New Roman"/>
                <w:sz w:val="16"/>
                <w:szCs w:val="16"/>
                <w:lang w:val="en-GB"/>
              </w:rPr>
            </w:pPr>
            <w:r>
              <w:rPr>
                <w:rFonts w:ascii="Times New Roman" w:hAnsi="Times New Roman" w:cs="Times New Roman"/>
                <w:sz w:val="16"/>
                <w:szCs w:val="16"/>
                <w:lang w:val="en-GB"/>
              </w:rPr>
              <w:t xml:space="preserve">26% </w:t>
            </w:r>
            <w:r w:rsidRPr="001C212B">
              <w:rPr>
                <w:rFonts w:ascii="Times New Roman" w:hAnsi="Times New Roman" w:cs="Times New Roman"/>
                <w:color w:val="FF0000"/>
                <w:sz w:val="16"/>
                <w:szCs w:val="16"/>
                <w:lang w:val="en-GB"/>
              </w:rPr>
              <w:t>461,000</w:t>
            </w:r>
            <w:r w:rsidRPr="001C212B">
              <w:rPr>
                <w:rStyle w:val="FootnoteReference"/>
                <w:rFonts w:ascii="Times New Roman" w:hAnsi="Times New Roman" w:cs="Times New Roman"/>
                <w:color w:val="FF0000"/>
                <w:sz w:val="16"/>
                <w:szCs w:val="16"/>
                <w:lang w:val="en-GB"/>
              </w:rPr>
              <w:footnoteReference w:id="9"/>
            </w:r>
          </w:p>
        </w:tc>
        <w:tc>
          <w:tcPr>
            <w:tcW w:w="1228" w:type="dxa"/>
          </w:tcPr>
          <w:p w14:paraId="2D08AD77" w14:textId="5AFC8BD6" w:rsidR="006F2E44" w:rsidRPr="00BF4550" w:rsidRDefault="006F2E44" w:rsidP="003066EC">
            <w:pPr>
              <w:jc w:val="center"/>
              <w:rPr>
                <w:rFonts w:ascii="Times New Roman" w:hAnsi="Times New Roman" w:cs="Times New Roman"/>
                <w:sz w:val="16"/>
                <w:szCs w:val="16"/>
                <w:lang w:val="en-GB"/>
              </w:rPr>
            </w:pPr>
            <w:r>
              <w:rPr>
                <w:rFonts w:ascii="Times New Roman" w:hAnsi="Times New Roman" w:cs="Times New Roman"/>
                <w:sz w:val="16"/>
                <w:szCs w:val="16"/>
                <w:lang w:val="en-GB"/>
              </w:rPr>
              <w:t>198.7</w:t>
            </w:r>
          </w:p>
        </w:tc>
        <w:tc>
          <w:tcPr>
            <w:tcW w:w="1077" w:type="dxa"/>
          </w:tcPr>
          <w:p w14:paraId="40F37C3B" w14:textId="77777777" w:rsidR="006F2E44" w:rsidRPr="00BF4550" w:rsidRDefault="006F2E44" w:rsidP="003066EC">
            <w:pPr>
              <w:jc w:val="center"/>
              <w:rPr>
                <w:rFonts w:ascii="Times New Roman" w:hAnsi="Times New Roman" w:cs="Times New Roman"/>
                <w:sz w:val="16"/>
                <w:szCs w:val="16"/>
                <w:lang w:val="en-GB"/>
              </w:rPr>
            </w:pPr>
            <w:r>
              <w:rPr>
                <w:rFonts w:ascii="Times New Roman" w:hAnsi="Times New Roman" w:cs="Times New Roman"/>
                <w:sz w:val="16"/>
                <w:szCs w:val="16"/>
                <w:lang w:val="en-GB"/>
              </w:rPr>
              <w:t>78.7</w:t>
            </w:r>
          </w:p>
        </w:tc>
        <w:tc>
          <w:tcPr>
            <w:tcW w:w="1077" w:type="dxa"/>
          </w:tcPr>
          <w:p w14:paraId="57F1C0A5" w14:textId="77777777" w:rsidR="006F2E44" w:rsidRPr="00BF4550" w:rsidRDefault="006F2E44" w:rsidP="003066EC">
            <w:pPr>
              <w:jc w:val="center"/>
              <w:rPr>
                <w:rFonts w:ascii="Times New Roman" w:hAnsi="Times New Roman" w:cs="Times New Roman"/>
                <w:sz w:val="16"/>
                <w:szCs w:val="16"/>
                <w:lang w:val="en-GB"/>
              </w:rPr>
            </w:pPr>
            <w:r>
              <w:rPr>
                <w:rFonts w:ascii="Times New Roman" w:hAnsi="Times New Roman" w:cs="Times New Roman"/>
                <w:sz w:val="16"/>
                <w:szCs w:val="16"/>
                <w:lang w:val="en-GB"/>
              </w:rPr>
              <w:t>120</w:t>
            </w:r>
          </w:p>
        </w:tc>
      </w:tr>
      <w:tr w:rsidR="00F26DB7" w:rsidRPr="00E05035" w14:paraId="1047A78C" w14:textId="77777777" w:rsidTr="006F2E44">
        <w:tc>
          <w:tcPr>
            <w:tcW w:w="1145" w:type="dxa"/>
          </w:tcPr>
          <w:p w14:paraId="52F973EA" w14:textId="77777777" w:rsidR="006F2E44" w:rsidRPr="00390AD6" w:rsidRDefault="006F2E44" w:rsidP="003066EC">
            <w:pPr>
              <w:jc w:val="both"/>
              <w:rPr>
                <w:rFonts w:ascii="Times New Roman" w:hAnsi="Times New Roman" w:cs="Times New Roman"/>
                <w:b/>
                <w:i/>
                <w:sz w:val="16"/>
                <w:szCs w:val="16"/>
                <w:lang w:val="en-GB"/>
              </w:rPr>
            </w:pPr>
            <w:r w:rsidRPr="00390AD6">
              <w:rPr>
                <w:rFonts w:ascii="Times New Roman" w:hAnsi="Times New Roman" w:cs="Times New Roman"/>
                <w:b/>
                <w:i/>
                <w:sz w:val="16"/>
                <w:szCs w:val="16"/>
                <w:lang w:val="en-GB"/>
              </w:rPr>
              <w:t>Yemen</w:t>
            </w:r>
          </w:p>
        </w:tc>
        <w:tc>
          <w:tcPr>
            <w:tcW w:w="1122" w:type="dxa"/>
          </w:tcPr>
          <w:p w14:paraId="46E0B73E" w14:textId="77777777" w:rsidR="006F2E44" w:rsidRPr="00BF4550" w:rsidRDefault="006F2E44" w:rsidP="003066EC">
            <w:pPr>
              <w:jc w:val="center"/>
              <w:rPr>
                <w:rFonts w:ascii="Times New Roman" w:hAnsi="Times New Roman" w:cs="Times New Roman"/>
                <w:sz w:val="16"/>
                <w:szCs w:val="16"/>
                <w:lang w:val="en-GB"/>
              </w:rPr>
            </w:pPr>
            <w:r>
              <w:rPr>
                <w:rFonts w:ascii="Times New Roman" w:hAnsi="Times New Roman" w:cs="Times New Roman"/>
                <w:sz w:val="16"/>
                <w:szCs w:val="16"/>
                <w:lang w:val="en-GB"/>
              </w:rPr>
              <w:t>1.955</w:t>
            </w:r>
          </w:p>
        </w:tc>
        <w:tc>
          <w:tcPr>
            <w:tcW w:w="1159" w:type="dxa"/>
          </w:tcPr>
          <w:p w14:paraId="35E29A31" w14:textId="77777777" w:rsidR="006F2E44" w:rsidRPr="00BF4550" w:rsidRDefault="006F2E44" w:rsidP="003066EC">
            <w:pPr>
              <w:jc w:val="center"/>
              <w:rPr>
                <w:rFonts w:ascii="Times New Roman" w:hAnsi="Times New Roman" w:cs="Times New Roman"/>
                <w:sz w:val="16"/>
                <w:szCs w:val="16"/>
                <w:lang w:val="en-GB"/>
              </w:rPr>
            </w:pPr>
            <w:r>
              <w:rPr>
                <w:rFonts w:ascii="Times New Roman" w:hAnsi="Times New Roman" w:cs="Times New Roman"/>
                <w:sz w:val="16"/>
                <w:szCs w:val="16"/>
                <w:lang w:val="en-GB"/>
              </w:rPr>
              <w:t>17 million</w:t>
            </w:r>
          </w:p>
        </w:tc>
        <w:tc>
          <w:tcPr>
            <w:tcW w:w="1208" w:type="dxa"/>
          </w:tcPr>
          <w:p w14:paraId="51422D61" w14:textId="77777777" w:rsidR="006F2E44" w:rsidRDefault="006F2E44" w:rsidP="003066EC">
            <w:pPr>
              <w:jc w:val="center"/>
              <w:rPr>
                <w:rFonts w:ascii="Times New Roman" w:hAnsi="Times New Roman" w:cs="Times New Roman"/>
                <w:sz w:val="16"/>
                <w:szCs w:val="16"/>
                <w:lang w:val="en-GB"/>
              </w:rPr>
            </w:pPr>
            <w:r w:rsidRPr="001C212B">
              <w:rPr>
                <w:rFonts w:ascii="Times New Roman" w:hAnsi="Times New Roman" w:cs="Times New Roman"/>
                <w:color w:val="FF0000"/>
                <w:sz w:val="16"/>
                <w:szCs w:val="16"/>
                <w:lang w:val="en-GB"/>
              </w:rPr>
              <w:t xml:space="preserve">2,030,000 </w:t>
            </w:r>
            <w:r>
              <w:rPr>
                <w:rFonts w:ascii="Times New Roman" w:hAnsi="Times New Roman" w:cs="Times New Roman"/>
                <w:sz w:val="16"/>
                <w:szCs w:val="16"/>
                <w:lang w:val="en-GB"/>
              </w:rPr>
              <w:t>GAM cases of which 462,000 SAM cases</w:t>
            </w:r>
            <w:r>
              <w:rPr>
                <w:rStyle w:val="FootnoteReference"/>
                <w:rFonts w:ascii="Times New Roman" w:hAnsi="Times New Roman" w:cs="Times New Roman"/>
                <w:sz w:val="16"/>
                <w:szCs w:val="16"/>
                <w:lang w:val="en-GB"/>
              </w:rPr>
              <w:footnoteReference w:id="10"/>
            </w:r>
          </w:p>
          <w:p w14:paraId="72D3CB6F" w14:textId="77777777" w:rsidR="006F2E44" w:rsidRDefault="006F2E44" w:rsidP="003066EC">
            <w:pPr>
              <w:jc w:val="center"/>
              <w:rPr>
                <w:rFonts w:ascii="Times New Roman" w:hAnsi="Times New Roman" w:cs="Times New Roman"/>
                <w:sz w:val="16"/>
                <w:szCs w:val="16"/>
                <w:lang w:val="en-GB"/>
              </w:rPr>
            </w:pPr>
          </w:p>
          <w:p w14:paraId="4230626D" w14:textId="77777777" w:rsidR="006F2E44" w:rsidRPr="00BF4550" w:rsidRDefault="006F2E44" w:rsidP="003066EC">
            <w:pPr>
              <w:jc w:val="center"/>
              <w:rPr>
                <w:rFonts w:ascii="Times New Roman" w:hAnsi="Times New Roman" w:cs="Times New Roman"/>
                <w:sz w:val="16"/>
                <w:szCs w:val="16"/>
                <w:lang w:val="en-GB"/>
              </w:rPr>
            </w:pPr>
          </w:p>
        </w:tc>
        <w:tc>
          <w:tcPr>
            <w:tcW w:w="994" w:type="dxa"/>
          </w:tcPr>
          <w:p w14:paraId="1EF7E195" w14:textId="77777777" w:rsidR="006F2E44" w:rsidRDefault="00F23ACE" w:rsidP="003066EC">
            <w:pPr>
              <w:jc w:val="center"/>
              <w:rPr>
                <w:rFonts w:ascii="Times New Roman" w:hAnsi="Times New Roman" w:cs="Times New Roman"/>
                <w:sz w:val="16"/>
                <w:szCs w:val="16"/>
                <w:lang w:val="en-GB"/>
              </w:rPr>
            </w:pPr>
            <w:r>
              <w:rPr>
                <w:rFonts w:ascii="Times New Roman" w:hAnsi="Times New Roman" w:cs="Times New Roman"/>
                <w:sz w:val="16"/>
                <w:szCs w:val="16"/>
                <w:lang w:val="en-GB"/>
              </w:rPr>
              <w:t>47%</w:t>
            </w:r>
          </w:p>
          <w:p w14:paraId="5E9BC7A8" w14:textId="4860BCFF" w:rsidR="00F23ACE" w:rsidRDefault="00F23ACE" w:rsidP="003066EC">
            <w:pPr>
              <w:jc w:val="center"/>
              <w:rPr>
                <w:rFonts w:ascii="Times New Roman" w:hAnsi="Times New Roman" w:cs="Times New Roman"/>
                <w:sz w:val="16"/>
                <w:szCs w:val="16"/>
                <w:lang w:val="en-GB"/>
              </w:rPr>
            </w:pPr>
            <w:r w:rsidRPr="001C212B">
              <w:rPr>
                <w:rFonts w:ascii="Times New Roman" w:hAnsi="Times New Roman" w:cs="Times New Roman"/>
                <w:color w:val="FF0000"/>
                <w:sz w:val="16"/>
                <w:szCs w:val="16"/>
                <w:lang w:val="en-GB"/>
              </w:rPr>
              <w:t>1.8 million</w:t>
            </w:r>
            <w:r w:rsidR="009A2F82">
              <w:rPr>
                <w:rStyle w:val="FootnoteReference"/>
                <w:rFonts w:ascii="Times New Roman" w:hAnsi="Times New Roman" w:cs="Times New Roman"/>
                <w:sz w:val="16"/>
                <w:szCs w:val="16"/>
                <w:lang w:val="en-GB"/>
              </w:rPr>
              <w:footnoteReference w:id="11"/>
            </w:r>
          </w:p>
        </w:tc>
        <w:tc>
          <w:tcPr>
            <w:tcW w:w="1228" w:type="dxa"/>
          </w:tcPr>
          <w:p w14:paraId="553CC83D" w14:textId="3EB5C6E3" w:rsidR="006F2E44" w:rsidRPr="00BF4550" w:rsidRDefault="006F2E44" w:rsidP="003066EC">
            <w:pPr>
              <w:jc w:val="center"/>
              <w:rPr>
                <w:rFonts w:ascii="Times New Roman" w:hAnsi="Times New Roman" w:cs="Times New Roman"/>
                <w:sz w:val="16"/>
                <w:szCs w:val="16"/>
                <w:lang w:val="en-GB"/>
              </w:rPr>
            </w:pPr>
            <w:r>
              <w:rPr>
                <w:rFonts w:ascii="Times New Roman" w:hAnsi="Times New Roman" w:cs="Times New Roman"/>
                <w:sz w:val="16"/>
                <w:szCs w:val="16"/>
                <w:lang w:val="en-GB"/>
              </w:rPr>
              <w:t>116</w:t>
            </w:r>
            <w:r>
              <w:rPr>
                <w:rStyle w:val="FootnoteReference"/>
                <w:rFonts w:ascii="Times New Roman" w:hAnsi="Times New Roman" w:cs="Times New Roman"/>
                <w:sz w:val="16"/>
                <w:szCs w:val="16"/>
                <w:lang w:val="en-GB"/>
              </w:rPr>
              <w:footnoteReference w:id="12"/>
            </w:r>
          </w:p>
        </w:tc>
        <w:tc>
          <w:tcPr>
            <w:tcW w:w="1077" w:type="dxa"/>
          </w:tcPr>
          <w:p w14:paraId="17DAA16E" w14:textId="77777777" w:rsidR="006F2E44" w:rsidRPr="00BF4550" w:rsidRDefault="006F2E44" w:rsidP="003066EC">
            <w:pPr>
              <w:jc w:val="center"/>
              <w:rPr>
                <w:rFonts w:ascii="Times New Roman" w:hAnsi="Times New Roman" w:cs="Times New Roman"/>
                <w:sz w:val="16"/>
                <w:szCs w:val="16"/>
                <w:lang w:val="en-GB"/>
              </w:rPr>
            </w:pPr>
            <w:r>
              <w:rPr>
                <w:rFonts w:ascii="Times New Roman" w:hAnsi="Times New Roman" w:cs="Times New Roman"/>
                <w:sz w:val="16"/>
                <w:szCs w:val="16"/>
                <w:lang w:val="en-GB"/>
              </w:rPr>
              <w:t>46</w:t>
            </w:r>
          </w:p>
        </w:tc>
        <w:tc>
          <w:tcPr>
            <w:tcW w:w="1077" w:type="dxa"/>
          </w:tcPr>
          <w:p w14:paraId="396FC790" w14:textId="77777777" w:rsidR="006F2E44" w:rsidRPr="00BF4550" w:rsidRDefault="006F2E44" w:rsidP="003066EC">
            <w:pPr>
              <w:jc w:val="center"/>
              <w:rPr>
                <w:rFonts w:ascii="Times New Roman" w:hAnsi="Times New Roman" w:cs="Times New Roman"/>
                <w:sz w:val="16"/>
                <w:szCs w:val="16"/>
                <w:lang w:val="en-GB"/>
              </w:rPr>
            </w:pPr>
            <w:r>
              <w:rPr>
                <w:rFonts w:ascii="Times New Roman" w:hAnsi="Times New Roman" w:cs="Times New Roman"/>
                <w:sz w:val="16"/>
                <w:szCs w:val="16"/>
                <w:lang w:val="en-GB"/>
              </w:rPr>
              <w:t>70</w:t>
            </w:r>
          </w:p>
        </w:tc>
      </w:tr>
      <w:tr w:rsidR="00F26DB7" w:rsidRPr="00E05035" w14:paraId="69A72B76" w14:textId="77777777" w:rsidTr="006F2E44">
        <w:trPr>
          <w:trHeight w:val="170"/>
        </w:trPr>
        <w:tc>
          <w:tcPr>
            <w:tcW w:w="1145" w:type="dxa"/>
          </w:tcPr>
          <w:p w14:paraId="27F35D3C" w14:textId="2695D4B7" w:rsidR="006F2E44" w:rsidRPr="00224BAB" w:rsidRDefault="006F2E44" w:rsidP="003066EC">
            <w:pPr>
              <w:jc w:val="both"/>
              <w:rPr>
                <w:rFonts w:ascii="Times New Roman" w:hAnsi="Times New Roman" w:cs="Times New Roman"/>
                <w:b/>
                <w:sz w:val="16"/>
                <w:szCs w:val="16"/>
                <w:lang w:val="en-GB"/>
              </w:rPr>
            </w:pPr>
            <w:r w:rsidRPr="00224BAB">
              <w:rPr>
                <w:rFonts w:ascii="Times New Roman" w:hAnsi="Times New Roman" w:cs="Times New Roman"/>
                <w:b/>
                <w:sz w:val="16"/>
                <w:szCs w:val="16"/>
                <w:lang w:val="en-GB"/>
              </w:rPr>
              <w:t>TOTAL</w:t>
            </w:r>
          </w:p>
        </w:tc>
        <w:tc>
          <w:tcPr>
            <w:tcW w:w="1122" w:type="dxa"/>
          </w:tcPr>
          <w:p w14:paraId="3E4C8331" w14:textId="77777777" w:rsidR="006F2E44" w:rsidRPr="00224BAB" w:rsidRDefault="006F2E44" w:rsidP="003066EC">
            <w:pPr>
              <w:jc w:val="center"/>
              <w:rPr>
                <w:rFonts w:ascii="Times New Roman" w:hAnsi="Times New Roman" w:cs="Times New Roman"/>
                <w:b/>
                <w:sz w:val="16"/>
                <w:szCs w:val="16"/>
                <w:lang w:val="en-GB"/>
              </w:rPr>
            </w:pPr>
            <w:r w:rsidRPr="00224BAB">
              <w:rPr>
                <w:rFonts w:ascii="Times New Roman" w:hAnsi="Times New Roman" w:cs="Times New Roman"/>
                <w:b/>
                <w:sz w:val="16"/>
                <w:szCs w:val="16"/>
                <w:lang w:val="en-GB"/>
              </w:rPr>
              <w:t>5,272</w:t>
            </w:r>
          </w:p>
        </w:tc>
        <w:tc>
          <w:tcPr>
            <w:tcW w:w="1159" w:type="dxa"/>
          </w:tcPr>
          <w:p w14:paraId="1851B1B7" w14:textId="77777777" w:rsidR="006F2E44" w:rsidRPr="00224BAB" w:rsidRDefault="006F2E44" w:rsidP="003066EC">
            <w:pPr>
              <w:jc w:val="center"/>
              <w:rPr>
                <w:rFonts w:ascii="Times New Roman" w:hAnsi="Times New Roman" w:cs="Times New Roman"/>
                <w:b/>
                <w:sz w:val="16"/>
                <w:szCs w:val="16"/>
                <w:lang w:val="en-GB"/>
              </w:rPr>
            </w:pPr>
            <w:r>
              <w:rPr>
                <w:rFonts w:ascii="Times New Roman" w:hAnsi="Times New Roman" w:cs="Times New Roman"/>
                <w:b/>
                <w:sz w:val="16"/>
                <w:szCs w:val="16"/>
                <w:lang w:val="en-GB"/>
              </w:rPr>
              <w:t>32.9</w:t>
            </w:r>
            <w:r w:rsidRPr="00224BAB">
              <w:rPr>
                <w:rFonts w:ascii="Times New Roman" w:hAnsi="Times New Roman" w:cs="Times New Roman"/>
                <w:b/>
                <w:sz w:val="16"/>
                <w:szCs w:val="16"/>
                <w:lang w:val="en-GB"/>
              </w:rPr>
              <w:t xml:space="preserve"> million </w:t>
            </w:r>
          </w:p>
        </w:tc>
        <w:tc>
          <w:tcPr>
            <w:tcW w:w="1208" w:type="dxa"/>
          </w:tcPr>
          <w:p w14:paraId="111B74D4" w14:textId="233DB10C" w:rsidR="006F2E44" w:rsidRPr="00224BAB" w:rsidRDefault="001C212B" w:rsidP="003066EC">
            <w:pPr>
              <w:jc w:val="center"/>
              <w:rPr>
                <w:rFonts w:ascii="Times New Roman" w:hAnsi="Times New Roman" w:cs="Times New Roman"/>
                <w:b/>
                <w:sz w:val="16"/>
                <w:szCs w:val="16"/>
                <w:lang w:val="en-GB"/>
              </w:rPr>
            </w:pPr>
            <w:r>
              <w:rPr>
                <w:rFonts w:ascii="Times New Roman" w:hAnsi="Times New Roman" w:cs="Times New Roman"/>
                <w:b/>
                <w:color w:val="FF0000"/>
                <w:sz w:val="16"/>
                <w:szCs w:val="16"/>
                <w:lang w:val="en-GB"/>
              </w:rPr>
              <w:t>Almost 5.5</w:t>
            </w:r>
            <w:r w:rsidR="006F2E44" w:rsidRPr="001C212B">
              <w:rPr>
                <w:rFonts w:ascii="Times New Roman" w:hAnsi="Times New Roman" w:cs="Times New Roman"/>
                <w:b/>
                <w:color w:val="FF0000"/>
                <w:sz w:val="16"/>
                <w:szCs w:val="16"/>
                <w:lang w:val="en-GB"/>
              </w:rPr>
              <w:t xml:space="preserve"> million GAM cases </w:t>
            </w:r>
            <w:r w:rsidR="006F2E44">
              <w:rPr>
                <w:rFonts w:ascii="Times New Roman" w:hAnsi="Times New Roman" w:cs="Times New Roman"/>
                <w:b/>
                <w:sz w:val="16"/>
                <w:szCs w:val="16"/>
                <w:lang w:val="en-GB"/>
              </w:rPr>
              <w:t>(number of SAM cases in excess of 1 million)</w:t>
            </w:r>
          </w:p>
        </w:tc>
        <w:tc>
          <w:tcPr>
            <w:tcW w:w="994" w:type="dxa"/>
          </w:tcPr>
          <w:p w14:paraId="6321E6E5" w14:textId="4F8C4E69" w:rsidR="006F2E44" w:rsidRPr="00224BAB" w:rsidRDefault="00F35A7F" w:rsidP="003066EC">
            <w:pPr>
              <w:jc w:val="center"/>
              <w:rPr>
                <w:rFonts w:ascii="Times New Roman" w:hAnsi="Times New Roman" w:cs="Times New Roman"/>
                <w:b/>
                <w:sz w:val="16"/>
                <w:szCs w:val="16"/>
                <w:lang w:val="en-GB"/>
              </w:rPr>
            </w:pPr>
            <w:r w:rsidRPr="001C212B">
              <w:rPr>
                <w:rFonts w:ascii="Times New Roman" w:hAnsi="Times New Roman" w:cs="Times New Roman"/>
                <w:b/>
                <w:color w:val="FF0000"/>
                <w:sz w:val="16"/>
                <w:szCs w:val="16"/>
                <w:lang w:val="en-GB"/>
              </w:rPr>
              <w:t xml:space="preserve">8-10 million </w:t>
            </w:r>
            <w:r>
              <w:rPr>
                <w:rStyle w:val="FootnoteReference"/>
                <w:rFonts w:ascii="Times New Roman" w:hAnsi="Times New Roman" w:cs="Times New Roman"/>
                <w:b/>
                <w:sz w:val="16"/>
                <w:szCs w:val="16"/>
                <w:lang w:val="en-GB"/>
              </w:rPr>
              <w:footnoteReference w:id="13"/>
            </w:r>
          </w:p>
        </w:tc>
        <w:tc>
          <w:tcPr>
            <w:tcW w:w="1228" w:type="dxa"/>
          </w:tcPr>
          <w:p w14:paraId="655D9718" w14:textId="19476607" w:rsidR="006F2E44" w:rsidRPr="00224BAB" w:rsidRDefault="006F2E44" w:rsidP="003066EC">
            <w:pPr>
              <w:jc w:val="center"/>
              <w:rPr>
                <w:rFonts w:ascii="Times New Roman" w:hAnsi="Times New Roman" w:cs="Times New Roman"/>
                <w:b/>
                <w:sz w:val="16"/>
                <w:szCs w:val="16"/>
                <w:lang w:val="en-GB"/>
              </w:rPr>
            </w:pPr>
            <w:r w:rsidRPr="00224BAB">
              <w:rPr>
                <w:rFonts w:ascii="Times New Roman" w:hAnsi="Times New Roman" w:cs="Times New Roman"/>
                <w:b/>
                <w:sz w:val="16"/>
                <w:szCs w:val="16"/>
                <w:lang w:val="en-GB"/>
              </w:rPr>
              <w:t>668.2</w:t>
            </w:r>
          </w:p>
        </w:tc>
        <w:tc>
          <w:tcPr>
            <w:tcW w:w="1077" w:type="dxa"/>
          </w:tcPr>
          <w:p w14:paraId="527A68C2" w14:textId="77777777" w:rsidR="006F2E44" w:rsidRPr="00224BAB" w:rsidRDefault="006F2E44" w:rsidP="003066EC">
            <w:pPr>
              <w:jc w:val="center"/>
              <w:rPr>
                <w:rFonts w:ascii="Times New Roman" w:hAnsi="Times New Roman" w:cs="Times New Roman"/>
                <w:b/>
                <w:sz w:val="16"/>
                <w:szCs w:val="16"/>
                <w:lang w:val="en-GB"/>
              </w:rPr>
            </w:pPr>
            <w:r w:rsidRPr="00224BAB">
              <w:rPr>
                <w:rFonts w:ascii="Times New Roman" w:hAnsi="Times New Roman" w:cs="Times New Roman"/>
                <w:b/>
                <w:sz w:val="16"/>
                <w:szCs w:val="16"/>
                <w:lang w:val="en-GB"/>
              </w:rPr>
              <w:t>296.2</w:t>
            </w:r>
          </w:p>
        </w:tc>
        <w:tc>
          <w:tcPr>
            <w:tcW w:w="1077" w:type="dxa"/>
          </w:tcPr>
          <w:p w14:paraId="3D11A9AD" w14:textId="77777777" w:rsidR="006F2E44" w:rsidRPr="00224BAB" w:rsidRDefault="006F2E44" w:rsidP="003066EC">
            <w:pPr>
              <w:jc w:val="center"/>
              <w:rPr>
                <w:rFonts w:ascii="Times New Roman" w:hAnsi="Times New Roman" w:cs="Times New Roman"/>
                <w:b/>
                <w:sz w:val="16"/>
                <w:szCs w:val="16"/>
                <w:lang w:val="en-GB"/>
              </w:rPr>
            </w:pPr>
            <w:r>
              <w:rPr>
                <w:rFonts w:ascii="Times New Roman" w:hAnsi="Times New Roman" w:cs="Times New Roman"/>
                <w:b/>
                <w:sz w:val="16"/>
                <w:szCs w:val="16"/>
                <w:lang w:val="en-GB"/>
              </w:rPr>
              <w:t>372</w:t>
            </w:r>
          </w:p>
        </w:tc>
      </w:tr>
    </w:tbl>
    <w:p w14:paraId="4D3B30FF" w14:textId="77777777" w:rsidR="006F2E44" w:rsidRPr="00E05035" w:rsidRDefault="006F2E44" w:rsidP="006F2E44">
      <w:pPr>
        <w:jc w:val="both"/>
        <w:rPr>
          <w:rFonts w:ascii="Times New Roman" w:hAnsi="Times New Roman" w:cs="Times New Roman"/>
          <w:sz w:val="20"/>
          <w:szCs w:val="20"/>
          <w:lang w:val="en-GB"/>
        </w:rPr>
      </w:pPr>
    </w:p>
    <w:p w14:paraId="573BC2D7" w14:textId="6AEEFBBE" w:rsidR="0028608C" w:rsidRPr="001C212B" w:rsidRDefault="0028608C" w:rsidP="0028608C">
      <w:pPr>
        <w:shd w:val="clear" w:color="auto" w:fill="FFFFFF"/>
        <w:jc w:val="both"/>
        <w:rPr>
          <w:rFonts w:ascii="Times New Roman" w:hAnsi="Times New Roman" w:cs="Times New Roman"/>
          <w:b/>
          <w:bCs/>
          <w:color w:val="222222"/>
          <w:sz w:val="28"/>
          <w:szCs w:val="28"/>
          <w:u w:val="single"/>
        </w:rPr>
      </w:pPr>
      <w:r w:rsidRPr="001C212B">
        <w:rPr>
          <w:rFonts w:ascii="Times New Roman" w:hAnsi="Times New Roman" w:cs="Times New Roman"/>
          <w:b/>
          <w:bCs/>
          <w:color w:val="222222"/>
          <w:sz w:val="28"/>
          <w:szCs w:val="28"/>
          <w:u w:val="single"/>
        </w:rPr>
        <w:t xml:space="preserve">ANNEX 1: </w:t>
      </w:r>
      <w:r w:rsidR="002B38E9">
        <w:rPr>
          <w:rFonts w:ascii="Times New Roman" w:hAnsi="Times New Roman" w:cs="Times New Roman"/>
          <w:b/>
          <w:bCs/>
          <w:color w:val="222222"/>
          <w:sz w:val="28"/>
          <w:szCs w:val="28"/>
          <w:u w:val="single"/>
        </w:rPr>
        <w:t xml:space="preserve">Overview of </w:t>
      </w:r>
      <w:r w:rsidRPr="001C212B">
        <w:rPr>
          <w:rFonts w:ascii="Times New Roman" w:hAnsi="Times New Roman" w:cs="Times New Roman"/>
          <w:b/>
          <w:bCs/>
          <w:color w:val="222222"/>
          <w:sz w:val="28"/>
          <w:szCs w:val="28"/>
          <w:u w:val="single"/>
        </w:rPr>
        <w:t>Research Priorities Identified</w:t>
      </w:r>
      <w:r w:rsidR="00811A8D" w:rsidRPr="001C212B">
        <w:rPr>
          <w:rFonts w:ascii="Times New Roman" w:hAnsi="Times New Roman" w:cs="Times New Roman"/>
          <w:b/>
          <w:bCs/>
          <w:color w:val="222222"/>
          <w:sz w:val="28"/>
          <w:szCs w:val="28"/>
          <w:u w:val="single"/>
        </w:rPr>
        <w:t xml:space="preserve"> by WAST-TIG</w:t>
      </w:r>
      <w:r w:rsidR="002B38E9">
        <w:rPr>
          <w:rFonts w:ascii="Times New Roman" w:hAnsi="Times New Roman" w:cs="Times New Roman"/>
          <w:b/>
          <w:bCs/>
          <w:color w:val="222222"/>
          <w:sz w:val="28"/>
          <w:szCs w:val="28"/>
          <w:u w:val="single"/>
        </w:rPr>
        <w:t xml:space="preserve"> (2016)</w:t>
      </w:r>
      <w:r w:rsidRPr="001C212B">
        <w:rPr>
          <w:rStyle w:val="FootnoteReference"/>
          <w:rFonts w:ascii="Times New Roman" w:hAnsi="Times New Roman" w:cs="Times New Roman"/>
          <w:b/>
          <w:bCs/>
          <w:color w:val="222222"/>
          <w:sz w:val="28"/>
          <w:szCs w:val="28"/>
          <w:u w:val="single"/>
        </w:rPr>
        <w:footnoteReference w:id="14"/>
      </w:r>
      <w:r w:rsidRPr="001C212B">
        <w:rPr>
          <w:rFonts w:ascii="Times New Roman" w:hAnsi="Times New Roman" w:cs="Times New Roman"/>
          <w:b/>
          <w:bCs/>
          <w:color w:val="222222"/>
          <w:sz w:val="28"/>
          <w:szCs w:val="28"/>
          <w:u w:val="single"/>
        </w:rPr>
        <w:t>:</w:t>
      </w:r>
    </w:p>
    <w:p w14:paraId="2AAE87D3" w14:textId="77777777" w:rsidR="0028608C" w:rsidRPr="003B4C74" w:rsidRDefault="0028608C" w:rsidP="0028608C">
      <w:pPr>
        <w:shd w:val="clear" w:color="auto" w:fill="FFFFFF"/>
        <w:jc w:val="both"/>
        <w:rPr>
          <w:rFonts w:ascii="Times New Roman" w:hAnsi="Times New Roman" w:cs="Times New Roman"/>
          <w:b/>
          <w:bCs/>
          <w:color w:val="222222"/>
        </w:rPr>
      </w:pPr>
    </w:p>
    <w:p w14:paraId="049D7BB4" w14:textId="77777777" w:rsidR="0028608C" w:rsidRPr="003B4C74" w:rsidRDefault="0028608C" w:rsidP="0028608C">
      <w:pPr>
        <w:pStyle w:val="NormalWeb"/>
        <w:spacing w:before="0" w:beforeAutospacing="0" w:after="0" w:afterAutospacing="0"/>
        <w:jc w:val="both"/>
        <w:rPr>
          <w:color w:val="222222"/>
        </w:rPr>
      </w:pPr>
      <w:r w:rsidRPr="003B4C74">
        <w:rPr>
          <w:rStyle w:val="Emphasis"/>
          <w:color w:val="222222"/>
        </w:rPr>
        <w:t>Question 1: “Can interventions outside of the 1,000 days, e.g. pre-school, school-age and adolescence, lead to catch-up in height and in other developmental markers?”</w:t>
      </w:r>
    </w:p>
    <w:p w14:paraId="289F57E6" w14:textId="77777777" w:rsidR="0028608C" w:rsidRPr="003B4C74" w:rsidRDefault="0028608C" w:rsidP="0028608C">
      <w:pPr>
        <w:pStyle w:val="NormalWeb"/>
        <w:spacing w:before="192" w:beforeAutospacing="0" w:after="192" w:afterAutospacing="0"/>
        <w:jc w:val="both"/>
        <w:rPr>
          <w:color w:val="222222"/>
        </w:rPr>
      </w:pPr>
      <w:r w:rsidRPr="003B4C74">
        <w:rPr>
          <w:color w:val="222222"/>
        </w:rPr>
        <w:t>This area has had little attention but could have important implications; for example with adolescent girls where the evidence shows that maternal stature may predict a child’s size at birth. The timing of interventions to promote catch-up growth in mid-childhood and adolescence is not well un</w:t>
      </w:r>
      <w:r>
        <w:rPr>
          <w:color w:val="222222"/>
        </w:rPr>
        <w:t xml:space="preserve">derstood, but may be important </w:t>
      </w:r>
      <w:r w:rsidRPr="003B4C74">
        <w:rPr>
          <w:color w:val="222222"/>
        </w:rPr>
        <w:t>for meeting undernutrition targets.</w:t>
      </w:r>
    </w:p>
    <w:p w14:paraId="03FBCC2E" w14:textId="77777777" w:rsidR="0028608C" w:rsidRPr="003B4C74" w:rsidRDefault="0028608C" w:rsidP="0028608C">
      <w:pPr>
        <w:pStyle w:val="NormalWeb"/>
        <w:spacing w:before="0" w:beforeAutospacing="0" w:after="0" w:afterAutospacing="0"/>
        <w:jc w:val="both"/>
        <w:rPr>
          <w:color w:val="222222"/>
        </w:rPr>
      </w:pPr>
      <w:r w:rsidRPr="003B4C74">
        <w:rPr>
          <w:rStyle w:val="Emphasis"/>
          <w:color w:val="222222"/>
        </w:rPr>
        <w:t>Question 2: “What timely interventions work to mitigate seasonal peaks in undernutrition (both wasting and stunting)?”</w:t>
      </w:r>
    </w:p>
    <w:p w14:paraId="6DD4A7F9" w14:textId="77777777" w:rsidR="0028608C" w:rsidRPr="003B4C74" w:rsidRDefault="0028608C" w:rsidP="0028608C">
      <w:pPr>
        <w:pStyle w:val="NormalWeb"/>
        <w:spacing w:before="192" w:beforeAutospacing="0" w:after="192" w:afterAutospacing="0"/>
        <w:jc w:val="both"/>
        <w:rPr>
          <w:color w:val="222222"/>
        </w:rPr>
      </w:pPr>
      <w:r w:rsidRPr="003B4C74">
        <w:rPr>
          <w:color w:val="222222"/>
        </w:rPr>
        <w:t>A number of countries have strong seasonal patterns of stunting and wasting that may illustrate some correlation between the two forms of undernutrition, but there are many unanswered questions in this area. Recent trials have shown the provision of seasonal nutritional supplementation in Niger to have effects on both wasting and stunting (Isanaka et al, 2008). The prioritisation of this question is a call for future studies to measure both wasting and stunting.</w:t>
      </w:r>
    </w:p>
    <w:p w14:paraId="123CDC31" w14:textId="77777777" w:rsidR="0028608C" w:rsidRPr="003B4C74" w:rsidRDefault="0028608C" w:rsidP="0028608C">
      <w:pPr>
        <w:pStyle w:val="NormalWeb"/>
        <w:spacing w:before="0" w:beforeAutospacing="0" w:after="0" w:afterAutospacing="0"/>
        <w:jc w:val="both"/>
        <w:rPr>
          <w:color w:val="222222"/>
        </w:rPr>
      </w:pPr>
      <w:r w:rsidRPr="003B4C74">
        <w:rPr>
          <w:rStyle w:val="Emphasis"/>
          <w:color w:val="222222"/>
        </w:rPr>
        <w:t>Question 3: “What is the optimal formulation of RUTF to promote optimal ponderal growth and also support linear growth during and after SAM recovery?”</w:t>
      </w:r>
    </w:p>
    <w:p w14:paraId="43D80A75" w14:textId="77777777" w:rsidR="0028608C" w:rsidRPr="003B4C74" w:rsidRDefault="0028608C" w:rsidP="0028608C">
      <w:pPr>
        <w:pStyle w:val="NormalWeb"/>
        <w:spacing w:before="192" w:beforeAutospacing="0" w:after="192" w:afterAutospacing="0"/>
        <w:jc w:val="both"/>
        <w:rPr>
          <w:color w:val="222222"/>
        </w:rPr>
      </w:pPr>
      <w:r w:rsidRPr="003B4C74">
        <w:rPr>
          <w:color w:val="222222"/>
        </w:rPr>
        <w:t>This question reflects the fact that few studies of SAM or moderate acute malnutrition (MAM) treatment have looked at linear growth during or after treatment, or compared different formulations of RUTF in trials of adequate size. Where such studies exist, findings suggest no positive effect of RUTF on stunting. However, there is evidence that linear growth ceases or slows</w:t>
      </w:r>
      <w:r>
        <w:rPr>
          <w:color w:val="222222"/>
        </w:rPr>
        <w:t xml:space="preserve"> down during periods of wasting,</w:t>
      </w:r>
      <w:r w:rsidRPr="003B4C74">
        <w:rPr>
          <w:color w:val="222222"/>
        </w:rPr>
        <w:t xml:space="preserve"> therefore timing of restarting linear growth and how to support this </w:t>
      </w:r>
      <w:r>
        <w:rPr>
          <w:color w:val="222222"/>
        </w:rPr>
        <w:t>during treatment for wasting is</w:t>
      </w:r>
      <w:r w:rsidRPr="003B4C74">
        <w:rPr>
          <w:color w:val="222222"/>
        </w:rPr>
        <w:t xml:space="preserve"> consi</w:t>
      </w:r>
      <w:r>
        <w:rPr>
          <w:color w:val="222222"/>
        </w:rPr>
        <w:t>dered a research priority.</w:t>
      </w:r>
    </w:p>
    <w:p w14:paraId="52160F5B" w14:textId="77777777" w:rsidR="0028608C" w:rsidRPr="003B4C74" w:rsidRDefault="0028608C" w:rsidP="0028608C">
      <w:pPr>
        <w:pStyle w:val="NormalWeb"/>
        <w:spacing w:before="0" w:beforeAutospacing="0" w:after="0" w:afterAutospacing="0"/>
        <w:jc w:val="both"/>
        <w:rPr>
          <w:color w:val="222222"/>
        </w:rPr>
      </w:pPr>
      <w:r w:rsidRPr="003B4C74">
        <w:rPr>
          <w:rStyle w:val="Emphasis"/>
          <w:color w:val="222222"/>
        </w:rPr>
        <w:t>Questions 4 and 5: “What is the role of pre-pregnancy nutritional status in determining risk of being born stunted and/or wasted?” and “What are the effective packages of interventions for both maternal nutrition and new-born outcomes?”</w:t>
      </w:r>
    </w:p>
    <w:p w14:paraId="335802A1" w14:textId="77777777" w:rsidR="0028608C" w:rsidRDefault="0028608C" w:rsidP="0028608C">
      <w:pPr>
        <w:pStyle w:val="NormalWeb"/>
        <w:spacing w:before="192" w:beforeAutospacing="0" w:after="192" w:afterAutospacing="0"/>
        <w:jc w:val="both"/>
        <w:rPr>
          <w:color w:val="222222"/>
        </w:rPr>
      </w:pPr>
      <w:r w:rsidRPr="003B4C74">
        <w:rPr>
          <w:color w:val="222222"/>
        </w:rPr>
        <w:t>There is an increasing call for research on pre-conceptual interventions for improving maternal pre-pregnancy Body Mass Index (BMI), and that can influence adult height in order to benefit foetal growth. Other investigations into support for maternal nutrition could help programmers break the inter-generational cycle of undernutrition.</w:t>
      </w:r>
    </w:p>
    <w:p w14:paraId="70FA36D8" w14:textId="77777777" w:rsidR="000459F7" w:rsidRDefault="000459F7" w:rsidP="00D85FF2">
      <w:pPr>
        <w:pStyle w:val="NormalWeb"/>
        <w:shd w:val="clear" w:color="auto" w:fill="FFFFFF"/>
        <w:spacing w:before="192" w:beforeAutospacing="0" w:after="192" w:afterAutospacing="0" w:line="336" w:lineRule="atLeast"/>
        <w:rPr>
          <w:rFonts w:ascii="Arial" w:hAnsi="Arial" w:cs="Arial"/>
          <w:color w:val="222222"/>
          <w:sz w:val="21"/>
          <w:szCs w:val="21"/>
        </w:rPr>
      </w:pPr>
    </w:p>
    <w:p w14:paraId="0E059F8A" w14:textId="77777777" w:rsidR="00D85FF2" w:rsidRPr="00BC62D3" w:rsidRDefault="00D85FF2" w:rsidP="00BC62D3">
      <w:pPr>
        <w:rPr>
          <w:rFonts w:ascii="Times New Roman" w:eastAsia="Times New Roman" w:hAnsi="Times New Roman" w:cs="Times New Roman"/>
        </w:rPr>
      </w:pPr>
    </w:p>
    <w:p w14:paraId="7FFFF460" w14:textId="77777777" w:rsidR="00BC62D3" w:rsidRPr="00BC62D3" w:rsidRDefault="00BC62D3">
      <w:pPr>
        <w:rPr>
          <w:rFonts w:ascii="Times New Roman" w:hAnsi="Times New Roman" w:cs="Times New Roman"/>
        </w:rPr>
      </w:pPr>
    </w:p>
    <w:p w14:paraId="1220EDCD" w14:textId="77777777" w:rsidR="007A5DA9" w:rsidRDefault="007A5DA9"/>
    <w:p w14:paraId="144F8759" w14:textId="77777777" w:rsidR="007A5DA9" w:rsidRDefault="007A5DA9"/>
    <w:p w14:paraId="7D5222C7" w14:textId="77777777" w:rsidR="007A5DA9" w:rsidRDefault="007A5DA9"/>
    <w:p w14:paraId="322764B2" w14:textId="77777777" w:rsidR="0005113E" w:rsidRDefault="0005113E"/>
    <w:sectPr w:rsidR="0005113E" w:rsidSect="008E2BAC">
      <w:footerReference w:type="even"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0AC88" w14:textId="77777777" w:rsidR="00DB2D8B" w:rsidRDefault="00DB2D8B" w:rsidP="00CC6865">
      <w:r>
        <w:separator/>
      </w:r>
    </w:p>
  </w:endnote>
  <w:endnote w:type="continuationSeparator" w:id="0">
    <w:p w14:paraId="56518161" w14:textId="77777777" w:rsidR="00DB2D8B" w:rsidRDefault="00DB2D8B" w:rsidP="00CC6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8C3F6" w14:textId="77777777" w:rsidR="00EC5AA2" w:rsidRDefault="00EC5AA2" w:rsidP="00AB20B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7EB37E" w14:textId="77777777" w:rsidR="00EC5AA2" w:rsidRDefault="00EC5AA2" w:rsidP="00EC5AA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85450" w14:textId="77777777" w:rsidR="00EC5AA2" w:rsidRDefault="00EC5AA2" w:rsidP="00AB20B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2D8B">
      <w:rPr>
        <w:rStyle w:val="PageNumber"/>
        <w:noProof/>
      </w:rPr>
      <w:t>1</w:t>
    </w:r>
    <w:r>
      <w:rPr>
        <w:rStyle w:val="PageNumber"/>
      </w:rPr>
      <w:fldChar w:fldCharType="end"/>
    </w:r>
  </w:p>
  <w:p w14:paraId="4AA9B52D" w14:textId="77777777" w:rsidR="00EC5AA2" w:rsidRDefault="00EC5AA2" w:rsidP="00EC5AA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4D13E" w14:textId="77777777" w:rsidR="00DB2D8B" w:rsidRDefault="00DB2D8B" w:rsidP="00CC6865">
      <w:r>
        <w:separator/>
      </w:r>
    </w:p>
  </w:footnote>
  <w:footnote w:type="continuationSeparator" w:id="0">
    <w:p w14:paraId="1CA86C10" w14:textId="77777777" w:rsidR="00DB2D8B" w:rsidRDefault="00DB2D8B" w:rsidP="00CC6865">
      <w:r>
        <w:continuationSeparator/>
      </w:r>
    </w:p>
  </w:footnote>
  <w:footnote w:id="1">
    <w:p w14:paraId="2BA972AC" w14:textId="35B86076" w:rsidR="00E22B5C" w:rsidRPr="00E22B5C" w:rsidRDefault="00E22B5C">
      <w:pPr>
        <w:pStyle w:val="FootnoteText"/>
        <w:rPr>
          <w:rFonts w:ascii="Times New Roman" w:hAnsi="Times New Roman" w:cs="Times New Roman"/>
          <w:sz w:val="20"/>
          <w:szCs w:val="20"/>
          <w:lang w:val="en-GB"/>
        </w:rPr>
      </w:pPr>
      <w:r w:rsidRPr="00E22B5C">
        <w:rPr>
          <w:rStyle w:val="FootnoteReference"/>
          <w:rFonts w:ascii="Times New Roman" w:hAnsi="Times New Roman" w:cs="Times New Roman"/>
          <w:sz w:val="20"/>
          <w:szCs w:val="20"/>
        </w:rPr>
        <w:footnoteRef/>
      </w:r>
      <w:r w:rsidRPr="00E22B5C">
        <w:rPr>
          <w:rFonts w:ascii="Times New Roman" w:hAnsi="Times New Roman" w:cs="Times New Roman"/>
          <w:sz w:val="20"/>
          <w:szCs w:val="20"/>
        </w:rPr>
        <w:t xml:space="preserve"> </w:t>
      </w:r>
      <w:r w:rsidR="0005116A">
        <w:rPr>
          <w:rFonts w:ascii="Times New Roman" w:hAnsi="Times New Roman" w:cs="Times New Roman"/>
          <w:sz w:val="20"/>
          <w:szCs w:val="20"/>
        </w:rPr>
        <w:t xml:space="preserve">WHO/UNICEF/WB JCME (2017) It is also reported that </w:t>
      </w:r>
      <w:r w:rsidR="0005116A">
        <w:rPr>
          <w:rFonts w:ascii="Times New Roman" w:hAnsi="Times New Roman" w:cs="Times New Roman"/>
          <w:color w:val="222222"/>
          <w:sz w:val="20"/>
          <w:szCs w:val="20"/>
        </w:rPr>
        <w:t>t</w:t>
      </w:r>
      <w:r w:rsidRPr="00E22B5C">
        <w:rPr>
          <w:rFonts w:ascii="Times New Roman" w:hAnsi="Times New Roman" w:cs="Times New Roman"/>
          <w:color w:val="222222"/>
          <w:sz w:val="20"/>
          <w:szCs w:val="20"/>
        </w:rPr>
        <w:t>he majority of the world’s wasted children and around two in five of all stunted children</w:t>
      </w:r>
      <w:r w:rsidR="0005116A">
        <w:rPr>
          <w:rFonts w:ascii="Times New Roman" w:hAnsi="Times New Roman" w:cs="Times New Roman"/>
          <w:color w:val="222222"/>
          <w:sz w:val="20"/>
          <w:szCs w:val="20"/>
        </w:rPr>
        <w:t xml:space="preserve"> live in South Asia. In South Asia,</w:t>
      </w:r>
      <w:r w:rsidRPr="00E22B5C">
        <w:rPr>
          <w:rFonts w:ascii="Times New Roman" w:hAnsi="Times New Roman" w:cs="Times New Roman"/>
          <w:color w:val="222222"/>
          <w:sz w:val="20"/>
          <w:szCs w:val="20"/>
        </w:rPr>
        <w:t xml:space="preserve"> WHO has declared wasting a critical public health emergency as a result of there being 27.6 million wasted children (with the regional prevalence of wasting 15.4%) and over 61 million stunted children.  </w:t>
      </w:r>
    </w:p>
  </w:footnote>
  <w:footnote w:id="2">
    <w:p w14:paraId="2AD145BD" w14:textId="5D53195F" w:rsidR="003B36DE" w:rsidRPr="003B36DE" w:rsidRDefault="003B36DE">
      <w:pPr>
        <w:pStyle w:val="FootnoteText"/>
        <w:rPr>
          <w:rFonts w:ascii="Times New Roman" w:hAnsi="Times New Roman" w:cs="Times New Roman"/>
          <w:sz w:val="20"/>
          <w:szCs w:val="20"/>
          <w:lang w:val="en-GB"/>
        </w:rPr>
      </w:pPr>
      <w:r w:rsidRPr="003B36DE">
        <w:rPr>
          <w:rStyle w:val="FootnoteReference"/>
          <w:rFonts w:ascii="Times New Roman" w:hAnsi="Times New Roman" w:cs="Times New Roman"/>
          <w:sz w:val="20"/>
          <w:szCs w:val="20"/>
        </w:rPr>
        <w:footnoteRef/>
      </w:r>
      <w:r w:rsidRPr="003B36DE">
        <w:rPr>
          <w:rFonts w:ascii="Times New Roman" w:hAnsi="Times New Roman" w:cs="Times New Roman"/>
          <w:sz w:val="20"/>
          <w:szCs w:val="20"/>
        </w:rPr>
        <w:t xml:space="preserve"> </w:t>
      </w:r>
      <w:r w:rsidRPr="003B36DE">
        <w:rPr>
          <w:rFonts w:ascii="Times New Roman" w:hAnsi="Times New Roman" w:cs="Times New Roman"/>
          <w:color w:val="222222"/>
          <w:sz w:val="20"/>
          <w:szCs w:val="20"/>
        </w:rPr>
        <w:t xml:space="preserve">Khara, T., &amp; Dolan, C. (2014). </w:t>
      </w:r>
      <w:r w:rsidRPr="003B36DE">
        <w:rPr>
          <w:rFonts w:ascii="Times New Roman" w:hAnsi="Times New Roman" w:cs="Times New Roman"/>
          <w:b/>
          <w:color w:val="222222"/>
          <w:sz w:val="20"/>
          <w:szCs w:val="20"/>
        </w:rPr>
        <w:t>Technical Briefing Paper: The Relationship between Wasting and Stunting, policy, programming and research implications</w:t>
      </w:r>
      <w:r w:rsidRPr="003B36DE">
        <w:rPr>
          <w:rFonts w:ascii="Times New Roman" w:hAnsi="Times New Roman" w:cs="Times New Roman"/>
          <w:color w:val="222222"/>
          <w:sz w:val="20"/>
          <w:szCs w:val="20"/>
        </w:rPr>
        <w:t>. Emergency Nutrition Network (ENN) June 2014. </w:t>
      </w:r>
      <w:hyperlink r:id="rId1" w:history="1">
        <w:r w:rsidRPr="003B36DE">
          <w:rPr>
            <w:rStyle w:val="Hyperlink"/>
            <w:rFonts w:ascii="Times New Roman" w:hAnsi="Times New Roman" w:cs="Times New Roman"/>
            <w:color w:val="339833"/>
            <w:sz w:val="20"/>
            <w:szCs w:val="20"/>
          </w:rPr>
          <w:t>http://www.ennonline.net/ourwork/reviews/wastingstunting</w:t>
        </w:r>
      </w:hyperlink>
      <w:r w:rsidR="00084309">
        <w:rPr>
          <w:rFonts w:ascii="Times New Roman" w:hAnsi="Times New Roman" w:cs="Times New Roman"/>
          <w:color w:val="222222"/>
          <w:sz w:val="20"/>
          <w:szCs w:val="20"/>
        </w:rPr>
        <w:t xml:space="preserve"> </w:t>
      </w:r>
      <w:r w:rsidR="00084309">
        <w:rPr>
          <w:rFonts w:ascii="Times New Roman" w:eastAsia="Times New Roman" w:hAnsi="Times New Roman" w:cs="Times New Roman"/>
          <w:color w:val="222222"/>
          <w:sz w:val="20"/>
          <w:szCs w:val="20"/>
          <w:shd w:val="clear" w:color="auto" w:fill="FFFFFF"/>
        </w:rPr>
        <w:t>Since the publication of this paper,</w:t>
      </w:r>
      <w:r w:rsidR="00084309" w:rsidRPr="00084309">
        <w:rPr>
          <w:rFonts w:ascii="Times New Roman" w:eastAsia="Times New Roman" w:hAnsi="Times New Roman" w:cs="Times New Roman"/>
          <w:color w:val="222222"/>
          <w:sz w:val="20"/>
          <w:szCs w:val="20"/>
          <w:shd w:val="clear" w:color="auto" w:fill="FFFFFF"/>
        </w:rPr>
        <w:t xml:space="preserve"> follow up dialogue and research has been undertaken by a </w:t>
      </w:r>
      <w:r w:rsidR="004E16F7">
        <w:rPr>
          <w:rFonts w:ascii="Times New Roman" w:eastAsia="Times New Roman" w:hAnsi="Times New Roman" w:cs="Times New Roman"/>
          <w:color w:val="222222"/>
          <w:sz w:val="20"/>
          <w:szCs w:val="20"/>
          <w:shd w:val="clear" w:color="auto" w:fill="FFFFFF"/>
        </w:rPr>
        <w:t xml:space="preserve">Wasting – Stunting </w:t>
      </w:r>
      <w:r w:rsidR="00084309" w:rsidRPr="00084309">
        <w:rPr>
          <w:rFonts w:ascii="Times New Roman" w:hAnsi="Times New Roman" w:cs="Times New Roman"/>
          <w:color w:val="222222"/>
          <w:sz w:val="20"/>
          <w:szCs w:val="20"/>
        </w:rPr>
        <w:t>Technical Interest Group (</w:t>
      </w:r>
      <w:r w:rsidR="004E16F7">
        <w:rPr>
          <w:rFonts w:ascii="Times New Roman" w:hAnsi="Times New Roman" w:cs="Times New Roman"/>
          <w:color w:val="222222"/>
          <w:sz w:val="20"/>
          <w:szCs w:val="20"/>
        </w:rPr>
        <w:t>WAST-TIG) coordinated by ENN (funding from USAID-OFDA and Irish Aid), comprising around 30</w:t>
      </w:r>
      <w:r w:rsidR="00084309" w:rsidRPr="00084309">
        <w:rPr>
          <w:rFonts w:ascii="Times New Roman" w:hAnsi="Times New Roman" w:cs="Times New Roman"/>
          <w:color w:val="222222"/>
          <w:sz w:val="20"/>
          <w:szCs w:val="20"/>
        </w:rPr>
        <w:t xml:space="preserve"> individuals from a range of organisations (including academia and non-governmental organisations (NGOs)) with expertise in research and programming for wasting and </w:t>
      </w:r>
      <w:r w:rsidR="00084309" w:rsidRPr="004E16F7">
        <w:rPr>
          <w:rFonts w:ascii="Times New Roman" w:hAnsi="Times New Roman" w:cs="Times New Roman"/>
          <w:color w:val="222222"/>
          <w:sz w:val="20"/>
          <w:szCs w:val="20"/>
        </w:rPr>
        <w:t>stunting.</w:t>
      </w:r>
      <w:r w:rsidR="004E16F7" w:rsidRPr="004E16F7">
        <w:rPr>
          <w:rFonts w:ascii="Times New Roman" w:hAnsi="Times New Roman" w:cs="Times New Roman"/>
          <w:color w:val="222222"/>
          <w:sz w:val="20"/>
          <w:szCs w:val="20"/>
        </w:rPr>
        <w:t xml:space="preserve"> </w:t>
      </w:r>
      <w:r w:rsidR="004E16F7">
        <w:rPr>
          <w:rFonts w:ascii="Times New Roman" w:hAnsi="Times New Roman" w:cs="Times New Roman"/>
          <w:color w:val="222222"/>
          <w:sz w:val="20"/>
          <w:szCs w:val="20"/>
        </w:rPr>
        <w:t>The WAST-TIG have been focu</w:t>
      </w:r>
      <w:r w:rsidR="004E16F7" w:rsidRPr="007A5DA9">
        <w:rPr>
          <w:rFonts w:ascii="Times New Roman" w:hAnsi="Times New Roman" w:cs="Times New Roman"/>
          <w:color w:val="222222"/>
          <w:sz w:val="20"/>
          <w:szCs w:val="20"/>
        </w:rPr>
        <w:t>sed on two main areas of work in 2016; re-analysis of data from the MRC Gambia and, cross sectional data from SMART surveys.</w:t>
      </w:r>
      <w:r w:rsidR="004E16F7">
        <w:rPr>
          <w:rFonts w:ascii="Times New Roman" w:hAnsi="Times New Roman" w:cs="Times New Roman"/>
          <w:color w:val="222222"/>
          <w:sz w:val="20"/>
          <w:szCs w:val="20"/>
        </w:rPr>
        <w:t xml:space="preserve"> </w:t>
      </w:r>
      <w:r w:rsidR="004E16F7" w:rsidRPr="004E16F7">
        <w:rPr>
          <w:rFonts w:ascii="Times New Roman" w:hAnsi="Times New Roman" w:cs="Times New Roman"/>
          <w:color w:val="222222"/>
          <w:sz w:val="20"/>
          <w:szCs w:val="20"/>
        </w:rPr>
        <w:t>A WAST-TIG Policy Practice Brief is anticipated later in 2017 (forthcoming).</w:t>
      </w:r>
      <w:r w:rsidR="004E16F7">
        <w:rPr>
          <w:rFonts w:ascii="Times New Roman" w:hAnsi="Times New Roman" w:cs="Times New Roman"/>
          <w:color w:val="222222"/>
          <w:sz w:val="20"/>
          <w:szCs w:val="20"/>
        </w:rPr>
        <w:t xml:space="preserve"> </w:t>
      </w:r>
    </w:p>
  </w:footnote>
  <w:footnote w:id="3">
    <w:p w14:paraId="7C6DBCEE" w14:textId="2F1308C9" w:rsidR="005A769B" w:rsidRDefault="00B32053" w:rsidP="005A769B">
      <w:pPr>
        <w:jc w:val="both"/>
        <w:rPr>
          <w:rFonts w:ascii="Times New Roman" w:hAnsi="Times New Roman" w:cs="Times New Roman"/>
          <w:color w:val="222222"/>
        </w:rPr>
      </w:pPr>
      <w:r w:rsidRPr="003B36DE">
        <w:rPr>
          <w:rStyle w:val="FootnoteReference"/>
          <w:rFonts w:ascii="Times New Roman" w:hAnsi="Times New Roman" w:cs="Times New Roman"/>
          <w:sz w:val="20"/>
          <w:szCs w:val="20"/>
        </w:rPr>
        <w:footnoteRef/>
      </w:r>
      <w:r w:rsidRPr="003B36DE">
        <w:rPr>
          <w:rFonts w:ascii="Times New Roman" w:hAnsi="Times New Roman" w:cs="Times New Roman"/>
          <w:sz w:val="20"/>
          <w:szCs w:val="20"/>
        </w:rPr>
        <w:t xml:space="preserve"> </w:t>
      </w:r>
      <w:r w:rsidRPr="003B36DE">
        <w:rPr>
          <w:rFonts w:ascii="Times New Roman" w:hAnsi="Times New Roman" w:cs="Times New Roman"/>
          <w:sz w:val="20"/>
          <w:szCs w:val="20"/>
          <w:lang w:val="en-GB"/>
        </w:rPr>
        <w:t xml:space="preserve">See for example: </w:t>
      </w:r>
      <w:r w:rsidRPr="003B36DE">
        <w:rPr>
          <w:rFonts w:ascii="Times New Roman" w:hAnsi="Times New Roman" w:cs="Times New Roman"/>
          <w:color w:val="222222"/>
          <w:sz w:val="20"/>
          <w:szCs w:val="20"/>
        </w:rPr>
        <w:t>Shoham</w:t>
      </w:r>
      <w:r w:rsidRPr="00B32053">
        <w:rPr>
          <w:rFonts w:ascii="Times New Roman" w:hAnsi="Times New Roman" w:cs="Times New Roman"/>
          <w:color w:val="222222"/>
          <w:sz w:val="20"/>
          <w:szCs w:val="20"/>
        </w:rPr>
        <w:t xml:space="preserve"> J, Dolan C, Gostelow L, ENN (2013). </w:t>
      </w:r>
      <w:r w:rsidRPr="00B32053">
        <w:rPr>
          <w:rFonts w:ascii="Times New Roman" w:hAnsi="Times New Roman" w:cs="Times New Roman"/>
          <w:b/>
          <w:color w:val="222222"/>
          <w:sz w:val="20"/>
          <w:szCs w:val="20"/>
        </w:rPr>
        <w:t>The Management of Acute Malnutrition at Scale:  A Review of Donor and Government Financing Arrangements.</w:t>
      </w:r>
      <w:r w:rsidRPr="00B32053">
        <w:rPr>
          <w:rFonts w:ascii="Times New Roman" w:hAnsi="Times New Roman" w:cs="Times New Roman"/>
          <w:color w:val="222222"/>
          <w:sz w:val="20"/>
          <w:szCs w:val="20"/>
        </w:rPr>
        <w:t xml:space="preserve"> Main Report. March 2013. </w:t>
      </w:r>
      <w:hyperlink r:id="rId2" w:history="1">
        <w:r w:rsidRPr="00B32053">
          <w:rPr>
            <w:rStyle w:val="Hyperlink"/>
            <w:rFonts w:ascii="Times New Roman" w:hAnsi="Times New Roman" w:cs="Times New Roman"/>
            <w:color w:val="339833"/>
            <w:sz w:val="20"/>
            <w:szCs w:val="20"/>
          </w:rPr>
          <w:t>http://www.ennonline.net/enncmamfinancingreport2013</w:t>
        </w:r>
      </w:hyperlink>
      <w:r w:rsidRPr="00B32053">
        <w:rPr>
          <w:rFonts w:ascii="Times New Roman" w:hAnsi="Times New Roman" w:cs="Times New Roman"/>
          <w:color w:val="222222"/>
          <w:sz w:val="20"/>
          <w:szCs w:val="20"/>
        </w:rPr>
        <w:t xml:space="preserve"> and Menon, P. and R. J. Stoltzfus (2012). </w:t>
      </w:r>
      <w:r w:rsidRPr="00B32053">
        <w:rPr>
          <w:rFonts w:ascii="Times New Roman" w:hAnsi="Times New Roman" w:cs="Times New Roman"/>
          <w:b/>
          <w:color w:val="222222"/>
          <w:sz w:val="20"/>
          <w:szCs w:val="20"/>
        </w:rPr>
        <w:t xml:space="preserve">Building convergence in science, </w:t>
      </w:r>
      <w:r w:rsidRPr="005A769B">
        <w:rPr>
          <w:rFonts w:ascii="Times New Roman" w:hAnsi="Times New Roman" w:cs="Times New Roman"/>
          <w:b/>
          <w:color w:val="222222"/>
          <w:sz w:val="20"/>
          <w:szCs w:val="20"/>
        </w:rPr>
        <w:t>programmes, and policy actions on child undernutrition: symposium rationale and overview</w:t>
      </w:r>
      <w:r w:rsidRPr="005A769B">
        <w:rPr>
          <w:rFonts w:ascii="Times New Roman" w:hAnsi="Times New Roman" w:cs="Times New Roman"/>
          <w:color w:val="222222"/>
          <w:sz w:val="20"/>
          <w:szCs w:val="20"/>
        </w:rPr>
        <w:t>. Adv Nutr 3(2): 224-226.</w:t>
      </w:r>
      <w:r w:rsidR="005A769B" w:rsidRPr="005A769B">
        <w:rPr>
          <w:color w:val="222222"/>
          <w:sz w:val="20"/>
          <w:szCs w:val="20"/>
        </w:rPr>
        <w:t xml:space="preserve"> </w:t>
      </w:r>
      <w:r w:rsidR="005A769B" w:rsidRPr="005A769B">
        <w:rPr>
          <w:rFonts w:ascii="Times New Roman" w:hAnsi="Times New Roman" w:cs="Times New Roman"/>
          <w:color w:val="222222"/>
          <w:sz w:val="20"/>
          <w:szCs w:val="20"/>
        </w:rPr>
        <w:t>The situation</w:t>
      </w:r>
      <w:r w:rsidR="005A769B">
        <w:rPr>
          <w:rFonts w:ascii="Times New Roman" w:hAnsi="Times New Roman" w:cs="Times New Roman"/>
          <w:color w:val="222222"/>
          <w:sz w:val="20"/>
          <w:szCs w:val="20"/>
        </w:rPr>
        <w:t xml:space="preserve"> may be</w:t>
      </w:r>
      <w:r w:rsidR="005A769B" w:rsidRPr="005A769B">
        <w:rPr>
          <w:rFonts w:ascii="Times New Roman" w:hAnsi="Times New Roman" w:cs="Times New Roman"/>
          <w:color w:val="222222"/>
          <w:sz w:val="20"/>
          <w:szCs w:val="20"/>
        </w:rPr>
        <w:t xml:space="preserve"> starting to change as </w:t>
      </w:r>
      <w:r w:rsidR="005A769B" w:rsidRPr="007A5DA9">
        <w:rPr>
          <w:rFonts w:ascii="Times New Roman" w:hAnsi="Times New Roman" w:cs="Times New Roman"/>
          <w:color w:val="222222"/>
          <w:sz w:val="20"/>
          <w:szCs w:val="20"/>
        </w:rPr>
        <w:t xml:space="preserve">these assumptions </w:t>
      </w:r>
      <w:r w:rsidR="005A769B" w:rsidRPr="005A769B">
        <w:rPr>
          <w:rFonts w:ascii="Times New Roman" w:hAnsi="Times New Roman" w:cs="Times New Roman"/>
          <w:color w:val="222222"/>
          <w:sz w:val="20"/>
          <w:szCs w:val="20"/>
        </w:rPr>
        <w:t xml:space="preserve">are challenged, some donors start to </w:t>
      </w:r>
      <w:r w:rsidR="005A769B" w:rsidRPr="007A5DA9">
        <w:rPr>
          <w:rFonts w:ascii="Times New Roman" w:hAnsi="Times New Roman" w:cs="Times New Roman"/>
          <w:color w:val="222222"/>
          <w:sz w:val="20"/>
          <w:szCs w:val="20"/>
        </w:rPr>
        <w:t xml:space="preserve">put in place more flexible funding facilities and the general focus in the sector </w:t>
      </w:r>
      <w:r w:rsidR="005A769B" w:rsidRPr="005A769B">
        <w:rPr>
          <w:rFonts w:ascii="Times New Roman" w:hAnsi="Times New Roman" w:cs="Times New Roman"/>
          <w:color w:val="222222"/>
          <w:sz w:val="20"/>
          <w:szCs w:val="20"/>
        </w:rPr>
        <w:t xml:space="preserve">is increasingly </w:t>
      </w:r>
      <w:r w:rsidR="005A769B" w:rsidRPr="007A5DA9">
        <w:rPr>
          <w:rFonts w:ascii="Times New Roman" w:hAnsi="Times New Roman" w:cs="Times New Roman"/>
          <w:color w:val="222222"/>
          <w:sz w:val="20"/>
          <w:szCs w:val="20"/>
        </w:rPr>
        <w:t>to support governments to develop more holistic nutrition planning to address all forms of malnutrition where these exist.</w:t>
      </w:r>
    </w:p>
    <w:p w14:paraId="593F0B49" w14:textId="5E8A5863" w:rsidR="00B32053" w:rsidRPr="00B32053" w:rsidRDefault="00B32053" w:rsidP="00B32053">
      <w:pPr>
        <w:pStyle w:val="NormalWeb"/>
        <w:shd w:val="clear" w:color="auto" w:fill="FFFFFF"/>
        <w:spacing w:before="192" w:beforeAutospacing="0" w:after="192" w:afterAutospacing="0"/>
        <w:rPr>
          <w:color w:val="222222"/>
          <w:sz w:val="20"/>
          <w:szCs w:val="20"/>
        </w:rPr>
      </w:pPr>
    </w:p>
    <w:p w14:paraId="5A674DE0" w14:textId="50F871CC" w:rsidR="00B32053" w:rsidRPr="00B32053" w:rsidRDefault="00B32053">
      <w:pPr>
        <w:pStyle w:val="FootnoteText"/>
        <w:rPr>
          <w:lang w:val="en-GB"/>
        </w:rPr>
      </w:pPr>
    </w:p>
  </w:footnote>
  <w:footnote w:id="4">
    <w:p w14:paraId="5E80435A" w14:textId="77777777" w:rsidR="006F2E44" w:rsidRPr="00076B5B" w:rsidRDefault="006F2E44" w:rsidP="006F2E44">
      <w:pPr>
        <w:pStyle w:val="FootnoteText"/>
        <w:rPr>
          <w:rFonts w:ascii="Times New Roman" w:hAnsi="Times New Roman" w:cs="Times New Roman"/>
          <w:sz w:val="20"/>
          <w:szCs w:val="20"/>
          <w:lang w:val="en-GB"/>
        </w:rPr>
      </w:pPr>
      <w:r w:rsidRPr="00076B5B">
        <w:rPr>
          <w:rStyle w:val="FootnoteReference"/>
          <w:rFonts w:ascii="Times New Roman" w:hAnsi="Times New Roman" w:cs="Times New Roman"/>
          <w:sz w:val="20"/>
          <w:szCs w:val="20"/>
        </w:rPr>
        <w:footnoteRef/>
      </w:r>
      <w:r w:rsidRPr="00076B5B">
        <w:rPr>
          <w:rFonts w:ascii="Times New Roman" w:hAnsi="Times New Roman" w:cs="Times New Roman"/>
          <w:sz w:val="20"/>
          <w:szCs w:val="20"/>
        </w:rPr>
        <w:t xml:space="preserve"> </w:t>
      </w:r>
      <w:r w:rsidRPr="00076B5B">
        <w:rPr>
          <w:rFonts w:ascii="Times New Roman" w:hAnsi="Times New Roman" w:cs="Times New Roman"/>
          <w:sz w:val="20"/>
          <w:szCs w:val="20"/>
          <w:lang w:val="en-GB"/>
        </w:rPr>
        <w:t>Note: According to the Global Report for Food Crises 2017 the following countries have similarly significant food insecure populations classified as IPC Phase 3 or above: Ethiopia (9.7 million); Afghanistan (8.5 million); Syria (7 million); Malawi (6.7 million); DRC (5.9 million); Sudan (4.4 million) and Zimbabwe (4.1 million).</w:t>
      </w:r>
    </w:p>
  </w:footnote>
  <w:footnote w:id="5">
    <w:p w14:paraId="76AA722C" w14:textId="073843BC" w:rsidR="00525B9E" w:rsidRPr="00076B5B" w:rsidRDefault="00525B9E">
      <w:pPr>
        <w:pStyle w:val="FootnoteText"/>
        <w:rPr>
          <w:rFonts w:ascii="Times New Roman" w:hAnsi="Times New Roman" w:cs="Times New Roman"/>
          <w:sz w:val="20"/>
          <w:szCs w:val="20"/>
          <w:lang w:val="en-GB"/>
        </w:rPr>
      </w:pPr>
      <w:r w:rsidRPr="00076B5B">
        <w:rPr>
          <w:rStyle w:val="FootnoteReference"/>
          <w:rFonts w:ascii="Times New Roman" w:hAnsi="Times New Roman" w:cs="Times New Roman"/>
          <w:sz w:val="20"/>
          <w:szCs w:val="20"/>
        </w:rPr>
        <w:footnoteRef/>
      </w:r>
      <w:r w:rsidRPr="00076B5B">
        <w:rPr>
          <w:rFonts w:ascii="Times New Roman" w:hAnsi="Times New Roman" w:cs="Times New Roman"/>
          <w:sz w:val="20"/>
          <w:szCs w:val="20"/>
        </w:rPr>
        <w:t xml:space="preserve"> </w:t>
      </w:r>
      <w:r w:rsidRPr="00076B5B">
        <w:rPr>
          <w:rFonts w:ascii="Times New Roman" w:hAnsi="Times New Roman" w:cs="Times New Roman"/>
          <w:sz w:val="20"/>
          <w:szCs w:val="20"/>
          <w:lang w:val="en-GB"/>
        </w:rPr>
        <w:t xml:space="preserve">UNOCHA June 2017 </w:t>
      </w:r>
      <w:hyperlink r:id="rId3" w:history="1">
        <w:r w:rsidR="0002170E" w:rsidRPr="00076B5B">
          <w:rPr>
            <w:rStyle w:val="Hyperlink"/>
            <w:rFonts w:ascii="Times New Roman" w:hAnsi="Times New Roman" w:cs="Times New Roman"/>
            <w:sz w:val="20"/>
            <w:szCs w:val="20"/>
            <w:lang w:val="en-GB"/>
          </w:rPr>
          <w:t>http://www.unocha.org/nigeria</w:t>
        </w:r>
      </w:hyperlink>
      <w:r w:rsidR="0002170E" w:rsidRPr="00076B5B">
        <w:rPr>
          <w:rFonts w:ascii="Times New Roman" w:hAnsi="Times New Roman" w:cs="Times New Roman"/>
          <w:sz w:val="20"/>
          <w:szCs w:val="20"/>
          <w:lang w:val="en-GB"/>
        </w:rPr>
        <w:t xml:space="preserve"> August 2017</w:t>
      </w:r>
    </w:p>
  </w:footnote>
  <w:footnote w:id="6">
    <w:p w14:paraId="50B277B3" w14:textId="214F4AE9" w:rsidR="00525B9E" w:rsidRPr="00076B5B" w:rsidRDefault="00525B9E">
      <w:pPr>
        <w:pStyle w:val="FootnoteText"/>
        <w:rPr>
          <w:rFonts w:ascii="Times New Roman" w:hAnsi="Times New Roman" w:cs="Times New Roman"/>
          <w:sz w:val="20"/>
          <w:szCs w:val="20"/>
          <w:lang w:val="en-GB"/>
        </w:rPr>
      </w:pPr>
      <w:r w:rsidRPr="00076B5B">
        <w:rPr>
          <w:rStyle w:val="FootnoteReference"/>
          <w:rFonts w:ascii="Times New Roman" w:hAnsi="Times New Roman" w:cs="Times New Roman"/>
          <w:sz w:val="20"/>
          <w:szCs w:val="20"/>
        </w:rPr>
        <w:footnoteRef/>
      </w:r>
      <w:r w:rsidRPr="00076B5B">
        <w:rPr>
          <w:rFonts w:ascii="Times New Roman" w:hAnsi="Times New Roman" w:cs="Times New Roman"/>
          <w:sz w:val="20"/>
          <w:szCs w:val="20"/>
        </w:rPr>
        <w:t xml:space="preserve"> https://bmcpediatr.biomedcentral.com/articles/10.1186/s12887-016-0770-z</w:t>
      </w:r>
    </w:p>
  </w:footnote>
  <w:footnote w:id="7">
    <w:p w14:paraId="7E93EC7A" w14:textId="5BB99A6F" w:rsidR="00731A52" w:rsidRPr="00076B5B" w:rsidRDefault="00731A52">
      <w:pPr>
        <w:pStyle w:val="FootnoteText"/>
        <w:rPr>
          <w:rFonts w:ascii="Times New Roman" w:hAnsi="Times New Roman" w:cs="Times New Roman"/>
          <w:sz w:val="20"/>
          <w:szCs w:val="20"/>
          <w:lang w:val="en-GB"/>
        </w:rPr>
      </w:pPr>
      <w:r w:rsidRPr="00076B5B">
        <w:rPr>
          <w:rStyle w:val="FootnoteReference"/>
          <w:rFonts w:ascii="Times New Roman" w:hAnsi="Times New Roman" w:cs="Times New Roman"/>
          <w:sz w:val="20"/>
          <w:szCs w:val="20"/>
        </w:rPr>
        <w:footnoteRef/>
      </w:r>
      <w:r w:rsidRPr="00076B5B">
        <w:rPr>
          <w:rFonts w:ascii="Times New Roman" w:hAnsi="Times New Roman" w:cs="Times New Roman"/>
          <w:sz w:val="20"/>
          <w:szCs w:val="20"/>
        </w:rPr>
        <w:t xml:space="preserve"> </w:t>
      </w:r>
      <w:r w:rsidRPr="00076B5B">
        <w:rPr>
          <w:rFonts w:ascii="Times New Roman" w:hAnsi="Times New Roman" w:cs="Times New Roman"/>
          <w:sz w:val="20"/>
          <w:szCs w:val="20"/>
          <w:lang w:val="en-GB"/>
        </w:rPr>
        <w:t>UNICEF/WHO/WB 2015</w:t>
      </w:r>
    </w:p>
  </w:footnote>
  <w:footnote w:id="8">
    <w:p w14:paraId="2F31A999" w14:textId="148B2DC9" w:rsidR="0002170E" w:rsidRPr="00076B5B" w:rsidRDefault="0002170E">
      <w:pPr>
        <w:pStyle w:val="FootnoteText"/>
        <w:rPr>
          <w:sz w:val="20"/>
          <w:szCs w:val="20"/>
          <w:lang w:val="en-GB"/>
        </w:rPr>
      </w:pPr>
      <w:r w:rsidRPr="00076B5B">
        <w:rPr>
          <w:rStyle w:val="FootnoteReference"/>
          <w:rFonts w:ascii="Times New Roman" w:hAnsi="Times New Roman" w:cs="Times New Roman"/>
          <w:sz w:val="20"/>
          <w:szCs w:val="20"/>
        </w:rPr>
        <w:footnoteRef/>
      </w:r>
      <w:r w:rsidRPr="00076B5B">
        <w:rPr>
          <w:rFonts w:ascii="Times New Roman" w:hAnsi="Times New Roman" w:cs="Times New Roman"/>
          <w:sz w:val="20"/>
          <w:szCs w:val="20"/>
        </w:rPr>
        <w:t xml:space="preserve"> </w:t>
      </w:r>
      <w:hyperlink r:id="rId4" w:history="1">
        <w:r w:rsidRPr="00076B5B">
          <w:rPr>
            <w:rStyle w:val="Hyperlink"/>
            <w:rFonts w:ascii="Times New Roman" w:hAnsi="Times New Roman" w:cs="Times New Roman"/>
            <w:sz w:val="20"/>
            <w:szCs w:val="20"/>
          </w:rPr>
          <w:t>http://www.unocha.org/somalia</w:t>
        </w:r>
      </w:hyperlink>
      <w:r w:rsidRPr="00076B5B">
        <w:rPr>
          <w:rFonts w:ascii="Times New Roman" w:hAnsi="Times New Roman" w:cs="Times New Roman"/>
          <w:sz w:val="20"/>
          <w:szCs w:val="20"/>
        </w:rPr>
        <w:t xml:space="preserve"> August 2017</w:t>
      </w:r>
    </w:p>
  </w:footnote>
  <w:footnote w:id="9">
    <w:p w14:paraId="0F67233C" w14:textId="31AAFB9D" w:rsidR="00076B5B" w:rsidRPr="00076B5B" w:rsidRDefault="00076B5B">
      <w:pPr>
        <w:pStyle w:val="FootnoteText"/>
        <w:rPr>
          <w:rFonts w:ascii="Times New Roman" w:hAnsi="Times New Roman" w:cs="Times New Roman"/>
          <w:sz w:val="20"/>
          <w:szCs w:val="20"/>
          <w:lang w:val="en-GB"/>
        </w:rPr>
      </w:pPr>
      <w:r w:rsidRPr="00076B5B">
        <w:rPr>
          <w:rStyle w:val="FootnoteReference"/>
          <w:rFonts w:ascii="Times New Roman" w:hAnsi="Times New Roman" w:cs="Times New Roman"/>
          <w:sz w:val="20"/>
          <w:szCs w:val="20"/>
        </w:rPr>
        <w:footnoteRef/>
      </w:r>
      <w:r w:rsidRPr="00076B5B">
        <w:rPr>
          <w:rFonts w:ascii="Times New Roman" w:hAnsi="Times New Roman" w:cs="Times New Roman"/>
          <w:sz w:val="20"/>
          <w:szCs w:val="20"/>
        </w:rPr>
        <w:t xml:space="preserve"> </w:t>
      </w:r>
      <w:r w:rsidRPr="00076B5B">
        <w:rPr>
          <w:rFonts w:ascii="Times New Roman" w:hAnsi="Times New Roman" w:cs="Times New Roman"/>
          <w:sz w:val="20"/>
          <w:szCs w:val="20"/>
          <w:lang w:val="en-GB"/>
        </w:rPr>
        <w:t>UNICEF/WHO/WB 2015</w:t>
      </w:r>
    </w:p>
  </w:footnote>
  <w:footnote w:id="10">
    <w:p w14:paraId="79A4BE17" w14:textId="77777777" w:rsidR="006F2E44" w:rsidRPr="00076B5B" w:rsidRDefault="006F2E44" w:rsidP="006F2E44">
      <w:pPr>
        <w:pStyle w:val="FootnoteText"/>
        <w:rPr>
          <w:rFonts w:ascii="Times New Roman" w:hAnsi="Times New Roman" w:cs="Times New Roman"/>
          <w:sz w:val="20"/>
          <w:szCs w:val="20"/>
          <w:lang w:val="en-GB"/>
        </w:rPr>
      </w:pPr>
      <w:r w:rsidRPr="00076B5B">
        <w:rPr>
          <w:rStyle w:val="FootnoteReference"/>
          <w:rFonts w:ascii="Times New Roman" w:hAnsi="Times New Roman" w:cs="Times New Roman"/>
          <w:sz w:val="20"/>
          <w:szCs w:val="20"/>
        </w:rPr>
        <w:footnoteRef/>
      </w:r>
      <w:r w:rsidRPr="00076B5B">
        <w:rPr>
          <w:rFonts w:ascii="Times New Roman" w:hAnsi="Times New Roman" w:cs="Times New Roman"/>
          <w:sz w:val="20"/>
          <w:szCs w:val="20"/>
        </w:rPr>
        <w:t xml:space="preserve"> </w:t>
      </w:r>
      <w:r w:rsidRPr="00076B5B">
        <w:rPr>
          <w:rFonts w:ascii="Times New Roman" w:hAnsi="Times New Roman" w:cs="Times New Roman"/>
          <w:sz w:val="20"/>
          <w:szCs w:val="20"/>
          <w:lang w:val="en-GB"/>
        </w:rPr>
        <w:t>As stated in latest March 2017 IPC and in the UN Humanitarian Needs Overview over 2 million GAM cases of which 462,000 SAM cases (HNO). However, given an estimated 3.5 million children under five (GNR 2015), this would imply well over 50% GAM which does not at all reconcile with the recent EFSNA findings which present most of the Governerates in Yemen as having GAM prevalence lower than the 15% humanitarian threshold</w:t>
      </w:r>
    </w:p>
  </w:footnote>
  <w:footnote w:id="11">
    <w:p w14:paraId="423F50A3" w14:textId="66E40D96" w:rsidR="009A2F82" w:rsidRPr="00E75948" w:rsidRDefault="009A2F82">
      <w:pPr>
        <w:pStyle w:val="FootnoteText"/>
        <w:rPr>
          <w:rFonts w:ascii="Times New Roman" w:hAnsi="Times New Roman" w:cs="Times New Roman"/>
          <w:sz w:val="20"/>
          <w:szCs w:val="20"/>
          <w:lang w:val="en-GB"/>
        </w:rPr>
      </w:pPr>
      <w:r w:rsidRPr="00E75948">
        <w:rPr>
          <w:rStyle w:val="FootnoteReference"/>
          <w:rFonts w:ascii="Times New Roman" w:hAnsi="Times New Roman" w:cs="Times New Roman"/>
          <w:sz w:val="20"/>
          <w:szCs w:val="20"/>
        </w:rPr>
        <w:footnoteRef/>
      </w:r>
      <w:r w:rsidRPr="00E75948">
        <w:rPr>
          <w:rFonts w:ascii="Times New Roman" w:hAnsi="Times New Roman" w:cs="Times New Roman"/>
          <w:sz w:val="20"/>
          <w:szCs w:val="20"/>
        </w:rPr>
        <w:t xml:space="preserve"> </w:t>
      </w:r>
      <w:r w:rsidR="00E75948" w:rsidRPr="00E75948">
        <w:rPr>
          <w:rFonts w:ascii="Times New Roman" w:hAnsi="Times New Roman" w:cs="Times New Roman"/>
          <w:sz w:val="20"/>
          <w:szCs w:val="20"/>
          <w:lang w:val="en-GB"/>
        </w:rPr>
        <w:t>DHS 2013</w:t>
      </w:r>
    </w:p>
  </w:footnote>
  <w:footnote w:id="12">
    <w:p w14:paraId="453F5C5A" w14:textId="49D80D91" w:rsidR="006F2E44" w:rsidRPr="00F35A7F" w:rsidRDefault="006F2E44" w:rsidP="00F35A7F">
      <w:pPr>
        <w:jc w:val="both"/>
        <w:rPr>
          <w:rFonts w:ascii="Times New Roman" w:hAnsi="Times New Roman" w:cs="Times New Roman"/>
          <w:sz w:val="20"/>
          <w:szCs w:val="20"/>
          <w:lang w:val="en-GB"/>
        </w:rPr>
      </w:pPr>
      <w:r w:rsidRPr="00076B5B">
        <w:rPr>
          <w:rStyle w:val="FootnoteReference"/>
          <w:rFonts w:ascii="Times New Roman" w:hAnsi="Times New Roman" w:cs="Times New Roman"/>
          <w:sz w:val="20"/>
          <w:szCs w:val="20"/>
        </w:rPr>
        <w:footnoteRef/>
      </w:r>
      <w:r w:rsidRPr="00076B5B">
        <w:rPr>
          <w:rFonts w:ascii="Times New Roman" w:hAnsi="Times New Roman" w:cs="Times New Roman"/>
          <w:sz w:val="20"/>
          <w:szCs w:val="20"/>
        </w:rPr>
        <w:t xml:space="preserve"> </w:t>
      </w:r>
      <w:r w:rsidRPr="00076B5B">
        <w:rPr>
          <w:rFonts w:ascii="Times New Roman" w:hAnsi="Times New Roman" w:cs="Times New Roman"/>
          <w:sz w:val="20"/>
          <w:szCs w:val="20"/>
          <w:lang w:val="en-GB"/>
        </w:rPr>
        <w:t xml:space="preserve">Note that Yemen, despite the appeal being highest, has the lowest overall EU allocation as compared to the </w:t>
      </w:r>
      <w:r w:rsidRPr="00F35A7F">
        <w:rPr>
          <w:rFonts w:ascii="Times New Roman" w:hAnsi="Times New Roman" w:cs="Times New Roman"/>
          <w:sz w:val="20"/>
          <w:szCs w:val="20"/>
          <w:lang w:val="en-GB"/>
        </w:rPr>
        <w:t>other three countries.</w:t>
      </w:r>
    </w:p>
  </w:footnote>
  <w:footnote w:id="13">
    <w:p w14:paraId="0F097A84" w14:textId="0A0834BE" w:rsidR="00F35A7F" w:rsidRPr="00F35A7F" w:rsidRDefault="00F35A7F">
      <w:pPr>
        <w:pStyle w:val="FootnoteText"/>
        <w:rPr>
          <w:lang w:val="en-GB"/>
        </w:rPr>
      </w:pPr>
      <w:r w:rsidRPr="00F35A7F">
        <w:rPr>
          <w:rStyle w:val="FootnoteReference"/>
          <w:rFonts w:ascii="Times New Roman" w:hAnsi="Times New Roman" w:cs="Times New Roman"/>
          <w:sz w:val="20"/>
          <w:szCs w:val="20"/>
        </w:rPr>
        <w:footnoteRef/>
      </w:r>
      <w:r w:rsidRPr="00F35A7F">
        <w:rPr>
          <w:rFonts w:ascii="Times New Roman" w:hAnsi="Times New Roman" w:cs="Times New Roman"/>
          <w:sz w:val="20"/>
          <w:szCs w:val="20"/>
        </w:rPr>
        <w:t xml:space="preserve"> </w:t>
      </w:r>
      <w:r w:rsidRPr="00F35A7F">
        <w:rPr>
          <w:rFonts w:ascii="Times New Roman" w:hAnsi="Times New Roman" w:cs="Times New Roman"/>
          <w:sz w:val="20"/>
          <w:szCs w:val="20"/>
          <w:lang w:val="en-GB"/>
        </w:rPr>
        <w:t>Canno</w:t>
      </w:r>
      <w:r>
        <w:rPr>
          <w:rFonts w:ascii="Times New Roman" w:hAnsi="Times New Roman" w:cs="Times New Roman"/>
          <w:sz w:val="20"/>
          <w:szCs w:val="20"/>
          <w:lang w:val="en-GB"/>
        </w:rPr>
        <w:t>t be accurately calculated without data regarding number of children under five stunted</w:t>
      </w:r>
      <w:r w:rsidRPr="00F35A7F">
        <w:rPr>
          <w:rFonts w:ascii="Times New Roman" w:hAnsi="Times New Roman" w:cs="Times New Roman"/>
          <w:sz w:val="20"/>
          <w:szCs w:val="20"/>
          <w:lang w:val="en-GB"/>
        </w:rPr>
        <w:t xml:space="preserve"> in North East Nigeria</w:t>
      </w:r>
    </w:p>
  </w:footnote>
  <w:footnote w:id="14">
    <w:p w14:paraId="5269BBE5" w14:textId="77777777" w:rsidR="0028608C" w:rsidRPr="003B4C74" w:rsidRDefault="0028608C" w:rsidP="0028608C">
      <w:pPr>
        <w:pStyle w:val="NormalWeb"/>
        <w:spacing w:before="0" w:beforeAutospacing="0" w:after="0" w:afterAutospacing="0"/>
        <w:rPr>
          <w:color w:val="222222"/>
          <w:sz w:val="20"/>
          <w:szCs w:val="20"/>
        </w:rPr>
      </w:pPr>
      <w:r w:rsidRPr="003B4C74">
        <w:rPr>
          <w:rStyle w:val="FootnoteReference"/>
          <w:sz w:val="20"/>
          <w:szCs w:val="20"/>
        </w:rPr>
        <w:footnoteRef/>
      </w:r>
      <w:r w:rsidRPr="003B4C74">
        <w:rPr>
          <w:sz w:val="20"/>
          <w:szCs w:val="20"/>
        </w:rPr>
        <w:t xml:space="preserve"> </w:t>
      </w:r>
      <w:r w:rsidRPr="003B4C74">
        <w:rPr>
          <w:color w:val="222222"/>
          <w:sz w:val="20"/>
          <w:szCs w:val="20"/>
          <w:vertAlign w:val="superscript"/>
        </w:rPr>
        <w:t>*</w:t>
      </w:r>
      <w:r w:rsidRPr="003B4C74">
        <w:rPr>
          <w:color w:val="222222"/>
          <w:sz w:val="20"/>
          <w:szCs w:val="20"/>
        </w:rPr>
        <w:t>Angood C, Khara T, Dolan C, Berkley JA, WaSt Technical Interest Group (2016) </w:t>
      </w:r>
      <w:r w:rsidRPr="003B4C74">
        <w:rPr>
          <w:rStyle w:val="Emphasis"/>
          <w:color w:val="222222"/>
          <w:sz w:val="20"/>
          <w:szCs w:val="20"/>
        </w:rPr>
        <w:t>Research Priorities on the Relationship between Wasting and Stunting.</w:t>
      </w:r>
      <w:r w:rsidRPr="003B4C74">
        <w:rPr>
          <w:color w:val="222222"/>
          <w:sz w:val="20"/>
          <w:szCs w:val="20"/>
        </w:rPr>
        <w:t> PLoS ONE 11(5): e0153221. doi: </w:t>
      </w:r>
      <w:hyperlink r:id="rId5" w:history="1">
        <w:r w:rsidRPr="003B4C74">
          <w:rPr>
            <w:rStyle w:val="Hyperlink"/>
            <w:color w:val="339833"/>
            <w:sz w:val="20"/>
            <w:szCs w:val="20"/>
          </w:rPr>
          <w:t>10.1371/journal.pone.0153221</w:t>
        </w:r>
      </w:hyperlink>
      <w:r w:rsidRPr="003B4C74">
        <w:rPr>
          <w:color w:val="222222"/>
          <w:sz w:val="20"/>
          <w:szCs w:val="20"/>
        </w:rPr>
        <w:t>.</w:t>
      </w:r>
    </w:p>
    <w:p w14:paraId="3D5A1F20" w14:textId="77777777" w:rsidR="0028608C" w:rsidRPr="003B4C74" w:rsidRDefault="0028608C" w:rsidP="0028608C">
      <w:pPr>
        <w:pStyle w:val="FootnoteText"/>
        <w:rPr>
          <w:lang w:val="en-GB"/>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24F74"/>
    <w:multiLevelType w:val="hybridMultilevel"/>
    <w:tmpl w:val="51B04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903720"/>
    <w:multiLevelType w:val="hybridMultilevel"/>
    <w:tmpl w:val="F4D66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1D1113"/>
    <w:multiLevelType w:val="hybridMultilevel"/>
    <w:tmpl w:val="C6F0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230B91"/>
    <w:multiLevelType w:val="hybridMultilevel"/>
    <w:tmpl w:val="DF8E0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907A4F"/>
    <w:multiLevelType w:val="multilevel"/>
    <w:tmpl w:val="0206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6C24F01"/>
    <w:multiLevelType w:val="multilevel"/>
    <w:tmpl w:val="31BA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C324FFA"/>
    <w:multiLevelType w:val="multilevel"/>
    <w:tmpl w:val="CA3E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C8A0061"/>
    <w:multiLevelType w:val="hybridMultilevel"/>
    <w:tmpl w:val="5178C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AA2630"/>
    <w:multiLevelType w:val="hybridMultilevel"/>
    <w:tmpl w:val="E8DE3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E6319D"/>
    <w:multiLevelType w:val="hybridMultilevel"/>
    <w:tmpl w:val="2EC6C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D50EC9"/>
    <w:multiLevelType w:val="multilevel"/>
    <w:tmpl w:val="D7A6A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F36448"/>
    <w:multiLevelType w:val="multilevel"/>
    <w:tmpl w:val="D7A6A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9690AAF"/>
    <w:multiLevelType w:val="multilevel"/>
    <w:tmpl w:val="FDBE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CBB6D31"/>
    <w:multiLevelType w:val="hybridMultilevel"/>
    <w:tmpl w:val="95A6A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CE74B2"/>
    <w:multiLevelType w:val="multilevel"/>
    <w:tmpl w:val="68C6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53F5D9D"/>
    <w:multiLevelType w:val="multilevel"/>
    <w:tmpl w:val="2296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E435B47"/>
    <w:multiLevelType w:val="hybridMultilevel"/>
    <w:tmpl w:val="DA325D7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73BD6BC0"/>
    <w:multiLevelType w:val="hybridMultilevel"/>
    <w:tmpl w:val="C84ED7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28460F"/>
    <w:multiLevelType w:val="hybridMultilevel"/>
    <w:tmpl w:val="C4745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F0212E"/>
    <w:multiLevelType w:val="multilevel"/>
    <w:tmpl w:val="55F2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7E56BEA"/>
    <w:multiLevelType w:val="multilevel"/>
    <w:tmpl w:val="5EEE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2"/>
  </w:num>
  <w:num w:numId="3">
    <w:abstractNumId w:val="19"/>
  </w:num>
  <w:num w:numId="4">
    <w:abstractNumId w:val="14"/>
  </w:num>
  <w:num w:numId="5">
    <w:abstractNumId w:val="5"/>
  </w:num>
  <w:num w:numId="6">
    <w:abstractNumId w:val="4"/>
  </w:num>
  <w:num w:numId="7">
    <w:abstractNumId w:val="15"/>
  </w:num>
  <w:num w:numId="8">
    <w:abstractNumId w:val="20"/>
  </w:num>
  <w:num w:numId="9">
    <w:abstractNumId w:val="6"/>
  </w:num>
  <w:num w:numId="10">
    <w:abstractNumId w:val="1"/>
  </w:num>
  <w:num w:numId="11">
    <w:abstractNumId w:val="3"/>
  </w:num>
  <w:num w:numId="12">
    <w:abstractNumId w:val="2"/>
  </w:num>
  <w:num w:numId="13">
    <w:abstractNumId w:val="9"/>
  </w:num>
  <w:num w:numId="14">
    <w:abstractNumId w:val="16"/>
  </w:num>
  <w:num w:numId="15">
    <w:abstractNumId w:val="18"/>
  </w:num>
  <w:num w:numId="16">
    <w:abstractNumId w:val="11"/>
  </w:num>
  <w:num w:numId="17">
    <w:abstractNumId w:val="17"/>
  </w:num>
  <w:num w:numId="18">
    <w:abstractNumId w:val="7"/>
  </w:num>
  <w:num w:numId="19">
    <w:abstractNumId w:val="13"/>
  </w:num>
  <w:num w:numId="20">
    <w:abstractNumId w:val="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E6"/>
    <w:rsid w:val="0002170E"/>
    <w:rsid w:val="000459F7"/>
    <w:rsid w:val="0005113E"/>
    <w:rsid w:val="0005116A"/>
    <w:rsid w:val="00076B5B"/>
    <w:rsid w:val="00084309"/>
    <w:rsid w:val="00090736"/>
    <w:rsid w:val="001317ED"/>
    <w:rsid w:val="001866AA"/>
    <w:rsid w:val="00187603"/>
    <w:rsid w:val="001A6C9B"/>
    <w:rsid w:val="001C212B"/>
    <w:rsid w:val="001C34EC"/>
    <w:rsid w:val="001D4C62"/>
    <w:rsid w:val="002135B1"/>
    <w:rsid w:val="0028608C"/>
    <w:rsid w:val="002906AF"/>
    <w:rsid w:val="00292C53"/>
    <w:rsid w:val="002B38E9"/>
    <w:rsid w:val="0033193A"/>
    <w:rsid w:val="003B36DE"/>
    <w:rsid w:val="003B4C74"/>
    <w:rsid w:val="00440C20"/>
    <w:rsid w:val="004E16F7"/>
    <w:rsid w:val="004F5A58"/>
    <w:rsid w:val="00512460"/>
    <w:rsid w:val="00525B9E"/>
    <w:rsid w:val="005A769B"/>
    <w:rsid w:val="005C7450"/>
    <w:rsid w:val="006468E9"/>
    <w:rsid w:val="0068414C"/>
    <w:rsid w:val="006D78E9"/>
    <w:rsid w:val="006F2E44"/>
    <w:rsid w:val="00731A52"/>
    <w:rsid w:val="00767EE6"/>
    <w:rsid w:val="00773662"/>
    <w:rsid w:val="0078418D"/>
    <w:rsid w:val="007A5DA9"/>
    <w:rsid w:val="007D7E37"/>
    <w:rsid w:val="00811A8D"/>
    <w:rsid w:val="008725E9"/>
    <w:rsid w:val="008E2BAC"/>
    <w:rsid w:val="009A2F82"/>
    <w:rsid w:val="009D3093"/>
    <w:rsid w:val="00A17425"/>
    <w:rsid w:val="00A867AD"/>
    <w:rsid w:val="00AA5F2B"/>
    <w:rsid w:val="00B13FF4"/>
    <w:rsid w:val="00B32053"/>
    <w:rsid w:val="00B5356B"/>
    <w:rsid w:val="00BC62D3"/>
    <w:rsid w:val="00BF51A4"/>
    <w:rsid w:val="00C71D15"/>
    <w:rsid w:val="00C76BA5"/>
    <w:rsid w:val="00C84B97"/>
    <w:rsid w:val="00CC6865"/>
    <w:rsid w:val="00D85FF2"/>
    <w:rsid w:val="00DB2D8B"/>
    <w:rsid w:val="00DF5550"/>
    <w:rsid w:val="00E03748"/>
    <w:rsid w:val="00E112BA"/>
    <w:rsid w:val="00E22B5C"/>
    <w:rsid w:val="00E75948"/>
    <w:rsid w:val="00EC3776"/>
    <w:rsid w:val="00EC5AA2"/>
    <w:rsid w:val="00F23ACE"/>
    <w:rsid w:val="00F26DB7"/>
    <w:rsid w:val="00F358EE"/>
    <w:rsid w:val="00F35A7F"/>
    <w:rsid w:val="00F74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00965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7A5DA9"/>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85FF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85FF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6679082100131372593msolistparagraph">
    <w:name w:val="m_6679082100131372593msolistparagraph"/>
    <w:basedOn w:val="Normal"/>
    <w:rsid w:val="00767EE6"/>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9"/>
    <w:rsid w:val="007A5DA9"/>
    <w:rPr>
      <w:rFonts w:ascii="Times New Roman" w:hAnsi="Times New Roman" w:cs="Times New Roman"/>
      <w:b/>
      <w:bCs/>
      <w:kern w:val="36"/>
      <w:sz w:val="48"/>
      <w:szCs w:val="48"/>
    </w:rPr>
  </w:style>
  <w:style w:type="paragraph" w:customStyle="1" w:styleId="meta">
    <w:name w:val="meta"/>
    <w:basedOn w:val="Normal"/>
    <w:rsid w:val="007A5DA9"/>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7A5DA9"/>
    <w:rPr>
      <w:b/>
      <w:bCs/>
    </w:rPr>
  </w:style>
  <w:style w:type="paragraph" w:styleId="NormalWeb">
    <w:name w:val="Normal (Web)"/>
    <w:basedOn w:val="Normal"/>
    <w:uiPriority w:val="99"/>
    <w:unhideWhenUsed/>
    <w:rsid w:val="007A5DA9"/>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7A5DA9"/>
    <w:rPr>
      <w:color w:val="0000FF"/>
      <w:u w:val="single"/>
    </w:rPr>
  </w:style>
  <w:style w:type="character" w:customStyle="1" w:styleId="Heading2Char">
    <w:name w:val="Heading 2 Char"/>
    <w:basedOn w:val="DefaultParagraphFont"/>
    <w:link w:val="Heading2"/>
    <w:uiPriority w:val="9"/>
    <w:semiHidden/>
    <w:rsid w:val="00D85FF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D85FF2"/>
    <w:rPr>
      <w:rFonts w:asciiTheme="majorHAnsi" w:eastAsiaTheme="majorEastAsia" w:hAnsiTheme="majorHAnsi" w:cstheme="majorBidi"/>
      <w:color w:val="1F4D78" w:themeColor="accent1" w:themeShade="7F"/>
    </w:rPr>
  </w:style>
  <w:style w:type="character" w:styleId="Emphasis">
    <w:name w:val="Emphasis"/>
    <w:basedOn w:val="DefaultParagraphFont"/>
    <w:uiPriority w:val="20"/>
    <w:qFormat/>
    <w:rsid w:val="00D85FF2"/>
    <w:rPr>
      <w:i/>
      <w:iCs/>
    </w:rPr>
  </w:style>
  <w:style w:type="paragraph" w:customStyle="1" w:styleId="credits">
    <w:name w:val="credits"/>
    <w:basedOn w:val="Normal"/>
    <w:rsid w:val="000459F7"/>
    <w:pPr>
      <w:spacing w:before="100" w:beforeAutospacing="1" w:after="100" w:afterAutospacing="1"/>
    </w:pPr>
    <w:rPr>
      <w:rFonts w:ascii="Times New Roman" w:hAnsi="Times New Roman" w:cs="Times New Roman"/>
    </w:rPr>
  </w:style>
  <w:style w:type="paragraph" w:styleId="Caption">
    <w:name w:val="caption"/>
    <w:aliases w:val="caption"/>
    <w:basedOn w:val="Normal"/>
    <w:uiPriority w:val="35"/>
    <w:qFormat/>
    <w:rsid w:val="0005113E"/>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292C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CC6865"/>
  </w:style>
  <w:style w:type="character" w:customStyle="1" w:styleId="FootnoteTextChar">
    <w:name w:val="Footnote Text Char"/>
    <w:basedOn w:val="DefaultParagraphFont"/>
    <w:link w:val="FootnoteText"/>
    <w:uiPriority w:val="99"/>
    <w:rsid w:val="00CC6865"/>
  </w:style>
  <w:style w:type="character" w:styleId="FootnoteReference">
    <w:name w:val="footnote reference"/>
    <w:basedOn w:val="DefaultParagraphFont"/>
    <w:uiPriority w:val="99"/>
    <w:unhideWhenUsed/>
    <w:rsid w:val="00CC6865"/>
    <w:rPr>
      <w:vertAlign w:val="superscript"/>
    </w:rPr>
  </w:style>
  <w:style w:type="character" w:styleId="FollowedHyperlink">
    <w:name w:val="FollowedHyperlink"/>
    <w:basedOn w:val="DefaultParagraphFont"/>
    <w:uiPriority w:val="99"/>
    <w:semiHidden/>
    <w:unhideWhenUsed/>
    <w:rsid w:val="00B32053"/>
    <w:rPr>
      <w:color w:val="954F72" w:themeColor="followedHyperlink"/>
      <w:u w:val="single"/>
    </w:rPr>
  </w:style>
  <w:style w:type="paragraph" w:styleId="ListParagraph">
    <w:name w:val="List Paragraph"/>
    <w:basedOn w:val="Normal"/>
    <w:uiPriority w:val="34"/>
    <w:qFormat/>
    <w:rsid w:val="00084309"/>
    <w:pPr>
      <w:ind w:left="720"/>
      <w:contextualSpacing/>
    </w:pPr>
  </w:style>
  <w:style w:type="paragraph" w:styleId="Footer">
    <w:name w:val="footer"/>
    <w:basedOn w:val="Normal"/>
    <w:link w:val="FooterChar"/>
    <w:uiPriority w:val="99"/>
    <w:unhideWhenUsed/>
    <w:rsid w:val="00EC5AA2"/>
    <w:pPr>
      <w:tabs>
        <w:tab w:val="center" w:pos="4513"/>
        <w:tab w:val="right" w:pos="9026"/>
      </w:tabs>
    </w:pPr>
  </w:style>
  <w:style w:type="character" w:customStyle="1" w:styleId="FooterChar">
    <w:name w:val="Footer Char"/>
    <w:basedOn w:val="DefaultParagraphFont"/>
    <w:link w:val="Footer"/>
    <w:uiPriority w:val="99"/>
    <w:rsid w:val="00EC5AA2"/>
  </w:style>
  <w:style w:type="character" w:styleId="PageNumber">
    <w:name w:val="page number"/>
    <w:basedOn w:val="DefaultParagraphFont"/>
    <w:uiPriority w:val="99"/>
    <w:semiHidden/>
    <w:unhideWhenUsed/>
    <w:rsid w:val="00EC5AA2"/>
  </w:style>
  <w:style w:type="character" w:styleId="CommentReference">
    <w:name w:val="annotation reference"/>
    <w:basedOn w:val="DefaultParagraphFont"/>
    <w:uiPriority w:val="99"/>
    <w:semiHidden/>
    <w:unhideWhenUsed/>
    <w:rsid w:val="00731A52"/>
    <w:rPr>
      <w:sz w:val="18"/>
      <w:szCs w:val="18"/>
    </w:rPr>
  </w:style>
  <w:style w:type="paragraph" w:styleId="CommentText">
    <w:name w:val="annotation text"/>
    <w:basedOn w:val="Normal"/>
    <w:link w:val="CommentTextChar"/>
    <w:uiPriority w:val="99"/>
    <w:semiHidden/>
    <w:unhideWhenUsed/>
    <w:rsid w:val="00731A52"/>
  </w:style>
  <w:style w:type="character" w:customStyle="1" w:styleId="CommentTextChar">
    <w:name w:val="Comment Text Char"/>
    <w:basedOn w:val="DefaultParagraphFont"/>
    <w:link w:val="CommentText"/>
    <w:uiPriority w:val="99"/>
    <w:semiHidden/>
    <w:rsid w:val="00731A52"/>
  </w:style>
  <w:style w:type="paragraph" w:styleId="CommentSubject">
    <w:name w:val="annotation subject"/>
    <w:basedOn w:val="CommentText"/>
    <w:next w:val="CommentText"/>
    <w:link w:val="CommentSubjectChar"/>
    <w:uiPriority w:val="99"/>
    <w:semiHidden/>
    <w:unhideWhenUsed/>
    <w:rsid w:val="00731A52"/>
    <w:rPr>
      <w:b/>
      <w:bCs/>
      <w:sz w:val="20"/>
      <w:szCs w:val="20"/>
    </w:rPr>
  </w:style>
  <w:style w:type="character" w:customStyle="1" w:styleId="CommentSubjectChar">
    <w:name w:val="Comment Subject Char"/>
    <w:basedOn w:val="CommentTextChar"/>
    <w:link w:val="CommentSubject"/>
    <w:uiPriority w:val="99"/>
    <w:semiHidden/>
    <w:rsid w:val="00731A52"/>
    <w:rPr>
      <w:b/>
      <w:bCs/>
      <w:sz w:val="20"/>
      <w:szCs w:val="20"/>
    </w:rPr>
  </w:style>
  <w:style w:type="paragraph" w:styleId="BalloonText">
    <w:name w:val="Balloon Text"/>
    <w:basedOn w:val="Normal"/>
    <w:link w:val="BalloonTextChar"/>
    <w:uiPriority w:val="99"/>
    <w:semiHidden/>
    <w:unhideWhenUsed/>
    <w:rsid w:val="00731A5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31A5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21885">
      <w:bodyDiv w:val="1"/>
      <w:marLeft w:val="0"/>
      <w:marRight w:val="0"/>
      <w:marTop w:val="0"/>
      <w:marBottom w:val="0"/>
      <w:divBdr>
        <w:top w:val="none" w:sz="0" w:space="0" w:color="auto"/>
        <w:left w:val="none" w:sz="0" w:space="0" w:color="auto"/>
        <w:bottom w:val="none" w:sz="0" w:space="0" w:color="auto"/>
        <w:right w:val="none" w:sz="0" w:space="0" w:color="auto"/>
      </w:divBdr>
    </w:div>
    <w:div w:id="310182003">
      <w:bodyDiv w:val="1"/>
      <w:marLeft w:val="0"/>
      <w:marRight w:val="0"/>
      <w:marTop w:val="0"/>
      <w:marBottom w:val="0"/>
      <w:divBdr>
        <w:top w:val="none" w:sz="0" w:space="0" w:color="auto"/>
        <w:left w:val="none" w:sz="0" w:space="0" w:color="auto"/>
        <w:bottom w:val="none" w:sz="0" w:space="0" w:color="auto"/>
        <w:right w:val="none" w:sz="0" w:space="0" w:color="auto"/>
      </w:divBdr>
    </w:div>
    <w:div w:id="558976302">
      <w:bodyDiv w:val="1"/>
      <w:marLeft w:val="0"/>
      <w:marRight w:val="0"/>
      <w:marTop w:val="0"/>
      <w:marBottom w:val="0"/>
      <w:divBdr>
        <w:top w:val="none" w:sz="0" w:space="0" w:color="auto"/>
        <w:left w:val="none" w:sz="0" w:space="0" w:color="auto"/>
        <w:bottom w:val="none" w:sz="0" w:space="0" w:color="auto"/>
        <w:right w:val="none" w:sz="0" w:space="0" w:color="auto"/>
      </w:divBdr>
    </w:div>
    <w:div w:id="784621233">
      <w:bodyDiv w:val="1"/>
      <w:marLeft w:val="0"/>
      <w:marRight w:val="0"/>
      <w:marTop w:val="0"/>
      <w:marBottom w:val="0"/>
      <w:divBdr>
        <w:top w:val="none" w:sz="0" w:space="0" w:color="auto"/>
        <w:left w:val="none" w:sz="0" w:space="0" w:color="auto"/>
        <w:bottom w:val="none" w:sz="0" w:space="0" w:color="auto"/>
        <w:right w:val="none" w:sz="0" w:space="0" w:color="auto"/>
      </w:divBdr>
    </w:div>
    <w:div w:id="834690079">
      <w:bodyDiv w:val="1"/>
      <w:marLeft w:val="0"/>
      <w:marRight w:val="0"/>
      <w:marTop w:val="0"/>
      <w:marBottom w:val="0"/>
      <w:divBdr>
        <w:top w:val="none" w:sz="0" w:space="0" w:color="auto"/>
        <w:left w:val="none" w:sz="0" w:space="0" w:color="auto"/>
        <w:bottom w:val="none" w:sz="0" w:space="0" w:color="auto"/>
        <w:right w:val="none" w:sz="0" w:space="0" w:color="auto"/>
      </w:divBdr>
      <w:divsChild>
        <w:div w:id="1854955136">
          <w:marLeft w:val="450"/>
          <w:marRight w:val="0"/>
          <w:marTop w:val="75"/>
          <w:marBottom w:val="150"/>
          <w:divBdr>
            <w:top w:val="dotted" w:sz="6" w:space="8" w:color="BBBBBB"/>
            <w:left w:val="none" w:sz="0" w:space="0" w:color="auto"/>
            <w:bottom w:val="dotted" w:sz="6" w:space="8" w:color="BBBBBB"/>
            <w:right w:val="none" w:sz="0" w:space="0" w:color="auto"/>
          </w:divBdr>
        </w:div>
        <w:div w:id="2132047883">
          <w:marLeft w:val="450"/>
          <w:marRight w:val="0"/>
          <w:marTop w:val="75"/>
          <w:marBottom w:val="150"/>
          <w:divBdr>
            <w:top w:val="dotted" w:sz="6" w:space="8" w:color="BBBBBB"/>
            <w:left w:val="none" w:sz="0" w:space="0" w:color="auto"/>
            <w:bottom w:val="dotted" w:sz="6" w:space="8" w:color="BBBBBB"/>
            <w:right w:val="none" w:sz="0" w:space="0" w:color="auto"/>
          </w:divBdr>
        </w:div>
        <w:div w:id="1744448256">
          <w:marLeft w:val="0"/>
          <w:marRight w:val="0"/>
          <w:marTop w:val="300"/>
          <w:marBottom w:val="0"/>
          <w:divBdr>
            <w:top w:val="single" w:sz="12" w:space="15" w:color="DDDDDD"/>
            <w:left w:val="none" w:sz="0" w:space="0" w:color="auto"/>
            <w:bottom w:val="none" w:sz="0" w:space="0" w:color="auto"/>
            <w:right w:val="none" w:sz="0" w:space="0" w:color="auto"/>
          </w:divBdr>
        </w:div>
      </w:divsChild>
    </w:div>
    <w:div w:id="1534002084">
      <w:bodyDiv w:val="1"/>
      <w:marLeft w:val="0"/>
      <w:marRight w:val="0"/>
      <w:marTop w:val="0"/>
      <w:marBottom w:val="0"/>
      <w:divBdr>
        <w:top w:val="none" w:sz="0" w:space="0" w:color="auto"/>
        <w:left w:val="none" w:sz="0" w:space="0" w:color="auto"/>
        <w:bottom w:val="none" w:sz="0" w:space="0" w:color="auto"/>
        <w:right w:val="none" w:sz="0" w:space="0" w:color="auto"/>
      </w:divBdr>
      <w:divsChild>
        <w:div w:id="347878906">
          <w:marLeft w:val="0"/>
          <w:marRight w:val="0"/>
          <w:marTop w:val="525"/>
          <w:marBottom w:val="0"/>
          <w:divBdr>
            <w:top w:val="single" w:sz="12" w:space="0" w:color="DDDDDD"/>
            <w:left w:val="none" w:sz="0" w:space="0" w:color="auto"/>
            <w:bottom w:val="none" w:sz="0" w:space="0" w:color="auto"/>
            <w:right w:val="none" w:sz="0" w:space="0" w:color="auto"/>
          </w:divBdr>
        </w:div>
      </w:divsChild>
    </w:div>
    <w:div w:id="1534995080">
      <w:bodyDiv w:val="1"/>
      <w:marLeft w:val="0"/>
      <w:marRight w:val="0"/>
      <w:marTop w:val="0"/>
      <w:marBottom w:val="0"/>
      <w:divBdr>
        <w:top w:val="none" w:sz="0" w:space="0" w:color="auto"/>
        <w:left w:val="none" w:sz="0" w:space="0" w:color="auto"/>
        <w:bottom w:val="none" w:sz="0" w:space="0" w:color="auto"/>
        <w:right w:val="none" w:sz="0" w:space="0" w:color="auto"/>
      </w:divBdr>
      <w:divsChild>
        <w:div w:id="1299267314">
          <w:marLeft w:val="450"/>
          <w:marRight w:val="0"/>
          <w:marTop w:val="75"/>
          <w:marBottom w:val="150"/>
          <w:divBdr>
            <w:top w:val="dotted" w:sz="6" w:space="8" w:color="BBBBBB"/>
            <w:left w:val="none" w:sz="0" w:space="0" w:color="auto"/>
            <w:bottom w:val="dotted" w:sz="6" w:space="8" w:color="BBBBBB"/>
            <w:right w:val="none" w:sz="0" w:space="0" w:color="auto"/>
          </w:divBdr>
        </w:div>
      </w:divsChild>
    </w:div>
    <w:div w:id="2125803573">
      <w:bodyDiv w:val="1"/>
      <w:marLeft w:val="0"/>
      <w:marRight w:val="0"/>
      <w:marTop w:val="0"/>
      <w:marBottom w:val="0"/>
      <w:divBdr>
        <w:top w:val="none" w:sz="0" w:space="0" w:color="auto"/>
        <w:left w:val="none" w:sz="0" w:space="0" w:color="auto"/>
        <w:bottom w:val="none" w:sz="0" w:space="0" w:color="auto"/>
        <w:right w:val="none" w:sz="0" w:space="0" w:color="auto"/>
      </w:divBdr>
      <w:divsChild>
        <w:div w:id="9774194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www.unocha.org/nigeria" TargetMode="External"/><Relationship Id="rId4" Type="http://schemas.openxmlformats.org/officeDocument/2006/relationships/hyperlink" Target="http://www.unocha.org/somalia" TargetMode="External"/><Relationship Id="rId5" Type="http://schemas.openxmlformats.org/officeDocument/2006/relationships/hyperlink" Target="http://journals.plos.org/plosone/article?id=10.1371/journal.pone.0153221" TargetMode="External"/><Relationship Id="rId1" Type="http://schemas.openxmlformats.org/officeDocument/2006/relationships/hyperlink" Target="http://www.ennonline.net/ourwork/reviews/wastingstunting" TargetMode="External"/><Relationship Id="rId2" Type="http://schemas.openxmlformats.org/officeDocument/2006/relationships/hyperlink" Target="http://www.ennonline.net/enncmamfinancingreport2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2491</Words>
  <Characters>14199</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Masefield</dc:creator>
  <cp:keywords/>
  <dc:description/>
  <cp:lastModifiedBy>Microsoft Office User</cp:lastModifiedBy>
  <cp:revision>2</cp:revision>
  <cp:lastPrinted>2018-02-27T11:45:00Z</cp:lastPrinted>
  <dcterms:created xsi:type="dcterms:W3CDTF">2018-02-27T11:45:00Z</dcterms:created>
  <dcterms:modified xsi:type="dcterms:W3CDTF">2018-02-27T11:45:00Z</dcterms:modified>
</cp:coreProperties>
</file>