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3C3DC" w14:textId="43819D88" w:rsidR="00A033B2" w:rsidRPr="00167F3C" w:rsidRDefault="005779DA" w:rsidP="00EC1C8F">
      <w:pPr>
        <w:pStyle w:val="Caption"/>
        <w:keepNext/>
        <w:spacing w:after="120"/>
        <w:jc w:val="center"/>
        <w:outlineLvl w:val="0"/>
        <w:rPr>
          <w:b/>
          <w:noProof/>
          <w:sz w:val="28"/>
          <w:szCs w:val="28"/>
        </w:rPr>
      </w:pPr>
      <w:r w:rsidRPr="00167F3C">
        <w:rPr>
          <w:b/>
          <w:sz w:val="28"/>
          <w:szCs w:val="28"/>
        </w:rPr>
        <w:t xml:space="preserve">Potential topics for a </w:t>
      </w:r>
      <w:r w:rsidR="00A033B2" w:rsidRPr="00167F3C">
        <w:rPr>
          <w:b/>
          <w:sz w:val="28"/>
          <w:szCs w:val="28"/>
        </w:rPr>
        <w:t xml:space="preserve">2FAS Research Matrix </w:t>
      </w:r>
      <w:r w:rsidRPr="00167F3C">
        <w:rPr>
          <w:b/>
          <w:sz w:val="28"/>
          <w:szCs w:val="28"/>
        </w:rPr>
        <w:t xml:space="preserve">on Food Fortification – Biofortification </w:t>
      </w:r>
      <w:r w:rsidR="00A033B2" w:rsidRPr="00167F3C">
        <w:rPr>
          <w:b/>
          <w:noProof/>
          <w:sz w:val="28"/>
          <w:szCs w:val="28"/>
        </w:rPr>
        <w:t>(</w:t>
      </w:r>
      <w:r w:rsidRPr="00167F3C">
        <w:rPr>
          <w:b/>
          <w:noProof/>
          <w:sz w:val="28"/>
          <w:szCs w:val="28"/>
        </w:rPr>
        <w:t xml:space="preserve">v5.0 - </w:t>
      </w:r>
      <w:r w:rsidR="00C82688" w:rsidRPr="00167F3C">
        <w:rPr>
          <w:b/>
          <w:noProof/>
          <w:sz w:val="28"/>
          <w:szCs w:val="28"/>
        </w:rPr>
        <w:t>1</w:t>
      </w:r>
      <w:r w:rsidR="00675122" w:rsidRPr="00167F3C">
        <w:rPr>
          <w:b/>
          <w:noProof/>
          <w:sz w:val="28"/>
          <w:szCs w:val="28"/>
        </w:rPr>
        <w:t xml:space="preserve">5 </w:t>
      </w:r>
      <w:r w:rsidR="00C82688" w:rsidRPr="00167F3C">
        <w:rPr>
          <w:b/>
          <w:noProof/>
          <w:sz w:val="28"/>
          <w:szCs w:val="28"/>
        </w:rPr>
        <w:t>March2018</w:t>
      </w:r>
      <w:r w:rsidR="00A033B2" w:rsidRPr="00167F3C">
        <w:rPr>
          <w:b/>
          <w:noProof/>
          <w:sz w:val="28"/>
          <w:szCs w:val="28"/>
        </w:rPr>
        <w:t>)</w:t>
      </w:r>
    </w:p>
    <w:p w14:paraId="2F075B73" w14:textId="6C46E459" w:rsidR="00C82EC0" w:rsidRDefault="00C82EC0" w:rsidP="00C82EC0">
      <w:pPr>
        <w:spacing w:line="240" w:lineRule="auto"/>
        <w:jc w:val="both"/>
      </w:pPr>
      <w:r w:rsidRPr="000E56EB">
        <w:t>Food fortification and biofortification</w:t>
      </w:r>
      <w:bookmarkStart w:id="0" w:name="_GoBack"/>
      <w:bookmarkEnd w:id="0"/>
      <w:r w:rsidRPr="000E56EB">
        <w:t xml:space="preserve"> are well-established</w:t>
      </w:r>
      <w:r>
        <w:t>,</w:t>
      </w:r>
      <w:r w:rsidRPr="000E56EB">
        <w:t xml:space="preserve"> </w:t>
      </w:r>
      <w:r>
        <w:t xml:space="preserve">cost-effective </w:t>
      </w:r>
      <w:r w:rsidRPr="000E56EB">
        <w:t>strategies</w:t>
      </w:r>
      <w:r>
        <w:t>,</w:t>
      </w:r>
      <w:r w:rsidRPr="000E56EB">
        <w:t xml:space="preserve"> </w:t>
      </w:r>
      <w:r>
        <w:t xml:space="preserve">as part of other nutrition-specific and nutrition-sensitive efforts </w:t>
      </w:r>
      <w:r w:rsidRPr="000E56EB">
        <w:t xml:space="preserve">to address micronutrient deficiencies in vulnerable populations. </w:t>
      </w:r>
      <w:r>
        <w:t>However, to further accelerate progress and impact, a</w:t>
      </w:r>
      <w:r w:rsidRPr="000E56EB">
        <w:t xml:space="preserve"> concerted approach </w:t>
      </w:r>
      <w:r>
        <w:t xml:space="preserve">with effective public-private partnerships </w:t>
      </w:r>
      <w:r w:rsidRPr="000E56EB">
        <w:t>is needed</w:t>
      </w:r>
      <w:r w:rsidR="00345208">
        <w:t xml:space="preserve">. Some key </w:t>
      </w:r>
      <w:r w:rsidRPr="000E56EB">
        <w:t>technical and food system challenges</w:t>
      </w:r>
      <w:r w:rsidR="00345208">
        <w:t xml:space="preserve"> remain to be addressed</w:t>
      </w:r>
      <w:r w:rsidRPr="000E56EB">
        <w:t xml:space="preserve">, especially in relation to improving </w:t>
      </w:r>
      <w:r w:rsidR="004030A6">
        <w:t xml:space="preserve">reach and </w:t>
      </w:r>
      <w:r>
        <w:t xml:space="preserve">effective </w:t>
      </w:r>
      <w:r w:rsidRPr="000E56EB">
        <w:t xml:space="preserve">coverage, </w:t>
      </w:r>
      <w:r w:rsidR="004030A6">
        <w:t>ensuring accessibility</w:t>
      </w:r>
      <w:r w:rsidR="005A507A">
        <w:t xml:space="preserve"> and equity, </w:t>
      </w:r>
      <w:r w:rsidRPr="000E56EB">
        <w:t xml:space="preserve">and </w:t>
      </w:r>
      <w:r w:rsidR="005A507A">
        <w:t xml:space="preserve">to </w:t>
      </w:r>
      <w:r w:rsidR="004030A6">
        <w:t>quality control</w:t>
      </w:r>
      <w:r w:rsidR="005A507A">
        <w:t xml:space="preserve"> of products</w:t>
      </w:r>
      <w:r w:rsidRPr="000E56EB">
        <w:t xml:space="preserve"> </w:t>
      </w:r>
      <w:r w:rsidR="005A507A">
        <w:t>and tracking</w:t>
      </w:r>
      <w:r w:rsidR="005A507A" w:rsidRPr="000E56EB">
        <w:t xml:space="preserve"> progress</w:t>
      </w:r>
      <w:r w:rsidR="005A507A">
        <w:t xml:space="preserve"> </w:t>
      </w:r>
      <w:r w:rsidRPr="000E56EB">
        <w:t>of national programs</w:t>
      </w:r>
      <w:r>
        <w:t xml:space="preserve"> over time</w:t>
      </w:r>
      <w:r w:rsidRPr="000E56EB">
        <w:t xml:space="preserve">. </w:t>
      </w:r>
    </w:p>
    <w:p w14:paraId="138BA359" w14:textId="0A85A033" w:rsidR="004030A6" w:rsidRDefault="004030A6" w:rsidP="00167F3C">
      <w:pPr>
        <w:spacing w:line="240" w:lineRule="auto"/>
      </w:pPr>
      <w:r>
        <w:t xml:space="preserve">In session 2.2 participants will be asked to </w:t>
      </w:r>
      <w:r w:rsidR="005A507A">
        <w:t xml:space="preserve">contribute to </w:t>
      </w:r>
      <w:r>
        <w:t>build</w:t>
      </w:r>
      <w:r w:rsidR="005A507A">
        <w:t xml:space="preserve">ing of </w:t>
      </w:r>
      <w:r>
        <w:t xml:space="preserve">the EC research matrix </w:t>
      </w:r>
      <w:r w:rsidR="005A507A">
        <w:t>o</w:t>
      </w:r>
      <w:r>
        <w:t>n fortification</w:t>
      </w:r>
      <w:r w:rsidR="005A507A">
        <w:t xml:space="preserve">. Inputs are sought in </w:t>
      </w:r>
      <w:r>
        <w:t>prioritiz</w:t>
      </w:r>
      <w:r w:rsidR="005A507A">
        <w:t xml:space="preserve">ation of </w:t>
      </w:r>
      <w:r>
        <w:t xml:space="preserve">operational research questions </w:t>
      </w:r>
      <w:r w:rsidR="005A507A">
        <w:t xml:space="preserve">around </w:t>
      </w:r>
      <w:r>
        <w:t xml:space="preserve">effective implementation of food fortification programs in three areas: large scale staple food fortification, fortified complementary foods and biofortification of crops. Examples of such questions are provided in the </w:t>
      </w:r>
      <w:r w:rsidR="005A507A">
        <w:t xml:space="preserve">table </w:t>
      </w:r>
      <w:r>
        <w:t xml:space="preserve">below. </w:t>
      </w:r>
    </w:p>
    <w:tbl>
      <w:tblPr>
        <w:tblW w:w="14885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111"/>
        <w:gridCol w:w="3969"/>
        <w:gridCol w:w="4253"/>
      </w:tblGrid>
      <w:tr w:rsidR="00345208" w14:paraId="71A8946B" w14:textId="77777777" w:rsidTr="00167F3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ABB2" w14:textId="77777777" w:rsidR="005779DA" w:rsidRDefault="005779DA" w:rsidP="00167F3C">
            <w:pPr>
              <w:spacing w:after="120"/>
              <w:rPr>
                <w:rFonts w:eastAsiaTheme="minorHAnsi"/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DCD36" w14:textId="7E0B9A6B" w:rsidR="005779DA" w:rsidRDefault="005779DA" w:rsidP="00167F3C">
            <w:pPr>
              <w:spacing w:before="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Fortified Complementary Foods</w:t>
            </w:r>
            <w:r w:rsidR="00FF6DE9">
              <w:rPr>
                <w:b/>
                <w:bCs/>
              </w:rPr>
              <w:t xml:space="preserve"> (FCF)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9310" w14:textId="77777777" w:rsidR="005779DA" w:rsidRDefault="005779DA" w:rsidP="00167F3C">
            <w:pPr>
              <w:spacing w:before="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Biofortification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4D629" w14:textId="77777777" w:rsidR="005779DA" w:rsidRDefault="005779DA" w:rsidP="00167F3C">
            <w:pPr>
              <w:spacing w:before="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Cereal/flour fortification</w:t>
            </w:r>
          </w:p>
        </w:tc>
      </w:tr>
      <w:tr w:rsidR="005F27D8" w14:paraId="4C528D47" w14:textId="77777777" w:rsidTr="005F27D8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EB368" w14:textId="4E9E1605" w:rsidR="005A507A" w:rsidRDefault="005A507A" w:rsidP="00167F3C">
            <w:pPr>
              <w:spacing w:before="20" w:after="0"/>
              <w:rPr>
                <w:b/>
                <w:bCs/>
              </w:rPr>
            </w:pPr>
            <w:r>
              <w:rPr>
                <w:b/>
                <w:bCs/>
              </w:rPr>
              <w:t>Strengthen</w:t>
            </w:r>
            <w:r w:rsidR="005F27D8">
              <w:rPr>
                <w:b/>
                <w:bCs/>
              </w:rPr>
              <w:t xml:space="preserve">ing </w:t>
            </w:r>
            <w:r>
              <w:rPr>
                <w:b/>
                <w:bCs/>
              </w:rPr>
              <w:t xml:space="preserve">Public Private Partnerships </w:t>
            </w:r>
          </w:p>
          <w:p w14:paraId="3873EDCB" w14:textId="77777777" w:rsidR="005A507A" w:rsidRDefault="005A507A" w:rsidP="00167F3C">
            <w:pPr>
              <w:spacing w:before="20" w:after="0"/>
              <w:rPr>
                <w:b/>
                <w:bCs/>
              </w:rPr>
            </w:pPr>
          </w:p>
          <w:p w14:paraId="223430DF" w14:textId="77777777" w:rsidR="005A507A" w:rsidRDefault="005A507A" w:rsidP="00167F3C">
            <w:pPr>
              <w:spacing w:before="20" w:after="0"/>
              <w:rPr>
                <w:b/>
                <w:bCs/>
              </w:rPr>
            </w:pPr>
          </w:p>
          <w:p w14:paraId="6B52CF8B" w14:textId="26181C0C" w:rsidR="005A507A" w:rsidRDefault="005A507A" w:rsidP="00167F3C">
            <w:pPr>
              <w:spacing w:before="2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FF4E" w14:textId="30DD9200" w:rsidR="005A507A" w:rsidRDefault="005A507A" w:rsidP="00167F3C">
            <w:pPr>
              <w:spacing w:before="20" w:after="120"/>
              <w:jc w:val="center"/>
            </w:pPr>
            <w:r>
              <w:t xml:space="preserve">How to best shape the </w:t>
            </w:r>
            <w:r w:rsidRPr="00167F3C">
              <w:rPr>
                <w:b/>
              </w:rPr>
              <w:t xml:space="preserve">interfaces between </w:t>
            </w:r>
            <w:proofErr w:type="spellStart"/>
            <w:r w:rsidRPr="00167F3C">
              <w:rPr>
                <w:b/>
              </w:rPr>
              <w:t>Govt</w:t>
            </w:r>
            <w:proofErr w:type="spellEnd"/>
            <w:r w:rsidRPr="00167F3C">
              <w:rPr>
                <w:b/>
              </w:rPr>
              <w:t>, industry, and civil society</w:t>
            </w:r>
            <w:r>
              <w:t xml:space="preserve"> </w:t>
            </w:r>
            <w:r w:rsidRPr="00167F3C">
              <w:rPr>
                <w:b/>
              </w:rPr>
              <w:t>on FCF</w:t>
            </w:r>
            <w:r>
              <w:t xml:space="preserve">? </w:t>
            </w:r>
            <w:r w:rsidR="00F257D9">
              <w:t>What are primary drivers for the commitment of the different actors?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F3E42" w14:textId="5C01F85E" w:rsidR="005A507A" w:rsidRDefault="005A507A" w:rsidP="00167F3C">
            <w:pPr>
              <w:spacing w:before="20" w:after="120"/>
              <w:jc w:val="center"/>
            </w:pPr>
            <w:r>
              <w:t xml:space="preserve">What can be the </w:t>
            </w:r>
            <w:r w:rsidRPr="00167F3C">
              <w:rPr>
                <w:b/>
              </w:rPr>
              <w:t xml:space="preserve">roles for </w:t>
            </w:r>
            <w:proofErr w:type="spellStart"/>
            <w:r w:rsidRPr="00167F3C">
              <w:rPr>
                <w:b/>
              </w:rPr>
              <w:t>Govt</w:t>
            </w:r>
            <w:proofErr w:type="spellEnd"/>
            <w:r w:rsidRPr="00167F3C">
              <w:rPr>
                <w:b/>
              </w:rPr>
              <w:t>, seed industry, civil society, UN agencies, etc.,</w:t>
            </w:r>
            <w:r>
              <w:t xml:space="preserve"> for </w:t>
            </w:r>
            <w:r w:rsidRPr="00167F3C">
              <w:rPr>
                <w:b/>
              </w:rPr>
              <w:t xml:space="preserve">scaling-up of </w:t>
            </w:r>
            <w:proofErr w:type="spellStart"/>
            <w:r w:rsidRPr="00167F3C">
              <w:rPr>
                <w:b/>
              </w:rPr>
              <w:t>biofortified</w:t>
            </w:r>
            <w:proofErr w:type="spellEnd"/>
            <w:r w:rsidRPr="00167F3C">
              <w:rPr>
                <w:b/>
              </w:rPr>
              <w:t xml:space="preserve"> seeds</w:t>
            </w:r>
            <w:r>
              <w:t xml:space="preserve"> after their release by the national agricultural research council? </w:t>
            </w:r>
            <w:r w:rsidR="00F257D9">
              <w:t>What are primary drivers for commitment of the different actors?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4B88" w14:textId="16A203E8" w:rsidR="005A507A" w:rsidRDefault="005A507A" w:rsidP="00167F3C">
            <w:pPr>
              <w:spacing w:before="20" w:after="120"/>
              <w:jc w:val="center"/>
            </w:pPr>
            <w:r>
              <w:t xml:space="preserve">How to </w:t>
            </w:r>
            <w:r w:rsidRPr="00167F3C">
              <w:rPr>
                <w:b/>
              </w:rPr>
              <w:t xml:space="preserve">strengthen national FF alliances and other interfaces between </w:t>
            </w:r>
            <w:proofErr w:type="spellStart"/>
            <w:r w:rsidRPr="00167F3C">
              <w:rPr>
                <w:b/>
              </w:rPr>
              <w:t>Govt</w:t>
            </w:r>
            <w:proofErr w:type="spellEnd"/>
            <w:r w:rsidRPr="00167F3C">
              <w:rPr>
                <w:b/>
              </w:rPr>
              <w:t xml:space="preserve"> and industry</w:t>
            </w:r>
            <w:r>
              <w:t xml:space="preserve"> in relation to cereal/flour fortification?</w:t>
            </w:r>
            <w:r w:rsidR="00F257D9">
              <w:t xml:space="preserve"> What are primary drivers for the commitment of the different actors?</w:t>
            </w:r>
          </w:p>
        </w:tc>
      </w:tr>
      <w:tr w:rsidR="00345208" w14:paraId="0966AA70" w14:textId="77777777" w:rsidTr="00167F3C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B3CA" w14:textId="4CB5A7A5" w:rsidR="005779DA" w:rsidRDefault="005779DA" w:rsidP="00167F3C">
            <w:pPr>
              <w:spacing w:before="20"/>
              <w:rPr>
                <w:b/>
                <w:bCs/>
              </w:rPr>
            </w:pPr>
            <w:r>
              <w:rPr>
                <w:b/>
                <w:bCs/>
              </w:rPr>
              <w:t>Reg</w:t>
            </w:r>
            <w:r w:rsidR="00FF6DE9">
              <w:rPr>
                <w:b/>
                <w:bCs/>
              </w:rPr>
              <w:t>ulatory</w:t>
            </w:r>
            <w:r>
              <w:rPr>
                <w:b/>
                <w:bCs/>
              </w:rPr>
              <w:t xml:space="preserve"> monitoring / Q</w:t>
            </w:r>
            <w:r w:rsidR="00FF6DE9">
              <w:rPr>
                <w:b/>
                <w:bCs/>
              </w:rPr>
              <w:t xml:space="preserve">uality </w:t>
            </w:r>
            <w:r>
              <w:rPr>
                <w:b/>
                <w:bCs/>
              </w:rPr>
              <w:t>C</w:t>
            </w:r>
            <w:r w:rsidR="00FF6DE9">
              <w:rPr>
                <w:b/>
                <w:bCs/>
              </w:rPr>
              <w:t>ontrol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7FB71" w14:textId="77777777" w:rsidR="005779DA" w:rsidRDefault="005779DA" w:rsidP="00167F3C">
            <w:pPr>
              <w:spacing w:before="20"/>
              <w:jc w:val="center"/>
            </w:pPr>
            <w:r>
              <w:t xml:space="preserve">What are the </w:t>
            </w:r>
            <w:r w:rsidRPr="00167F3C">
              <w:rPr>
                <w:b/>
              </w:rPr>
              <w:t>main challenges in regulatory monitoring data collection, analysis and reporting</w:t>
            </w:r>
            <w:r>
              <w:t>, and how to overcome them?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D43A" w14:textId="517DA22B" w:rsidR="005779DA" w:rsidRDefault="005779DA" w:rsidP="00167F3C">
            <w:pPr>
              <w:spacing w:before="20" w:after="120"/>
              <w:jc w:val="center"/>
            </w:pPr>
            <w:r>
              <w:t xml:space="preserve">How to shape </w:t>
            </w:r>
            <w:r w:rsidRPr="00167F3C">
              <w:rPr>
                <w:b/>
              </w:rPr>
              <w:t xml:space="preserve">regulatory monitoring </w:t>
            </w:r>
            <w:r>
              <w:rPr>
                <w:b/>
              </w:rPr>
              <w:t>(</w:t>
            </w:r>
            <w:r w:rsidRPr="00167F3C">
              <w:rPr>
                <w:b/>
              </w:rPr>
              <w:t>data collection, analysis and reporting</w:t>
            </w:r>
            <w:r>
              <w:rPr>
                <w:b/>
              </w:rPr>
              <w:t xml:space="preserve">) </w:t>
            </w:r>
            <w:r w:rsidRPr="00167F3C">
              <w:t xml:space="preserve">on </w:t>
            </w:r>
            <w:proofErr w:type="spellStart"/>
            <w:r>
              <w:t>biofortified</w:t>
            </w:r>
            <w:proofErr w:type="spellEnd"/>
            <w:r>
              <w:t xml:space="preserve"> seeds and crops?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B7510" w14:textId="77777777" w:rsidR="005779DA" w:rsidRDefault="005779DA" w:rsidP="00167F3C">
            <w:pPr>
              <w:spacing w:before="20" w:after="120"/>
              <w:jc w:val="center"/>
            </w:pPr>
            <w:r>
              <w:t xml:space="preserve">What are the </w:t>
            </w:r>
            <w:r w:rsidRPr="00167F3C">
              <w:rPr>
                <w:b/>
              </w:rPr>
              <w:t>main challenges in regulatory monitoring data collection, analysis and reporting</w:t>
            </w:r>
            <w:r>
              <w:t>, and how to overcome them?</w:t>
            </w:r>
          </w:p>
        </w:tc>
      </w:tr>
      <w:tr w:rsidR="005F27D8" w14:paraId="76208EF6" w14:textId="77777777" w:rsidTr="00167F3C"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CB90" w14:textId="77777777" w:rsidR="005F27D8" w:rsidRDefault="005F27D8" w:rsidP="00167F3C">
            <w:pPr>
              <w:spacing w:before="2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Availability, accessibility and equity </w:t>
            </w:r>
          </w:p>
          <w:p w14:paraId="03B5E1BD" w14:textId="77777777" w:rsidR="005F27D8" w:rsidRDefault="005F27D8" w:rsidP="00167F3C">
            <w:pPr>
              <w:spacing w:before="2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</w:p>
          <w:p w14:paraId="67B43EC5" w14:textId="44CE975C" w:rsidR="005F27D8" w:rsidRDefault="005F27D8" w:rsidP="00167F3C">
            <w:pPr>
              <w:spacing w:before="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Reach and coverage </w:t>
            </w:r>
            <w:r>
              <w:t>(urban/ rural; poorer households; remote areas; SUN target groups)</w:t>
            </w:r>
          </w:p>
        </w:tc>
        <w:tc>
          <w:tcPr>
            <w:tcW w:w="123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1669" w14:textId="15931624" w:rsidR="005F27D8" w:rsidRDefault="005F27D8" w:rsidP="00F257D9">
            <w:pPr>
              <w:spacing w:before="20"/>
              <w:jc w:val="center"/>
            </w:pPr>
            <w:r>
              <w:t xml:space="preserve">How to ensure </w:t>
            </w:r>
            <w:r w:rsidRPr="007342F4">
              <w:rPr>
                <w:b/>
              </w:rPr>
              <w:t xml:space="preserve">increased availability of and access </w:t>
            </w:r>
            <w:r w:rsidRPr="007342F4">
              <w:t xml:space="preserve">to </w:t>
            </w:r>
            <w:r>
              <w:t xml:space="preserve">these products? </w:t>
            </w:r>
            <w:r>
              <w:rPr>
                <w:b/>
              </w:rPr>
              <w:t>H</w:t>
            </w:r>
            <w:r w:rsidRPr="007342F4">
              <w:rPr>
                <w:b/>
              </w:rPr>
              <w:t>ow to create demand</w:t>
            </w:r>
            <w:r>
              <w:t xml:space="preserve"> </w:t>
            </w:r>
            <w:r w:rsidRPr="007342F4">
              <w:rPr>
                <w:b/>
              </w:rPr>
              <w:t xml:space="preserve">among those </w:t>
            </w:r>
            <w:r>
              <w:rPr>
                <w:b/>
              </w:rPr>
              <w:t xml:space="preserve">households </w:t>
            </w:r>
            <w:r w:rsidRPr="007342F4">
              <w:rPr>
                <w:b/>
              </w:rPr>
              <w:t>most in need</w:t>
            </w:r>
            <w:r>
              <w:rPr>
                <w:b/>
              </w:rPr>
              <w:t xml:space="preserve"> </w:t>
            </w:r>
            <w:r>
              <w:t xml:space="preserve">to improve the nutritional quality of the diet of the household / household members? What is the optimal mix of </w:t>
            </w:r>
            <w:r w:rsidRPr="007342F4">
              <w:rPr>
                <w:b/>
              </w:rPr>
              <w:t>industry-level and local production approaches</w:t>
            </w:r>
            <w:r>
              <w:t xml:space="preserve">, and </w:t>
            </w:r>
            <w:r w:rsidRPr="007342F4">
              <w:rPr>
                <w:b/>
              </w:rPr>
              <w:t>market-based delivery channels</w:t>
            </w:r>
            <w:r>
              <w:t xml:space="preserve"> and </w:t>
            </w:r>
            <w:r w:rsidRPr="007342F4">
              <w:rPr>
                <w:b/>
              </w:rPr>
              <w:t>options for (targeted) distribution programmes</w:t>
            </w:r>
            <w:r>
              <w:rPr>
                <w:b/>
              </w:rPr>
              <w:t>?</w:t>
            </w:r>
          </w:p>
        </w:tc>
      </w:tr>
      <w:tr w:rsidR="005F27D8" w14:paraId="3C2BAACC" w14:textId="77777777" w:rsidTr="005F27D8"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4EAF" w14:textId="6A160F01" w:rsidR="005F27D8" w:rsidRDefault="005F27D8" w:rsidP="00167F3C">
            <w:pPr>
              <w:spacing w:before="20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87669" w14:textId="3608F844" w:rsidR="005F27D8" w:rsidRDefault="005F27D8" w:rsidP="00167F3C">
            <w:pPr>
              <w:spacing w:before="20" w:after="120"/>
              <w:jc w:val="center"/>
            </w:pPr>
            <w:r>
              <w:t xml:space="preserve">What options exist to </w:t>
            </w:r>
            <w:r w:rsidRPr="00167F3C">
              <w:rPr>
                <w:b/>
              </w:rPr>
              <w:t>collect information on reach and coverage for FCF products</w:t>
            </w:r>
            <w:r>
              <w:t xml:space="preserve">?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92C7" w14:textId="77777777" w:rsidR="005F27D8" w:rsidRDefault="005F27D8" w:rsidP="00167F3C">
            <w:pPr>
              <w:spacing w:before="20"/>
              <w:jc w:val="center"/>
            </w:pPr>
            <w:r>
              <w:t xml:space="preserve">How to </w:t>
            </w:r>
            <w:r w:rsidRPr="00167F3C">
              <w:rPr>
                <w:b/>
              </w:rPr>
              <w:t xml:space="preserve">scale up </w:t>
            </w:r>
            <w:proofErr w:type="spellStart"/>
            <w:r w:rsidRPr="00167F3C">
              <w:rPr>
                <w:b/>
              </w:rPr>
              <w:t>biofortified</w:t>
            </w:r>
            <w:proofErr w:type="spellEnd"/>
            <w:r w:rsidRPr="00167F3C">
              <w:rPr>
                <w:b/>
              </w:rPr>
              <w:t xml:space="preserve"> varieties, both for local consumption and as cash crop</w:t>
            </w:r>
            <w:r>
              <w:t xml:space="preserve"> (value chains)?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C712" w14:textId="733A744C" w:rsidR="005F27D8" w:rsidRDefault="005F27D8" w:rsidP="00167F3C">
            <w:pPr>
              <w:spacing w:before="20" w:after="120"/>
              <w:jc w:val="center"/>
            </w:pPr>
            <w:r>
              <w:t xml:space="preserve">How to identify </w:t>
            </w:r>
            <w:r w:rsidRPr="00167F3C">
              <w:rPr>
                <w:b/>
              </w:rPr>
              <w:t>suitable type of vehicles and target groups</w:t>
            </w:r>
            <w:r>
              <w:t xml:space="preserve"> that can be reached / covered through those vehicles?</w:t>
            </w:r>
          </w:p>
        </w:tc>
      </w:tr>
      <w:tr w:rsidR="005F27D8" w14:paraId="4870BBDF" w14:textId="77777777" w:rsidTr="00167F3C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FEB5" w14:textId="79278C12" w:rsidR="005F27D8" w:rsidRDefault="005F27D8" w:rsidP="00F257D9">
            <w:pPr>
              <w:spacing w:before="20"/>
              <w:rPr>
                <w:b/>
                <w:bCs/>
              </w:rPr>
            </w:pPr>
            <w:r>
              <w:rPr>
                <w:b/>
                <w:bCs/>
              </w:rPr>
              <w:t>Other topics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AD05" w14:textId="53140C9B" w:rsidR="005F27D8" w:rsidRDefault="005F27D8" w:rsidP="00F257D9">
            <w:pPr>
              <w:spacing w:before="20" w:after="120"/>
              <w:jc w:val="center"/>
            </w:pPr>
            <w:r>
              <w:t>…</w:t>
            </w:r>
          </w:p>
          <w:p w14:paraId="4E1D170E" w14:textId="150D8003" w:rsidR="005F27D8" w:rsidRDefault="005F27D8">
            <w:pPr>
              <w:spacing w:before="20" w:after="120"/>
              <w:jc w:val="center"/>
            </w:pPr>
            <w:proofErr w:type="gramStart"/>
            <w:r>
              <w:t>..</w:t>
            </w:r>
            <w:proofErr w:type="gramEnd"/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036D0" w14:textId="77777777" w:rsidR="005F27D8" w:rsidRDefault="005F27D8" w:rsidP="00F257D9">
            <w:pPr>
              <w:spacing w:before="20"/>
              <w:jc w:val="center"/>
            </w:pPr>
            <w:r>
              <w:t>…</w:t>
            </w:r>
          </w:p>
          <w:p w14:paraId="4D0A61DB" w14:textId="58AEAD90" w:rsidR="005F27D8" w:rsidRDefault="005F27D8" w:rsidP="00F257D9">
            <w:pPr>
              <w:spacing w:before="20"/>
              <w:jc w:val="center"/>
            </w:pPr>
            <w:r>
              <w:t>…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74D7" w14:textId="77777777" w:rsidR="005F27D8" w:rsidRDefault="005F27D8" w:rsidP="005F27D8">
            <w:pPr>
              <w:spacing w:before="20" w:after="120"/>
              <w:jc w:val="center"/>
            </w:pPr>
            <w:r>
              <w:t>…</w:t>
            </w:r>
          </w:p>
          <w:p w14:paraId="2258EC5F" w14:textId="47A9AB0E" w:rsidR="005F27D8" w:rsidRDefault="005F27D8" w:rsidP="005F27D8">
            <w:pPr>
              <w:spacing w:before="20" w:after="120"/>
              <w:jc w:val="center"/>
            </w:pPr>
            <w:r>
              <w:t>…</w:t>
            </w:r>
          </w:p>
        </w:tc>
      </w:tr>
    </w:tbl>
    <w:p w14:paraId="2B86CC76" w14:textId="77777777" w:rsidR="00003CB9" w:rsidRPr="007D4558" w:rsidRDefault="00003CB9">
      <w:pPr>
        <w:rPr>
          <w:rFonts w:asciiTheme="minorHAnsi" w:hAnsiTheme="minorHAnsi"/>
          <w:sz w:val="20"/>
          <w:szCs w:val="20"/>
        </w:rPr>
      </w:pPr>
    </w:p>
    <w:sectPr w:rsidR="00003CB9" w:rsidRPr="007D4558" w:rsidSect="00A70F9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50858" w14:textId="77777777" w:rsidR="008D4BCE" w:rsidRDefault="008D4BCE" w:rsidP="00DC0EFF">
      <w:pPr>
        <w:spacing w:after="0" w:line="240" w:lineRule="auto"/>
      </w:pPr>
      <w:r>
        <w:separator/>
      </w:r>
    </w:p>
  </w:endnote>
  <w:endnote w:type="continuationSeparator" w:id="0">
    <w:p w14:paraId="4367E34C" w14:textId="77777777" w:rsidR="008D4BCE" w:rsidRDefault="008D4BCE" w:rsidP="00DC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altName w:val="Titlingmes New Roman P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43C80" w14:textId="77777777" w:rsidR="008D4BCE" w:rsidRDefault="008D4BCE" w:rsidP="00DC0EFF">
      <w:pPr>
        <w:spacing w:after="0" w:line="240" w:lineRule="auto"/>
      </w:pPr>
      <w:r>
        <w:separator/>
      </w:r>
    </w:p>
  </w:footnote>
  <w:footnote w:type="continuationSeparator" w:id="0">
    <w:p w14:paraId="70DA6A23" w14:textId="77777777" w:rsidR="008D4BCE" w:rsidRDefault="008D4BCE" w:rsidP="00DC0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31874"/>
    <w:multiLevelType w:val="hybridMultilevel"/>
    <w:tmpl w:val="89D67DE8"/>
    <w:lvl w:ilvl="0" w:tplc="083C43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onsol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emarie Hoogendoorn">
    <w15:presenceInfo w15:providerId="Windows Live" w15:userId="6bc5ca275f317aee"/>
  </w15:person>
  <w15:person w15:author="Ibrahim Parvanta">
    <w15:presenceInfo w15:providerId="Windows Live" w15:userId="afd82dce2dbebaf4"/>
  </w15:person>
  <w15:person w15:author="Willingham, Peg (HarvestPlus)">
    <w15:presenceInfo w15:providerId="AD" w15:userId="S-1-5-21-1606980848-162531612-839522115-23083"/>
  </w15:person>
  <w15:person w15:author="Birol, Ekin (HarvestPlus)">
    <w15:presenceInfo w15:providerId="AD" w15:userId="S-1-5-21-1606980848-162531612-839522115-230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6A"/>
    <w:rsid w:val="00003CB9"/>
    <w:rsid w:val="000660BE"/>
    <w:rsid w:val="00080236"/>
    <w:rsid w:val="001000CA"/>
    <w:rsid w:val="001560EE"/>
    <w:rsid w:val="00161C88"/>
    <w:rsid w:val="00167F3C"/>
    <w:rsid w:val="00182305"/>
    <w:rsid w:val="001946DF"/>
    <w:rsid w:val="00194AEF"/>
    <w:rsid w:val="001A5922"/>
    <w:rsid w:val="001C27E2"/>
    <w:rsid w:val="001F6544"/>
    <w:rsid w:val="00204A6E"/>
    <w:rsid w:val="00212015"/>
    <w:rsid w:val="00215270"/>
    <w:rsid w:val="0023364C"/>
    <w:rsid w:val="00276A11"/>
    <w:rsid w:val="002B7FB6"/>
    <w:rsid w:val="002E76BF"/>
    <w:rsid w:val="00320434"/>
    <w:rsid w:val="00345208"/>
    <w:rsid w:val="003777C6"/>
    <w:rsid w:val="00396FB2"/>
    <w:rsid w:val="00400290"/>
    <w:rsid w:val="004030A6"/>
    <w:rsid w:val="00441835"/>
    <w:rsid w:val="00494AD7"/>
    <w:rsid w:val="00495D00"/>
    <w:rsid w:val="005126E0"/>
    <w:rsid w:val="005231E9"/>
    <w:rsid w:val="005352E3"/>
    <w:rsid w:val="00537B2A"/>
    <w:rsid w:val="005713F2"/>
    <w:rsid w:val="00577029"/>
    <w:rsid w:val="005779DA"/>
    <w:rsid w:val="00584AC0"/>
    <w:rsid w:val="00586761"/>
    <w:rsid w:val="005A507A"/>
    <w:rsid w:val="005F27D8"/>
    <w:rsid w:val="00603F74"/>
    <w:rsid w:val="00615C11"/>
    <w:rsid w:val="00633AD9"/>
    <w:rsid w:val="0067436A"/>
    <w:rsid w:val="00675122"/>
    <w:rsid w:val="00675707"/>
    <w:rsid w:val="00687DE1"/>
    <w:rsid w:val="006D7A17"/>
    <w:rsid w:val="006E63E6"/>
    <w:rsid w:val="00700609"/>
    <w:rsid w:val="00704F7E"/>
    <w:rsid w:val="00711978"/>
    <w:rsid w:val="00737CF6"/>
    <w:rsid w:val="00751557"/>
    <w:rsid w:val="00770406"/>
    <w:rsid w:val="007876A2"/>
    <w:rsid w:val="007A3EC9"/>
    <w:rsid w:val="007A6469"/>
    <w:rsid w:val="007C253B"/>
    <w:rsid w:val="007D4558"/>
    <w:rsid w:val="007D6726"/>
    <w:rsid w:val="007E63AB"/>
    <w:rsid w:val="007F7424"/>
    <w:rsid w:val="00835037"/>
    <w:rsid w:val="008D4BCE"/>
    <w:rsid w:val="0090148E"/>
    <w:rsid w:val="0092092C"/>
    <w:rsid w:val="009211AE"/>
    <w:rsid w:val="00954E5D"/>
    <w:rsid w:val="00991798"/>
    <w:rsid w:val="009A34D4"/>
    <w:rsid w:val="009B6F6A"/>
    <w:rsid w:val="009F0FC6"/>
    <w:rsid w:val="00A0174D"/>
    <w:rsid w:val="00A033B2"/>
    <w:rsid w:val="00A16C54"/>
    <w:rsid w:val="00A70F97"/>
    <w:rsid w:val="00A81786"/>
    <w:rsid w:val="00A95653"/>
    <w:rsid w:val="00AB6E1A"/>
    <w:rsid w:val="00AE6F8D"/>
    <w:rsid w:val="00AE7BFE"/>
    <w:rsid w:val="00B0423E"/>
    <w:rsid w:val="00B07841"/>
    <w:rsid w:val="00BD275F"/>
    <w:rsid w:val="00C24BDE"/>
    <w:rsid w:val="00C70A0B"/>
    <w:rsid w:val="00C81091"/>
    <w:rsid w:val="00C82688"/>
    <w:rsid w:val="00C82EC0"/>
    <w:rsid w:val="00CA5D7B"/>
    <w:rsid w:val="00CB0189"/>
    <w:rsid w:val="00D215E1"/>
    <w:rsid w:val="00DA044E"/>
    <w:rsid w:val="00DC0EFF"/>
    <w:rsid w:val="00DC1281"/>
    <w:rsid w:val="00DC6A58"/>
    <w:rsid w:val="00DE4BC4"/>
    <w:rsid w:val="00E0674D"/>
    <w:rsid w:val="00E104AA"/>
    <w:rsid w:val="00E908FF"/>
    <w:rsid w:val="00EC1C8F"/>
    <w:rsid w:val="00EF3B70"/>
    <w:rsid w:val="00F04E9F"/>
    <w:rsid w:val="00F257D9"/>
    <w:rsid w:val="00F25EEE"/>
    <w:rsid w:val="00FB3401"/>
    <w:rsid w:val="00FB3EFA"/>
    <w:rsid w:val="00FE3A19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726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6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7436A"/>
    <w:pPr>
      <w:spacing w:after="0" w:line="240" w:lineRule="auto"/>
    </w:pPr>
    <w:rPr>
      <w:szCs w:val="21"/>
      <w:lang w:val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67436A"/>
    <w:rPr>
      <w:rFonts w:ascii="Calibri" w:eastAsia="Calibri" w:hAnsi="Calibri" w:cs="Times New Roman"/>
      <w:szCs w:val="21"/>
      <w:lang w:val="nl-NL"/>
    </w:rPr>
  </w:style>
  <w:style w:type="table" w:styleId="TableGrid">
    <w:name w:val="Table Grid"/>
    <w:basedOn w:val="TableNormal"/>
    <w:uiPriority w:val="39"/>
    <w:rsid w:val="0067436A"/>
    <w:pPr>
      <w:spacing w:after="0" w:line="240" w:lineRule="auto"/>
    </w:pPr>
    <w:rPr>
      <w:rFonts w:ascii="Calibri" w:eastAsia="Calibri" w:hAnsi="Calibri" w:cs="Times New Roman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C0E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0EFF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C0EF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2A"/>
    <w:rPr>
      <w:rFonts w:ascii="Tahoma" w:eastAsia="Calibri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37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B2A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B2A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61C88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A033B2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6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7436A"/>
    <w:pPr>
      <w:spacing w:after="0" w:line="240" w:lineRule="auto"/>
    </w:pPr>
    <w:rPr>
      <w:szCs w:val="21"/>
      <w:lang w:val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67436A"/>
    <w:rPr>
      <w:rFonts w:ascii="Calibri" w:eastAsia="Calibri" w:hAnsi="Calibri" w:cs="Times New Roman"/>
      <w:szCs w:val="21"/>
      <w:lang w:val="nl-NL"/>
    </w:rPr>
  </w:style>
  <w:style w:type="table" w:styleId="TableGrid">
    <w:name w:val="Table Grid"/>
    <w:basedOn w:val="TableNormal"/>
    <w:uiPriority w:val="39"/>
    <w:rsid w:val="0067436A"/>
    <w:pPr>
      <w:spacing w:after="0" w:line="240" w:lineRule="auto"/>
    </w:pPr>
    <w:rPr>
      <w:rFonts w:ascii="Calibri" w:eastAsia="Calibri" w:hAnsi="Calibri" w:cs="Times New Roman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C0E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0EFF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C0EF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2A"/>
    <w:rPr>
      <w:rFonts w:ascii="Tahoma" w:eastAsia="Calibri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37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B2A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B2A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61C88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A033B2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7B26-DE03-9D4C-9B18-46EF2601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Mduduzi Mbuya</dc:creator>
  <cp:lastModifiedBy>Lola Gostelow</cp:lastModifiedBy>
  <cp:revision>2</cp:revision>
  <cp:lastPrinted>2018-02-09T16:01:00Z</cp:lastPrinted>
  <dcterms:created xsi:type="dcterms:W3CDTF">2018-03-15T10:02:00Z</dcterms:created>
  <dcterms:modified xsi:type="dcterms:W3CDTF">2018-03-15T10:02:00Z</dcterms:modified>
</cp:coreProperties>
</file>