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65D" w:rsidRPr="00A857B8" w:rsidRDefault="009B665D" w:rsidP="009B665D">
      <w:pPr>
        <w:autoSpaceDE w:val="0"/>
        <w:autoSpaceDN w:val="0"/>
        <w:adjustRightInd w:val="0"/>
        <w:rPr>
          <w:rFonts w:ascii="Calibri" w:hAnsi="Calibri" w:cs="Arial"/>
          <w:b/>
          <w:color w:val="002060"/>
          <w:sz w:val="16"/>
          <w:szCs w:val="32"/>
        </w:rPr>
      </w:pPr>
      <w:r w:rsidRPr="00DF2D4E">
        <w:rPr>
          <w:noProof/>
          <w:color w:val="76923C"/>
          <w:lang w:eastAsia="en-GB"/>
        </w:rPr>
        <w:drawing>
          <wp:anchor distT="0" distB="0" distL="114300" distR="114300" simplePos="0" relativeHeight="251659264" behindDoc="0" locked="0" layoutInCell="1" allowOverlap="1" wp14:anchorId="76CFB85C" wp14:editId="27977DA8">
            <wp:simplePos x="0" y="0"/>
            <wp:positionH relativeFrom="column">
              <wp:posOffset>5414010</wp:posOffset>
            </wp:positionH>
            <wp:positionV relativeFrom="page">
              <wp:posOffset>289560</wp:posOffset>
            </wp:positionV>
            <wp:extent cx="1156335" cy="862965"/>
            <wp:effectExtent l="0" t="0" r="12065"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 picture for documents.png"/>
                    <pic:cNvPicPr/>
                  </pic:nvPicPr>
                  <pic:blipFill>
                    <a:blip r:embed="rId8">
                      <a:extLst>
                        <a:ext uri="{28A0092B-C50C-407E-A947-70E740481C1C}">
                          <a14:useLocalDpi xmlns:a14="http://schemas.microsoft.com/office/drawing/2010/main" val="0"/>
                        </a:ext>
                      </a:extLst>
                    </a:blip>
                    <a:stretch>
                      <a:fillRect/>
                    </a:stretch>
                  </pic:blipFill>
                  <pic:spPr>
                    <a:xfrm>
                      <a:off x="0" y="0"/>
                      <a:ext cx="1156335" cy="86296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Arial"/>
          <w:b/>
          <w:color w:val="76923C"/>
          <w:sz w:val="32"/>
          <w:szCs w:val="32"/>
        </w:rPr>
        <w:t xml:space="preserve">Seminar: </w:t>
      </w:r>
      <w:r w:rsidRPr="00691C72">
        <w:rPr>
          <w:rFonts w:ascii="Calibri" w:hAnsi="Calibri" w:cs="Arial"/>
          <w:b/>
          <w:color w:val="76923C"/>
          <w:sz w:val="32"/>
          <w:szCs w:val="32"/>
        </w:rPr>
        <w:t xml:space="preserve">The European Commission's Action Plan on Nutrition – Ensuring Quality Implementation </w:t>
      </w:r>
      <w:r w:rsidR="00B24B67">
        <w:rPr>
          <w:rFonts w:ascii="Calibri" w:hAnsi="Calibri" w:cs="Arial"/>
          <w:b/>
          <w:color w:val="002060"/>
          <w:sz w:val="16"/>
          <w:szCs w:val="32"/>
        </w:rPr>
        <w:pict w14:anchorId="43A07221">
          <v:rect id="_x0000_i1025" style="width:466pt;height:.05pt" o:hrpct="967" o:hrstd="t" o:hr="t" fillcolor="#a0a0a0" stroked="f"/>
        </w:pict>
      </w:r>
    </w:p>
    <w:p w:rsidR="00AC5963" w:rsidRDefault="009B665D" w:rsidP="009337BC">
      <w:pPr>
        <w:rPr>
          <w:rFonts w:asciiTheme="majorHAnsi" w:hAnsiTheme="majorHAnsi" w:cs="Times New Roman"/>
          <w:b/>
          <w:color w:val="76923C"/>
          <w:sz w:val="28"/>
          <w:szCs w:val="28"/>
        </w:rPr>
      </w:pPr>
      <w:r w:rsidRPr="009B665D">
        <w:rPr>
          <w:rFonts w:ascii="Calibri" w:hAnsi="Calibri" w:cs="Arial"/>
          <w:b/>
          <w:color w:val="76923C"/>
          <w:sz w:val="28"/>
          <w:szCs w:val="32"/>
        </w:rPr>
        <w:t xml:space="preserve">The Outcome </w:t>
      </w:r>
      <w:r w:rsidRPr="009B665D">
        <w:rPr>
          <w:rFonts w:ascii="Calibri" w:hAnsi="Calibri" w:cs="Arial"/>
          <w:b/>
          <w:color w:val="76923C"/>
          <w:sz w:val="28"/>
          <w:szCs w:val="28"/>
        </w:rPr>
        <w:t xml:space="preserve">Document, </w:t>
      </w:r>
      <w:r w:rsidR="00AC1933" w:rsidRPr="009B665D">
        <w:rPr>
          <w:rFonts w:asciiTheme="majorHAnsi" w:hAnsiTheme="majorHAnsi" w:cs="Times New Roman"/>
          <w:b/>
          <w:color w:val="76923C"/>
          <w:sz w:val="28"/>
          <w:szCs w:val="28"/>
        </w:rPr>
        <w:t>22</w:t>
      </w:r>
      <w:r w:rsidR="000C4555" w:rsidRPr="009B665D">
        <w:rPr>
          <w:rFonts w:asciiTheme="majorHAnsi" w:hAnsiTheme="majorHAnsi" w:cs="Times New Roman"/>
          <w:b/>
          <w:color w:val="76923C"/>
          <w:sz w:val="28"/>
          <w:szCs w:val="28"/>
        </w:rPr>
        <w:t xml:space="preserve"> March 2018</w:t>
      </w:r>
    </w:p>
    <w:p w:rsidR="009337BC" w:rsidRPr="009337BC" w:rsidRDefault="009337BC" w:rsidP="009337BC">
      <w:pPr>
        <w:rPr>
          <w:rFonts w:asciiTheme="majorHAnsi" w:hAnsiTheme="majorHAnsi" w:cs="Times New Roman"/>
          <w:color w:val="000000" w:themeColor="text1"/>
        </w:rPr>
      </w:pPr>
    </w:p>
    <w:p w:rsidR="009B665D" w:rsidRPr="009B665D" w:rsidRDefault="009B665D" w:rsidP="00914275">
      <w:pPr>
        <w:jc w:val="center"/>
        <w:rPr>
          <w:rFonts w:asciiTheme="majorHAnsi" w:hAnsiTheme="majorHAnsi" w:cs="Times New Roman"/>
          <w:b/>
          <w:color w:val="000000" w:themeColor="text1"/>
        </w:rPr>
      </w:pPr>
    </w:p>
    <w:tbl>
      <w:tblPr>
        <w:tblStyle w:val="TableGrid"/>
        <w:tblW w:w="0" w:type="auto"/>
        <w:jc w:val="center"/>
        <w:tblInd w:w="-1014" w:type="dxa"/>
        <w:tblLook w:val="04A0" w:firstRow="1" w:lastRow="0" w:firstColumn="1" w:lastColumn="0" w:noHBand="0" w:noVBand="1"/>
      </w:tblPr>
      <w:tblGrid>
        <w:gridCol w:w="9597"/>
      </w:tblGrid>
      <w:tr w:rsidR="00E936F4" w:rsidRPr="009B665D" w:rsidTr="009337BC">
        <w:trPr>
          <w:trHeight w:val="1915"/>
          <w:jc w:val="center"/>
        </w:trPr>
        <w:tc>
          <w:tcPr>
            <w:tcW w:w="9597" w:type="dxa"/>
          </w:tcPr>
          <w:p w:rsidR="008A2819" w:rsidRPr="009B665D" w:rsidRDefault="008A2819" w:rsidP="00E936F4">
            <w:pPr>
              <w:rPr>
                <w:rFonts w:asciiTheme="majorHAnsi" w:hAnsiTheme="majorHAnsi" w:cs="Times New Roman"/>
                <w:color w:val="000000" w:themeColor="text1"/>
              </w:rPr>
            </w:pPr>
          </w:p>
          <w:p w:rsidR="00E936F4" w:rsidRPr="009337BC" w:rsidRDefault="005B296B" w:rsidP="005B296B">
            <w:pPr>
              <w:ind w:right="220"/>
              <w:jc w:val="center"/>
              <w:rPr>
                <w:rFonts w:asciiTheme="majorHAnsi" w:hAnsiTheme="majorHAnsi" w:cs="Times New Roman"/>
                <w:i/>
                <w:color w:val="000000" w:themeColor="text1"/>
                <w:sz w:val="26"/>
                <w:szCs w:val="26"/>
              </w:rPr>
            </w:pPr>
            <w:r w:rsidRPr="009337BC">
              <w:rPr>
                <w:rFonts w:asciiTheme="majorHAnsi" w:hAnsiTheme="majorHAnsi" w:cs="Times New Roman"/>
                <w:i/>
                <w:color w:val="000000" w:themeColor="text1"/>
                <w:sz w:val="26"/>
                <w:szCs w:val="26"/>
              </w:rPr>
              <w:t xml:space="preserve">The European Commission needs to broaden the focus of its nutrition priorities beyond stunting and wasting, to consider all forms of malnutrition. The human and economic consequences of not doing so are severe: health and longevity are undermined; and the earning potential of individuals is diminished. </w:t>
            </w:r>
            <w:r w:rsidR="00E53F45" w:rsidRPr="009337BC">
              <w:rPr>
                <w:rFonts w:asciiTheme="majorHAnsi" w:hAnsiTheme="majorHAnsi" w:cs="Times New Roman"/>
                <w:i/>
                <w:color w:val="000000" w:themeColor="text1"/>
                <w:sz w:val="26"/>
                <w:szCs w:val="26"/>
              </w:rPr>
              <w:t>Globally, m</w:t>
            </w:r>
            <w:r w:rsidRPr="009337BC">
              <w:rPr>
                <w:rFonts w:asciiTheme="majorHAnsi" w:hAnsiTheme="majorHAnsi" w:cs="Times New Roman"/>
                <w:i/>
                <w:color w:val="000000" w:themeColor="text1"/>
                <w:sz w:val="26"/>
                <w:szCs w:val="26"/>
              </w:rPr>
              <w:t>alnutrition</w:t>
            </w:r>
            <w:r w:rsidR="00E53F45" w:rsidRPr="009337BC">
              <w:rPr>
                <w:rFonts w:asciiTheme="majorHAnsi" w:hAnsiTheme="majorHAnsi" w:cs="Times New Roman"/>
                <w:i/>
                <w:color w:val="000000" w:themeColor="text1"/>
                <w:sz w:val="26"/>
                <w:szCs w:val="26"/>
              </w:rPr>
              <w:t xml:space="preserve"> in all its forms</w:t>
            </w:r>
            <w:r w:rsidRPr="009337BC">
              <w:rPr>
                <w:rFonts w:asciiTheme="majorHAnsi" w:hAnsiTheme="majorHAnsi" w:cs="Times New Roman"/>
                <w:i/>
                <w:color w:val="000000" w:themeColor="text1"/>
                <w:sz w:val="26"/>
                <w:szCs w:val="26"/>
              </w:rPr>
              <w:t xml:space="preserve"> costs nations an average of US $500 per citizen per year (or US$3.5 trillion).</w:t>
            </w:r>
          </w:p>
          <w:p w:rsidR="008A2819" w:rsidRPr="009B665D" w:rsidRDefault="008A2819" w:rsidP="00E936F4">
            <w:pPr>
              <w:rPr>
                <w:rFonts w:asciiTheme="majorHAnsi" w:hAnsiTheme="majorHAnsi" w:cs="Times New Roman"/>
                <w:color w:val="000000" w:themeColor="text1"/>
              </w:rPr>
            </w:pPr>
          </w:p>
        </w:tc>
      </w:tr>
    </w:tbl>
    <w:p w:rsidR="00E53F45" w:rsidRDefault="00E53F45" w:rsidP="008A2819">
      <w:pPr>
        <w:rPr>
          <w:rFonts w:asciiTheme="majorHAnsi" w:hAnsiTheme="majorHAnsi" w:cs="Times New Roman"/>
          <w:b/>
          <w:color w:val="000000" w:themeColor="text1"/>
        </w:rPr>
      </w:pPr>
    </w:p>
    <w:p w:rsidR="009337BC" w:rsidRPr="009B665D" w:rsidRDefault="009337BC" w:rsidP="008A2819">
      <w:pPr>
        <w:rPr>
          <w:rFonts w:asciiTheme="majorHAnsi" w:hAnsiTheme="majorHAnsi" w:cs="Times New Roman"/>
          <w:b/>
          <w:color w:val="000000" w:themeColor="text1"/>
        </w:rPr>
      </w:pPr>
    </w:p>
    <w:p w:rsidR="00E936F4" w:rsidRPr="009B665D" w:rsidRDefault="008A2819" w:rsidP="008A2819">
      <w:pPr>
        <w:rPr>
          <w:rFonts w:asciiTheme="majorHAnsi" w:hAnsiTheme="majorHAnsi" w:cs="Times New Roman"/>
          <w:b/>
          <w:color w:val="000000" w:themeColor="text1"/>
        </w:rPr>
      </w:pPr>
      <w:r w:rsidRPr="009B665D">
        <w:rPr>
          <w:rFonts w:asciiTheme="majorHAnsi" w:hAnsiTheme="majorHAnsi" w:cs="Times New Roman"/>
          <w:b/>
          <w:color w:val="000000" w:themeColor="text1"/>
        </w:rPr>
        <w:t>Introduction</w:t>
      </w:r>
    </w:p>
    <w:p w:rsidR="008A2819" w:rsidRPr="009B665D" w:rsidRDefault="008A2819" w:rsidP="00AC1933">
      <w:pPr>
        <w:rPr>
          <w:rFonts w:asciiTheme="majorHAnsi" w:hAnsiTheme="majorHAnsi" w:cs="Times New Roman"/>
          <w:color w:val="000000" w:themeColor="text1"/>
        </w:rPr>
      </w:pPr>
    </w:p>
    <w:p w:rsidR="009B665D" w:rsidRDefault="00AC1933" w:rsidP="00DB763C">
      <w:p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The EU Nutrition Seminar took place in Brussels 19-21 March 2018. It </w:t>
      </w:r>
      <w:r w:rsidR="005B296B" w:rsidRPr="009B665D">
        <w:rPr>
          <w:rFonts w:asciiTheme="majorHAnsi" w:hAnsiTheme="majorHAnsi" w:cs="Times New Roman"/>
          <w:color w:val="000000" w:themeColor="text1"/>
        </w:rPr>
        <w:t>provided a forum for the exchange and mutual learning across</w:t>
      </w:r>
      <w:r w:rsidRPr="009B665D">
        <w:rPr>
          <w:rFonts w:asciiTheme="majorHAnsi" w:hAnsiTheme="majorHAnsi" w:cs="Times New Roman"/>
          <w:color w:val="000000" w:themeColor="text1"/>
        </w:rPr>
        <w:t xml:space="preserve"> 39 countries from Africa, </w:t>
      </w:r>
      <w:r w:rsidR="005B296B" w:rsidRPr="009B665D">
        <w:rPr>
          <w:rFonts w:asciiTheme="majorHAnsi" w:hAnsiTheme="majorHAnsi" w:cs="Times New Roman"/>
          <w:color w:val="000000" w:themeColor="text1"/>
        </w:rPr>
        <w:t xml:space="preserve">Asia, Central and South America, </w:t>
      </w:r>
      <w:r w:rsidRPr="009B665D">
        <w:rPr>
          <w:rFonts w:asciiTheme="majorHAnsi" w:hAnsiTheme="majorHAnsi" w:cs="Times New Roman"/>
          <w:color w:val="000000" w:themeColor="text1"/>
        </w:rPr>
        <w:t>including 35 of the 42 EU nutrition focal countries. Al</w:t>
      </w:r>
      <w:r w:rsidR="005B296B" w:rsidRPr="009B665D">
        <w:rPr>
          <w:rFonts w:asciiTheme="majorHAnsi" w:hAnsiTheme="majorHAnsi" w:cs="Times New Roman"/>
          <w:color w:val="000000" w:themeColor="text1"/>
        </w:rPr>
        <w:t xml:space="preserve">ongside EU Delegation staff </w:t>
      </w:r>
      <w:r w:rsidRPr="009B665D">
        <w:rPr>
          <w:rFonts w:asciiTheme="majorHAnsi" w:hAnsiTheme="majorHAnsi" w:cs="Times New Roman"/>
          <w:color w:val="000000" w:themeColor="text1"/>
        </w:rPr>
        <w:t>were Scaling Up Nutriti</w:t>
      </w:r>
      <w:r w:rsidR="005B296B" w:rsidRPr="009B665D">
        <w:rPr>
          <w:rFonts w:asciiTheme="majorHAnsi" w:hAnsiTheme="majorHAnsi" w:cs="Times New Roman"/>
          <w:color w:val="000000" w:themeColor="text1"/>
        </w:rPr>
        <w:t>on (SUN) Focal Points from 16</w:t>
      </w:r>
      <w:r w:rsidRPr="009B665D">
        <w:rPr>
          <w:rFonts w:asciiTheme="majorHAnsi" w:hAnsiTheme="majorHAnsi" w:cs="Times New Roman"/>
          <w:color w:val="000000" w:themeColor="text1"/>
        </w:rPr>
        <w:t xml:space="preserve"> countries</w:t>
      </w:r>
      <w:r w:rsidR="005B296B" w:rsidRPr="009B665D">
        <w:rPr>
          <w:rFonts w:asciiTheme="majorHAnsi" w:hAnsiTheme="majorHAnsi" w:cs="Times New Roman"/>
          <w:color w:val="000000" w:themeColor="text1"/>
        </w:rPr>
        <w:t>; EU Member States</w:t>
      </w:r>
      <w:r w:rsidR="009337BC">
        <w:rPr>
          <w:rFonts w:asciiTheme="majorHAnsi" w:hAnsiTheme="majorHAnsi" w:cs="Times New Roman"/>
          <w:color w:val="000000" w:themeColor="text1"/>
        </w:rPr>
        <w:t>;</w:t>
      </w:r>
      <w:r w:rsidR="005B296B" w:rsidRPr="009B665D">
        <w:rPr>
          <w:rFonts w:asciiTheme="majorHAnsi" w:hAnsiTheme="majorHAnsi" w:cs="Times New Roman"/>
          <w:color w:val="000000" w:themeColor="text1"/>
        </w:rPr>
        <w:t xml:space="preserve"> and technical experts from partner institutions</w:t>
      </w:r>
      <w:r w:rsidRPr="009B665D">
        <w:rPr>
          <w:rFonts w:asciiTheme="majorHAnsi" w:hAnsiTheme="majorHAnsi" w:cs="Times New Roman"/>
          <w:color w:val="000000" w:themeColor="text1"/>
        </w:rPr>
        <w:t xml:space="preserve">. The seminar was opened by </w:t>
      </w:r>
      <w:r w:rsidR="009337BC">
        <w:rPr>
          <w:rFonts w:asciiTheme="majorHAnsi" w:hAnsiTheme="majorHAnsi" w:cs="Times New Roman"/>
          <w:color w:val="000000" w:themeColor="text1"/>
        </w:rPr>
        <w:t xml:space="preserve">Mr N. </w:t>
      </w:r>
      <w:r w:rsidR="00692069">
        <w:rPr>
          <w:rFonts w:asciiTheme="majorHAnsi" w:hAnsiTheme="majorHAnsi" w:cs="Times New Roman"/>
          <w:color w:val="000000" w:themeColor="text1"/>
        </w:rPr>
        <w:t>Mimica</w:t>
      </w:r>
      <w:r w:rsidR="009337BC">
        <w:rPr>
          <w:rFonts w:asciiTheme="majorHAnsi" w:hAnsiTheme="majorHAnsi" w:cs="Times New Roman"/>
          <w:color w:val="000000" w:themeColor="text1"/>
        </w:rPr>
        <w:t>,</w:t>
      </w:r>
      <w:r w:rsidR="00692069">
        <w:rPr>
          <w:rFonts w:asciiTheme="majorHAnsi" w:hAnsiTheme="majorHAnsi" w:cs="Times New Roman"/>
          <w:color w:val="000000" w:themeColor="text1"/>
        </w:rPr>
        <w:t xml:space="preserve"> </w:t>
      </w:r>
      <w:r w:rsidRPr="009B665D">
        <w:rPr>
          <w:rFonts w:asciiTheme="majorHAnsi" w:hAnsiTheme="majorHAnsi" w:cs="Times New Roman"/>
          <w:color w:val="000000" w:themeColor="text1"/>
        </w:rPr>
        <w:t>EU Commissioner for Development</w:t>
      </w:r>
      <w:r w:rsidR="005B296B" w:rsidRPr="009B665D">
        <w:rPr>
          <w:rFonts w:asciiTheme="majorHAnsi" w:hAnsiTheme="majorHAnsi" w:cs="Times New Roman"/>
          <w:color w:val="000000" w:themeColor="text1"/>
        </w:rPr>
        <w:t>,</w:t>
      </w:r>
      <w:r w:rsidRPr="009B665D">
        <w:rPr>
          <w:rFonts w:asciiTheme="majorHAnsi" w:hAnsiTheme="majorHAnsi" w:cs="Times New Roman"/>
          <w:color w:val="000000" w:themeColor="text1"/>
        </w:rPr>
        <w:t xml:space="preserve"> </w:t>
      </w:r>
      <w:r w:rsidR="009337BC">
        <w:rPr>
          <w:rFonts w:asciiTheme="majorHAnsi" w:hAnsiTheme="majorHAnsi" w:cs="Times New Roman"/>
          <w:color w:val="000000" w:themeColor="text1"/>
        </w:rPr>
        <w:t xml:space="preserve">and </w:t>
      </w:r>
      <w:r w:rsidRPr="009B665D">
        <w:rPr>
          <w:rFonts w:asciiTheme="majorHAnsi" w:hAnsiTheme="majorHAnsi" w:cs="Times New Roman"/>
          <w:color w:val="000000" w:themeColor="text1"/>
        </w:rPr>
        <w:t>a member of the SUN Lead Group</w:t>
      </w:r>
      <w:r w:rsidR="009337BC">
        <w:rPr>
          <w:rFonts w:asciiTheme="majorHAnsi" w:hAnsiTheme="majorHAnsi" w:cs="Times New Roman"/>
          <w:color w:val="000000" w:themeColor="text1"/>
        </w:rPr>
        <w:t xml:space="preserve">. The closing comments were provided by Mr L. </w:t>
      </w:r>
      <w:proofErr w:type="spellStart"/>
      <w:r w:rsidR="009337BC">
        <w:rPr>
          <w:rFonts w:asciiTheme="majorHAnsi" w:hAnsiTheme="majorHAnsi" w:cs="Times New Roman"/>
          <w:color w:val="000000" w:themeColor="text1"/>
        </w:rPr>
        <w:t>Mizzi</w:t>
      </w:r>
      <w:proofErr w:type="spellEnd"/>
      <w:r w:rsidR="009337BC">
        <w:rPr>
          <w:rFonts w:asciiTheme="majorHAnsi" w:hAnsiTheme="majorHAnsi" w:cs="Times New Roman"/>
          <w:color w:val="000000" w:themeColor="text1"/>
        </w:rPr>
        <w:t xml:space="preserve">, </w:t>
      </w:r>
      <w:r w:rsidR="006D7D5E">
        <w:rPr>
          <w:rFonts w:asciiTheme="majorHAnsi" w:hAnsiTheme="majorHAnsi" w:cs="Times New Roman"/>
          <w:color w:val="000000" w:themeColor="text1"/>
        </w:rPr>
        <w:t>Acting</w:t>
      </w:r>
      <w:r w:rsidR="00692069">
        <w:rPr>
          <w:rFonts w:asciiTheme="majorHAnsi" w:hAnsiTheme="majorHAnsi" w:cs="Times New Roman"/>
          <w:color w:val="000000" w:themeColor="text1"/>
        </w:rPr>
        <w:t xml:space="preserve"> Director </w:t>
      </w:r>
      <w:r w:rsidR="006D7D5E">
        <w:rPr>
          <w:rFonts w:asciiTheme="majorHAnsi" w:hAnsiTheme="majorHAnsi" w:cs="Times New Roman"/>
          <w:color w:val="000000" w:themeColor="text1"/>
        </w:rPr>
        <w:t xml:space="preserve">Planet &amp; </w:t>
      </w:r>
      <w:r w:rsidR="009337BC">
        <w:rPr>
          <w:rFonts w:asciiTheme="majorHAnsi" w:hAnsiTheme="majorHAnsi" w:cs="Times New Roman"/>
          <w:color w:val="000000" w:themeColor="text1"/>
        </w:rPr>
        <w:t>P</w:t>
      </w:r>
      <w:r w:rsidR="00E53F45">
        <w:rPr>
          <w:rFonts w:asciiTheme="majorHAnsi" w:hAnsiTheme="majorHAnsi" w:cs="Times New Roman"/>
          <w:color w:val="000000" w:themeColor="text1"/>
        </w:rPr>
        <w:t>rosperity</w:t>
      </w:r>
      <w:r w:rsidR="009337BC">
        <w:rPr>
          <w:rFonts w:asciiTheme="majorHAnsi" w:hAnsiTheme="majorHAnsi" w:cs="Times New Roman"/>
          <w:color w:val="000000" w:themeColor="text1"/>
        </w:rPr>
        <w:t xml:space="preserve">, and </w:t>
      </w:r>
      <w:r w:rsidR="00692069">
        <w:rPr>
          <w:rFonts w:asciiTheme="majorHAnsi" w:hAnsiTheme="majorHAnsi" w:cs="Times New Roman"/>
          <w:color w:val="000000" w:themeColor="text1"/>
        </w:rPr>
        <w:t>a member of the SUN</w:t>
      </w:r>
      <w:r w:rsidR="006D7D5E">
        <w:rPr>
          <w:rFonts w:asciiTheme="majorHAnsi" w:hAnsiTheme="majorHAnsi" w:cs="Times New Roman"/>
          <w:color w:val="000000" w:themeColor="text1"/>
        </w:rPr>
        <w:t xml:space="preserve"> Senior Official Gro</w:t>
      </w:r>
      <w:bookmarkStart w:id="0" w:name="_GoBack"/>
      <w:bookmarkEnd w:id="0"/>
      <w:r w:rsidR="006D7D5E">
        <w:rPr>
          <w:rFonts w:asciiTheme="majorHAnsi" w:hAnsiTheme="majorHAnsi" w:cs="Times New Roman"/>
          <w:color w:val="000000" w:themeColor="text1"/>
        </w:rPr>
        <w:t>up</w:t>
      </w:r>
      <w:r w:rsidRPr="009B665D">
        <w:rPr>
          <w:rFonts w:asciiTheme="majorHAnsi" w:hAnsiTheme="majorHAnsi" w:cs="Times New Roman"/>
          <w:color w:val="000000" w:themeColor="text1"/>
        </w:rPr>
        <w:t>.</w:t>
      </w:r>
      <w:r w:rsidR="008A2819" w:rsidRPr="009B665D">
        <w:rPr>
          <w:rFonts w:asciiTheme="majorHAnsi" w:hAnsiTheme="majorHAnsi" w:cs="Times New Roman"/>
          <w:color w:val="000000" w:themeColor="text1"/>
        </w:rPr>
        <w:t xml:space="preserve"> Th</w:t>
      </w:r>
      <w:r w:rsidR="005B296B" w:rsidRPr="009B665D">
        <w:rPr>
          <w:rFonts w:asciiTheme="majorHAnsi" w:hAnsiTheme="majorHAnsi" w:cs="Times New Roman"/>
          <w:color w:val="000000" w:themeColor="text1"/>
        </w:rPr>
        <w:t xml:space="preserve">is Outcome Document highlights the </w:t>
      </w:r>
      <w:r w:rsidR="008A2819" w:rsidRPr="009B665D">
        <w:rPr>
          <w:rFonts w:asciiTheme="majorHAnsi" w:hAnsiTheme="majorHAnsi" w:cs="Times New Roman"/>
          <w:color w:val="000000" w:themeColor="text1"/>
        </w:rPr>
        <w:t>principal</w:t>
      </w:r>
      <w:r w:rsidR="005B296B" w:rsidRPr="009B665D">
        <w:rPr>
          <w:rFonts w:asciiTheme="majorHAnsi" w:hAnsiTheme="majorHAnsi" w:cs="Times New Roman"/>
          <w:color w:val="000000" w:themeColor="text1"/>
        </w:rPr>
        <w:t xml:space="preserve"> messages that emerged; a full report of the discussions will be available in April. </w:t>
      </w:r>
    </w:p>
    <w:p w:rsidR="009B665D" w:rsidRPr="009B665D" w:rsidRDefault="009B665D" w:rsidP="00DB763C">
      <w:pPr>
        <w:jc w:val="both"/>
        <w:rPr>
          <w:rFonts w:asciiTheme="majorHAnsi" w:hAnsiTheme="majorHAnsi" w:cs="Times New Roman"/>
          <w:color w:val="000000" w:themeColor="text1"/>
          <w:sz w:val="22"/>
          <w:szCs w:val="22"/>
        </w:rPr>
      </w:pPr>
    </w:p>
    <w:p w:rsidR="00325C8D" w:rsidRPr="009B665D" w:rsidRDefault="00442A03" w:rsidP="00DB763C">
      <w:pPr>
        <w:jc w:val="both"/>
        <w:rPr>
          <w:rFonts w:asciiTheme="majorHAnsi" w:hAnsiTheme="majorHAnsi" w:cs="Times New Roman"/>
          <w:b/>
          <w:color w:val="000000" w:themeColor="text1"/>
        </w:rPr>
      </w:pPr>
      <w:r w:rsidRPr="009B665D">
        <w:rPr>
          <w:rFonts w:asciiTheme="majorHAnsi" w:hAnsiTheme="majorHAnsi" w:cs="Times New Roman"/>
          <w:b/>
          <w:color w:val="000000" w:themeColor="text1"/>
        </w:rPr>
        <w:t>1.</w:t>
      </w:r>
      <w:r w:rsidRPr="009B665D">
        <w:rPr>
          <w:rFonts w:asciiTheme="majorHAnsi" w:hAnsiTheme="majorHAnsi" w:cs="Times New Roman"/>
          <w:b/>
          <w:color w:val="000000" w:themeColor="text1"/>
        </w:rPr>
        <w:tab/>
      </w:r>
      <w:r w:rsidR="00336FF8" w:rsidRPr="009B665D">
        <w:rPr>
          <w:rFonts w:asciiTheme="majorHAnsi" w:hAnsiTheme="majorHAnsi" w:cs="Times New Roman"/>
          <w:b/>
          <w:color w:val="000000" w:themeColor="text1"/>
        </w:rPr>
        <w:t>Considering</w:t>
      </w:r>
      <w:r w:rsidR="00C01F76" w:rsidRPr="009B665D">
        <w:rPr>
          <w:rFonts w:asciiTheme="majorHAnsi" w:hAnsiTheme="majorHAnsi" w:cs="Times New Roman"/>
          <w:b/>
          <w:color w:val="000000" w:themeColor="text1"/>
        </w:rPr>
        <w:t xml:space="preserve"> </w:t>
      </w:r>
      <w:r w:rsidR="00B90376" w:rsidRPr="009B665D">
        <w:rPr>
          <w:rFonts w:asciiTheme="majorHAnsi" w:hAnsiTheme="majorHAnsi" w:cs="Times New Roman"/>
          <w:b/>
          <w:color w:val="000000" w:themeColor="text1"/>
        </w:rPr>
        <w:t>all forms of malnutrition</w:t>
      </w:r>
    </w:p>
    <w:p w:rsidR="00D14385" w:rsidRPr="009B665D" w:rsidRDefault="00D14385" w:rsidP="00DB763C">
      <w:pPr>
        <w:jc w:val="both"/>
        <w:rPr>
          <w:rFonts w:asciiTheme="majorHAnsi" w:hAnsiTheme="majorHAnsi" w:cs="Times New Roman"/>
          <w:color w:val="000000" w:themeColor="text1"/>
        </w:rPr>
      </w:pPr>
    </w:p>
    <w:p w:rsidR="00800EB4" w:rsidRPr="00E53F45" w:rsidRDefault="00800EB4" w:rsidP="00DB763C">
      <w:pPr>
        <w:pStyle w:val="ListParagraph"/>
        <w:numPr>
          <w:ilvl w:val="0"/>
          <w:numId w:val="11"/>
        </w:numPr>
        <w:jc w:val="both"/>
        <w:rPr>
          <w:rFonts w:asciiTheme="majorHAnsi" w:hAnsiTheme="majorHAnsi" w:cs="Times New Roman"/>
          <w:color w:val="000000" w:themeColor="text1"/>
        </w:rPr>
      </w:pPr>
      <w:r w:rsidRPr="00E53F45">
        <w:rPr>
          <w:rFonts w:asciiTheme="majorHAnsi" w:hAnsiTheme="majorHAnsi" w:cs="Times New Roman"/>
          <w:color w:val="000000" w:themeColor="text1"/>
        </w:rPr>
        <w:t>The importance and advantages of tackling all forms of malnutrition are very clear</w:t>
      </w:r>
    </w:p>
    <w:p w:rsidR="00336FF8" w:rsidRPr="00E53F45" w:rsidRDefault="00800EB4" w:rsidP="00DB763C">
      <w:pPr>
        <w:pStyle w:val="ListParagraph"/>
        <w:numPr>
          <w:ilvl w:val="0"/>
          <w:numId w:val="11"/>
        </w:numPr>
        <w:jc w:val="both"/>
        <w:rPr>
          <w:rFonts w:asciiTheme="majorHAnsi" w:hAnsiTheme="majorHAnsi" w:cs="Times New Roman"/>
          <w:color w:val="000000" w:themeColor="text1"/>
        </w:rPr>
      </w:pPr>
      <w:r w:rsidRPr="00E53F45">
        <w:rPr>
          <w:rFonts w:asciiTheme="majorHAnsi" w:hAnsiTheme="majorHAnsi" w:cs="Times New Roman"/>
          <w:color w:val="000000" w:themeColor="text1"/>
        </w:rPr>
        <w:t>There is a need to better understand the practical implications of this: what needs to be done and how</w:t>
      </w:r>
      <w:r w:rsidR="00E936F4" w:rsidRPr="00E53F45">
        <w:rPr>
          <w:rFonts w:asciiTheme="majorHAnsi" w:hAnsiTheme="majorHAnsi" w:cs="Times New Roman"/>
          <w:color w:val="000000" w:themeColor="text1"/>
        </w:rPr>
        <w:t>,</w:t>
      </w:r>
      <w:r w:rsidRPr="00E53F45">
        <w:rPr>
          <w:rFonts w:asciiTheme="majorHAnsi" w:hAnsiTheme="majorHAnsi" w:cs="Times New Roman"/>
          <w:color w:val="000000" w:themeColor="text1"/>
        </w:rPr>
        <w:t xml:space="preserve"> so as to ensure quality implementation</w:t>
      </w:r>
    </w:p>
    <w:p w:rsidR="008A7869" w:rsidRPr="00E53F45" w:rsidRDefault="00336FF8" w:rsidP="00DB763C">
      <w:pPr>
        <w:pStyle w:val="ListParagraph"/>
        <w:numPr>
          <w:ilvl w:val="0"/>
          <w:numId w:val="11"/>
        </w:numPr>
        <w:jc w:val="both"/>
        <w:rPr>
          <w:rFonts w:asciiTheme="majorHAnsi" w:hAnsiTheme="majorHAnsi" w:cs="Times New Roman"/>
          <w:color w:val="000000" w:themeColor="text1"/>
        </w:rPr>
      </w:pPr>
      <w:r w:rsidRPr="00E53F45">
        <w:rPr>
          <w:rFonts w:asciiTheme="majorHAnsi" w:hAnsiTheme="majorHAnsi" w:cs="Times New Roman"/>
          <w:color w:val="000000" w:themeColor="text1"/>
        </w:rPr>
        <w:t>Besides stunting and wasting there is</w:t>
      </w:r>
      <w:r w:rsidR="005D2D60" w:rsidRPr="00E53F45">
        <w:rPr>
          <w:rFonts w:asciiTheme="majorHAnsi" w:hAnsiTheme="majorHAnsi" w:cs="Times New Roman"/>
          <w:color w:val="000000" w:themeColor="text1"/>
        </w:rPr>
        <w:t xml:space="preserve"> a call </w:t>
      </w:r>
      <w:r w:rsidRPr="00E53F45">
        <w:rPr>
          <w:rFonts w:asciiTheme="majorHAnsi" w:hAnsiTheme="majorHAnsi" w:cs="Times New Roman"/>
          <w:color w:val="000000" w:themeColor="text1"/>
        </w:rPr>
        <w:t xml:space="preserve">to play greater attention to low-birth weight and anaemia </w:t>
      </w:r>
      <w:r w:rsidR="005D2D60" w:rsidRPr="00E53F45">
        <w:rPr>
          <w:rFonts w:asciiTheme="majorHAnsi" w:hAnsiTheme="majorHAnsi" w:cs="Times New Roman"/>
          <w:color w:val="000000" w:themeColor="text1"/>
        </w:rPr>
        <w:t>where there is little progress</w:t>
      </w:r>
      <w:r w:rsidRPr="00E53F45">
        <w:rPr>
          <w:rFonts w:asciiTheme="majorHAnsi" w:hAnsiTheme="majorHAnsi" w:cs="Times New Roman"/>
          <w:color w:val="000000" w:themeColor="text1"/>
        </w:rPr>
        <w:t xml:space="preserve"> towards achieving the World Health Assembly (WHA) targets; exclusive breastfeeding</w:t>
      </w:r>
      <w:r w:rsidR="005D2D60" w:rsidRPr="00E53F45">
        <w:rPr>
          <w:rFonts w:asciiTheme="majorHAnsi" w:hAnsiTheme="majorHAnsi" w:cs="Times New Roman"/>
          <w:color w:val="000000" w:themeColor="text1"/>
        </w:rPr>
        <w:t xml:space="preserve">, complementary feeding and </w:t>
      </w:r>
      <w:r w:rsidRPr="00E53F45">
        <w:rPr>
          <w:rFonts w:asciiTheme="majorHAnsi" w:hAnsiTheme="majorHAnsi" w:cs="Times New Roman"/>
          <w:color w:val="000000" w:themeColor="text1"/>
        </w:rPr>
        <w:t xml:space="preserve">individual </w:t>
      </w:r>
      <w:r w:rsidR="005D2D60" w:rsidRPr="00E53F45">
        <w:rPr>
          <w:rFonts w:asciiTheme="majorHAnsi" w:hAnsiTheme="majorHAnsi" w:cs="Times New Roman"/>
          <w:color w:val="000000" w:themeColor="text1"/>
        </w:rPr>
        <w:t>dietary quality because of its significan</w:t>
      </w:r>
      <w:r w:rsidRPr="00E53F45">
        <w:rPr>
          <w:rFonts w:asciiTheme="majorHAnsi" w:hAnsiTheme="majorHAnsi" w:cs="Times New Roman"/>
          <w:color w:val="000000" w:themeColor="text1"/>
        </w:rPr>
        <w:t>ce to all forms of malnutrition; and greater attention</w:t>
      </w:r>
      <w:r w:rsidR="005D2D60" w:rsidRPr="00E53F45">
        <w:rPr>
          <w:rFonts w:asciiTheme="majorHAnsi" w:hAnsiTheme="majorHAnsi" w:cs="Times New Roman"/>
          <w:color w:val="000000" w:themeColor="text1"/>
        </w:rPr>
        <w:t xml:space="preserve"> to overweigh</w:t>
      </w:r>
      <w:r w:rsidRPr="00E53F45">
        <w:rPr>
          <w:rFonts w:asciiTheme="majorHAnsi" w:hAnsiTheme="majorHAnsi" w:cs="Times New Roman"/>
          <w:color w:val="000000" w:themeColor="text1"/>
        </w:rPr>
        <w:t xml:space="preserve">t and </w:t>
      </w:r>
      <w:r w:rsidR="005D2D60" w:rsidRPr="00E53F45">
        <w:rPr>
          <w:rFonts w:asciiTheme="majorHAnsi" w:hAnsiTheme="majorHAnsi" w:cs="Times New Roman"/>
          <w:color w:val="000000" w:themeColor="text1"/>
        </w:rPr>
        <w:t>obesity</w:t>
      </w:r>
      <w:r w:rsidR="00BE5A74" w:rsidRPr="00E53F45">
        <w:rPr>
          <w:rFonts w:asciiTheme="majorHAnsi" w:hAnsiTheme="majorHAnsi" w:cs="Times New Roman"/>
          <w:color w:val="000000" w:themeColor="text1"/>
        </w:rPr>
        <w:t xml:space="preserve"> which contribute significantly to the rise in non-communicable diseases (NCDs)</w:t>
      </w:r>
    </w:p>
    <w:p w:rsidR="006B3ACC" w:rsidRDefault="006B3ACC" w:rsidP="00DB763C">
      <w:pPr>
        <w:pStyle w:val="ListParagraph"/>
        <w:numPr>
          <w:ilvl w:val="0"/>
          <w:numId w:val="11"/>
        </w:numPr>
        <w:jc w:val="both"/>
        <w:rPr>
          <w:rFonts w:asciiTheme="majorHAnsi" w:hAnsiTheme="majorHAnsi" w:cs="Times New Roman"/>
          <w:color w:val="000000" w:themeColor="text1"/>
        </w:rPr>
      </w:pPr>
      <w:r w:rsidRPr="00E53F45">
        <w:rPr>
          <w:rFonts w:asciiTheme="majorHAnsi" w:hAnsiTheme="majorHAnsi" w:cs="Times New Roman"/>
          <w:color w:val="000000" w:themeColor="text1"/>
        </w:rPr>
        <w:t>The current Nutrition Policy and Action plans focus on wasting and stunting. A move towards tac</w:t>
      </w:r>
      <w:r w:rsidR="00E936F4" w:rsidRPr="00E53F45">
        <w:rPr>
          <w:rFonts w:asciiTheme="majorHAnsi" w:hAnsiTheme="majorHAnsi" w:cs="Times New Roman"/>
          <w:color w:val="000000" w:themeColor="text1"/>
        </w:rPr>
        <w:t xml:space="preserve">kling all forms of malnutrition, increasing attention to the role of food systems </w:t>
      </w:r>
      <w:r w:rsidR="001A343A" w:rsidRPr="00E53F45">
        <w:rPr>
          <w:rFonts w:asciiTheme="majorHAnsi" w:hAnsiTheme="majorHAnsi" w:cs="Times New Roman"/>
          <w:color w:val="000000" w:themeColor="text1"/>
        </w:rPr>
        <w:t>and the endorsement of the new C</w:t>
      </w:r>
      <w:r w:rsidRPr="00E53F45">
        <w:rPr>
          <w:rFonts w:asciiTheme="majorHAnsi" w:hAnsiTheme="majorHAnsi" w:cs="Times New Roman"/>
          <w:color w:val="000000" w:themeColor="text1"/>
        </w:rPr>
        <w:t>onsensus</w:t>
      </w:r>
      <w:r w:rsidR="001A343A" w:rsidRPr="00E53F45">
        <w:rPr>
          <w:rFonts w:asciiTheme="majorHAnsi" w:hAnsiTheme="majorHAnsi" w:cs="Times New Roman"/>
          <w:color w:val="000000" w:themeColor="text1"/>
        </w:rPr>
        <w:t xml:space="preserve"> for Development</w:t>
      </w:r>
      <w:r w:rsidR="009B665D" w:rsidRPr="00E53F45">
        <w:rPr>
          <w:rFonts w:asciiTheme="majorHAnsi" w:hAnsiTheme="majorHAnsi" w:cs="Times New Roman"/>
          <w:color w:val="000000" w:themeColor="text1"/>
        </w:rPr>
        <w:t>,</w:t>
      </w:r>
      <w:r w:rsidRPr="00E53F45">
        <w:rPr>
          <w:rFonts w:asciiTheme="majorHAnsi" w:hAnsiTheme="majorHAnsi" w:cs="Times New Roman"/>
          <w:color w:val="000000" w:themeColor="text1"/>
        </w:rPr>
        <w:t xml:space="preserve"> will require a revision of these documents.</w:t>
      </w:r>
    </w:p>
    <w:p w:rsidR="009B665D" w:rsidRPr="009B665D" w:rsidRDefault="009B665D" w:rsidP="00DB763C">
      <w:pPr>
        <w:jc w:val="both"/>
        <w:rPr>
          <w:rFonts w:asciiTheme="majorHAnsi" w:hAnsiTheme="majorHAnsi" w:cs="Times New Roman"/>
          <w:color w:val="000000" w:themeColor="text1"/>
        </w:rPr>
      </w:pPr>
    </w:p>
    <w:p w:rsidR="00B90376" w:rsidRPr="009B665D" w:rsidRDefault="00BE5A74" w:rsidP="00DB763C">
      <w:pPr>
        <w:jc w:val="both"/>
        <w:rPr>
          <w:rFonts w:asciiTheme="majorHAnsi" w:hAnsiTheme="majorHAnsi" w:cs="Times New Roman"/>
          <w:b/>
          <w:color w:val="000000" w:themeColor="text1"/>
        </w:rPr>
      </w:pPr>
      <w:r w:rsidRPr="009B665D">
        <w:rPr>
          <w:rFonts w:asciiTheme="majorHAnsi" w:hAnsiTheme="majorHAnsi" w:cs="Times New Roman"/>
          <w:b/>
          <w:color w:val="000000" w:themeColor="text1"/>
        </w:rPr>
        <w:t>2</w:t>
      </w:r>
      <w:r w:rsidR="00442A03" w:rsidRPr="009B665D">
        <w:rPr>
          <w:rFonts w:asciiTheme="majorHAnsi" w:hAnsiTheme="majorHAnsi" w:cs="Times New Roman"/>
          <w:b/>
          <w:color w:val="000000" w:themeColor="text1"/>
        </w:rPr>
        <w:t>.</w:t>
      </w:r>
      <w:r w:rsidR="00442A03" w:rsidRPr="009B665D">
        <w:rPr>
          <w:rFonts w:asciiTheme="majorHAnsi" w:hAnsiTheme="majorHAnsi" w:cs="Times New Roman"/>
          <w:b/>
          <w:color w:val="000000" w:themeColor="text1"/>
        </w:rPr>
        <w:tab/>
      </w:r>
      <w:r w:rsidR="00C35AB3" w:rsidRPr="009B665D">
        <w:rPr>
          <w:rFonts w:asciiTheme="majorHAnsi" w:hAnsiTheme="majorHAnsi" w:cs="Times New Roman"/>
          <w:b/>
          <w:color w:val="000000" w:themeColor="text1"/>
        </w:rPr>
        <w:t>Coordinated efforts</w:t>
      </w:r>
      <w:r w:rsidRPr="009B665D">
        <w:rPr>
          <w:rFonts w:asciiTheme="majorHAnsi" w:hAnsiTheme="majorHAnsi" w:cs="Times New Roman"/>
          <w:b/>
          <w:color w:val="000000" w:themeColor="text1"/>
        </w:rPr>
        <w:t xml:space="preserve"> towards </w:t>
      </w:r>
      <w:r w:rsidR="00C35AB3" w:rsidRPr="009B665D">
        <w:rPr>
          <w:rFonts w:asciiTheme="majorHAnsi" w:hAnsiTheme="majorHAnsi" w:cs="Times New Roman"/>
          <w:b/>
          <w:color w:val="000000" w:themeColor="text1"/>
        </w:rPr>
        <w:t xml:space="preserve">building </w:t>
      </w:r>
      <w:r w:rsidRPr="009B665D">
        <w:rPr>
          <w:rFonts w:asciiTheme="majorHAnsi" w:hAnsiTheme="majorHAnsi" w:cs="Times New Roman"/>
          <w:b/>
          <w:color w:val="000000" w:themeColor="text1"/>
        </w:rPr>
        <w:t>multi-sectoral nutrition systems</w:t>
      </w:r>
    </w:p>
    <w:p w:rsidR="00B90376" w:rsidRPr="009B665D" w:rsidRDefault="00B90376" w:rsidP="00DB763C">
      <w:pPr>
        <w:jc w:val="both"/>
        <w:rPr>
          <w:rFonts w:asciiTheme="majorHAnsi" w:hAnsiTheme="majorHAnsi" w:cs="Times New Roman"/>
          <w:color w:val="000000" w:themeColor="text1"/>
        </w:rPr>
      </w:pPr>
    </w:p>
    <w:p w:rsidR="00BE5A74" w:rsidRPr="009B665D" w:rsidRDefault="00BE5A74" w:rsidP="00DB763C">
      <w:pPr>
        <w:jc w:val="both"/>
        <w:rPr>
          <w:rFonts w:asciiTheme="majorHAnsi" w:hAnsiTheme="majorHAnsi" w:cs="Times New Roman"/>
          <w:color w:val="000000" w:themeColor="text1"/>
        </w:rPr>
      </w:pPr>
      <w:r w:rsidRPr="009B665D">
        <w:rPr>
          <w:rFonts w:asciiTheme="majorHAnsi" w:hAnsiTheme="majorHAnsi" w:cs="Times New Roman"/>
          <w:color w:val="000000" w:themeColor="text1"/>
        </w:rPr>
        <w:t>EU+ Joint Programming</w:t>
      </w:r>
    </w:p>
    <w:p w:rsidR="00BE5A74" w:rsidRPr="009B665D" w:rsidRDefault="00BE5A74" w:rsidP="00DB763C">
      <w:pPr>
        <w:jc w:val="both"/>
        <w:rPr>
          <w:rFonts w:asciiTheme="majorHAnsi" w:hAnsiTheme="majorHAnsi" w:cs="Times New Roman"/>
          <w:color w:val="000000" w:themeColor="text1"/>
        </w:rPr>
      </w:pPr>
    </w:p>
    <w:p w:rsidR="00BE5A74" w:rsidRPr="009B665D" w:rsidRDefault="00BE5A74" w:rsidP="00DB763C">
      <w:pPr>
        <w:pStyle w:val="ListParagraph"/>
        <w:numPr>
          <w:ilvl w:val="0"/>
          <w:numId w:val="6"/>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Joint programming offers a country-tailored, flexible and voluntary approach that is aligned behind national </w:t>
      </w:r>
      <w:r w:rsidR="00F3323F" w:rsidRPr="009B665D">
        <w:rPr>
          <w:rFonts w:asciiTheme="majorHAnsi" w:hAnsiTheme="majorHAnsi" w:cs="Times New Roman"/>
          <w:color w:val="000000" w:themeColor="text1"/>
        </w:rPr>
        <w:t>planning frameworks and synchronised with country cycle.</w:t>
      </w:r>
    </w:p>
    <w:p w:rsidR="00F3323F" w:rsidRPr="009B665D" w:rsidRDefault="00F3323F" w:rsidP="00DB763C">
      <w:pPr>
        <w:pStyle w:val="ListParagraph"/>
        <w:numPr>
          <w:ilvl w:val="0"/>
          <w:numId w:val="6"/>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Relevant to nutrition since it ensures a louder voice and increased transparency to raise the burden of malnutrition and measures to tackle all forms</w:t>
      </w:r>
    </w:p>
    <w:p w:rsidR="00F3323F" w:rsidRPr="009B665D" w:rsidRDefault="00F3323F" w:rsidP="00DB763C">
      <w:pPr>
        <w:pStyle w:val="ListParagraph"/>
        <w:numPr>
          <w:ilvl w:val="0"/>
          <w:numId w:val="6"/>
        </w:numPr>
        <w:jc w:val="both"/>
        <w:rPr>
          <w:rFonts w:asciiTheme="majorHAnsi" w:hAnsiTheme="majorHAnsi" w:cs="Times New Roman"/>
          <w:color w:val="000000" w:themeColor="text1"/>
        </w:rPr>
      </w:pPr>
      <w:r w:rsidRPr="009B665D">
        <w:rPr>
          <w:rFonts w:asciiTheme="majorHAnsi" w:hAnsiTheme="majorHAnsi" w:cs="Times New Roman"/>
          <w:color w:val="000000" w:themeColor="text1"/>
        </w:rPr>
        <w:lastRenderedPageBreak/>
        <w:t>There are potential efficiency gains to joint programming, but these can only be attained through the long-term commitment of all partners from planning through to implementation, monitoring and evaluation</w:t>
      </w:r>
    </w:p>
    <w:p w:rsidR="00F3323F" w:rsidRPr="009B665D" w:rsidRDefault="00F3323F" w:rsidP="00DB763C">
      <w:pPr>
        <w:pStyle w:val="ListParagraph"/>
        <w:numPr>
          <w:ilvl w:val="0"/>
          <w:numId w:val="6"/>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There are challenges in contexts where there are few EU+ member states or the political commitment to nutrition </w:t>
      </w:r>
      <w:r w:rsidR="00A15D0B" w:rsidRPr="009B665D">
        <w:rPr>
          <w:rFonts w:asciiTheme="majorHAnsi" w:hAnsiTheme="majorHAnsi" w:cs="Times New Roman"/>
          <w:color w:val="000000" w:themeColor="text1"/>
        </w:rPr>
        <w:t>is low</w:t>
      </w:r>
    </w:p>
    <w:p w:rsidR="006B3ACC" w:rsidRPr="009B665D" w:rsidRDefault="006B3ACC" w:rsidP="00DB763C">
      <w:pPr>
        <w:pStyle w:val="ListParagraph"/>
        <w:numPr>
          <w:ilvl w:val="0"/>
          <w:numId w:val="6"/>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Government’s willingness to bring coherence to the donor arena</w:t>
      </w:r>
      <w:r w:rsidR="00E31892" w:rsidRPr="009B665D">
        <w:rPr>
          <w:rFonts w:asciiTheme="majorHAnsi" w:hAnsiTheme="majorHAnsi" w:cs="Times New Roman"/>
          <w:color w:val="000000" w:themeColor="text1"/>
        </w:rPr>
        <w:t xml:space="preserve"> is a</w:t>
      </w:r>
      <w:r w:rsidRPr="009B665D">
        <w:rPr>
          <w:rFonts w:asciiTheme="majorHAnsi" w:hAnsiTheme="majorHAnsi" w:cs="Times New Roman"/>
          <w:color w:val="000000" w:themeColor="text1"/>
        </w:rPr>
        <w:t xml:space="preserve"> facilitatin</w:t>
      </w:r>
      <w:r w:rsidR="001A343A" w:rsidRPr="009B665D">
        <w:rPr>
          <w:rFonts w:asciiTheme="majorHAnsi" w:hAnsiTheme="majorHAnsi" w:cs="Times New Roman"/>
          <w:color w:val="000000" w:themeColor="text1"/>
        </w:rPr>
        <w:t>g factor for joint programming</w:t>
      </w:r>
    </w:p>
    <w:p w:rsidR="00E31892" w:rsidRPr="009B665D" w:rsidRDefault="00E31892" w:rsidP="00DB763C">
      <w:pPr>
        <w:pStyle w:val="ListParagraph"/>
        <w:numPr>
          <w:ilvl w:val="0"/>
          <w:numId w:val="6"/>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 </w:t>
      </w:r>
      <w:r w:rsidR="006B3ACC" w:rsidRPr="009B665D">
        <w:rPr>
          <w:rFonts w:asciiTheme="majorHAnsi" w:hAnsiTheme="majorHAnsi" w:cs="Times New Roman"/>
          <w:color w:val="000000" w:themeColor="text1"/>
        </w:rPr>
        <w:t xml:space="preserve">It is a </w:t>
      </w:r>
      <w:r w:rsidR="00800EB4" w:rsidRPr="009B665D">
        <w:rPr>
          <w:rFonts w:asciiTheme="majorHAnsi" w:hAnsiTheme="majorHAnsi" w:cs="Times New Roman"/>
          <w:color w:val="000000" w:themeColor="text1"/>
        </w:rPr>
        <w:t>time-consuming process for EU Delegations and Member States alike</w:t>
      </w:r>
    </w:p>
    <w:p w:rsidR="00A15D0B" w:rsidRPr="009B665D" w:rsidRDefault="00A15D0B" w:rsidP="00DB763C">
      <w:pPr>
        <w:pStyle w:val="ListParagraph"/>
        <w:numPr>
          <w:ilvl w:val="0"/>
          <w:numId w:val="6"/>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Joint Programming should take account of other existing planning and programming mechanisms especially those </w:t>
      </w:r>
      <w:r w:rsidR="0006190B" w:rsidRPr="009B665D">
        <w:rPr>
          <w:rFonts w:asciiTheme="majorHAnsi" w:hAnsiTheme="majorHAnsi" w:cs="Times New Roman"/>
          <w:color w:val="000000" w:themeColor="text1"/>
        </w:rPr>
        <w:t xml:space="preserve">instigated by national authorities within the framework of the </w:t>
      </w:r>
      <w:r w:rsidRPr="009B665D">
        <w:rPr>
          <w:rFonts w:asciiTheme="majorHAnsi" w:hAnsiTheme="majorHAnsi" w:cs="Times New Roman"/>
          <w:color w:val="000000" w:themeColor="text1"/>
        </w:rPr>
        <w:t>SUN movement</w:t>
      </w:r>
      <w:r w:rsidR="0006190B" w:rsidRPr="009B665D">
        <w:rPr>
          <w:rFonts w:asciiTheme="majorHAnsi" w:hAnsiTheme="majorHAnsi" w:cs="Times New Roman"/>
          <w:color w:val="000000" w:themeColor="text1"/>
        </w:rPr>
        <w:t>; Joint Programming should not contribute further to the congestion of coordination mechanisms</w:t>
      </w:r>
    </w:p>
    <w:p w:rsidR="00A104BC" w:rsidRPr="009B665D" w:rsidRDefault="00A104BC" w:rsidP="00DB763C">
      <w:pPr>
        <w:jc w:val="both"/>
        <w:rPr>
          <w:rFonts w:asciiTheme="majorHAnsi" w:hAnsiTheme="majorHAnsi" w:cs="Times New Roman"/>
          <w:color w:val="000000" w:themeColor="text1"/>
        </w:rPr>
      </w:pPr>
    </w:p>
    <w:p w:rsidR="007D60F5" w:rsidRPr="009B665D" w:rsidRDefault="007D60F5" w:rsidP="00DB763C">
      <w:pPr>
        <w:jc w:val="both"/>
        <w:rPr>
          <w:rFonts w:asciiTheme="majorHAnsi" w:hAnsiTheme="majorHAnsi" w:cs="Times New Roman"/>
          <w:color w:val="000000" w:themeColor="text1"/>
        </w:rPr>
      </w:pPr>
      <w:r w:rsidRPr="009B665D">
        <w:rPr>
          <w:rFonts w:asciiTheme="majorHAnsi" w:hAnsiTheme="majorHAnsi" w:cs="Times New Roman"/>
          <w:color w:val="000000" w:themeColor="text1"/>
        </w:rPr>
        <w:t>SUN coordination mechanisms</w:t>
      </w:r>
    </w:p>
    <w:p w:rsidR="007D60F5" w:rsidRPr="009B665D" w:rsidRDefault="007D60F5" w:rsidP="00DB763C">
      <w:pPr>
        <w:jc w:val="both"/>
        <w:rPr>
          <w:rFonts w:asciiTheme="majorHAnsi" w:hAnsiTheme="majorHAnsi" w:cs="Times New Roman"/>
          <w:color w:val="000000" w:themeColor="text1"/>
        </w:rPr>
      </w:pPr>
    </w:p>
    <w:p w:rsidR="007D60F5" w:rsidRPr="009B665D" w:rsidRDefault="007D60F5" w:rsidP="00DB763C">
      <w:pPr>
        <w:pStyle w:val="ListParagraph"/>
        <w:numPr>
          <w:ilvl w:val="0"/>
          <w:numId w:val="7"/>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Assuming the SUN donor convenor role at the level of EU Ambassador is powerful and influential to the nutrition agenda in country</w:t>
      </w:r>
    </w:p>
    <w:p w:rsidR="007D60F5" w:rsidRPr="009B665D" w:rsidRDefault="00C35AB3" w:rsidP="00DB763C">
      <w:pPr>
        <w:pStyle w:val="ListParagraph"/>
        <w:numPr>
          <w:ilvl w:val="0"/>
          <w:numId w:val="7"/>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Lack of </w:t>
      </w:r>
      <w:r w:rsidR="00C3726D" w:rsidRPr="009B665D">
        <w:rPr>
          <w:rFonts w:asciiTheme="majorHAnsi" w:hAnsiTheme="majorHAnsi" w:cs="Times New Roman"/>
          <w:color w:val="000000" w:themeColor="text1"/>
        </w:rPr>
        <w:t xml:space="preserve">appropriate </w:t>
      </w:r>
      <w:r w:rsidRPr="009B665D">
        <w:rPr>
          <w:rFonts w:asciiTheme="majorHAnsi" w:hAnsiTheme="majorHAnsi" w:cs="Times New Roman"/>
          <w:color w:val="000000" w:themeColor="text1"/>
        </w:rPr>
        <w:t>leadership on nutrition diminishes the SUN donor convenor function and effectiveness</w:t>
      </w:r>
      <w:r w:rsidR="00C3726D" w:rsidRPr="009B665D">
        <w:rPr>
          <w:rFonts w:asciiTheme="majorHAnsi" w:hAnsiTheme="majorHAnsi" w:cs="Times New Roman"/>
          <w:color w:val="000000" w:themeColor="text1"/>
        </w:rPr>
        <w:t xml:space="preserve"> (attributing time to this function then becomes very challenging)</w:t>
      </w:r>
    </w:p>
    <w:p w:rsidR="00C3726D" w:rsidRPr="009B665D" w:rsidRDefault="00C3726D" w:rsidP="00DB763C">
      <w:pPr>
        <w:pStyle w:val="ListParagraph"/>
        <w:numPr>
          <w:ilvl w:val="0"/>
          <w:numId w:val="7"/>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Networking between SUN donor convenors from EU Delegations and other donor convenors is valued and participation at the SUN donor convenor meeting in Malawi 6-8 June </w:t>
      </w:r>
      <w:r w:rsidR="0006190B" w:rsidRPr="009B665D">
        <w:rPr>
          <w:rFonts w:asciiTheme="majorHAnsi" w:hAnsiTheme="majorHAnsi" w:cs="Times New Roman"/>
          <w:color w:val="000000" w:themeColor="text1"/>
        </w:rPr>
        <w:t>is supported</w:t>
      </w:r>
    </w:p>
    <w:p w:rsidR="0006190B" w:rsidRPr="009B665D" w:rsidRDefault="0006190B" w:rsidP="00DB763C">
      <w:pPr>
        <w:pStyle w:val="ListParagraph"/>
        <w:numPr>
          <w:ilvl w:val="0"/>
          <w:numId w:val="7"/>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The EU should consider being co-chair of the global</w:t>
      </w:r>
      <w:r w:rsidR="00E31892" w:rsidRPr="009B665D">
        <w:rPr>
          <w:rFonts w:asciiTheme="majorHAnsi" w:hAnsiTheme="majorHAnsi" w:cs="Times New Roman"/>
          <w:color w:val="000000" w:themeColor="text1"/>
        </w:rPr>
        <w:t xml:space="preserve"> SUN</w:t>
      </w:r>
      <w:r w:rsidRPr="009B665D">
        <w:rPr>
          <w:rFonts w:asciiTheme="majorHAnsi" w:hAnsiTheme="majorHAnsi" w:cs="Times New Roman"/>
          <w:color w:val="000000" w:themeColor="text1"/>
        </w:rPr>
        <w:t xml:space="preserve"> </w:t>
      </w:r>
      <w:r w:rsidR="00E31892" w:rsidRPr="009B665D">
        <w:rPr>
          <w:rFonts w:asciiTheme="majorHAnsi" w:hAnsiTheme="majorHAnsi" w:cs="Times New Roman"/>
          <w:color w:val="000000" w:themeColor="text1"/>
        </w:rPr>
        <w:t>D</w:t>
      </w:r>
      <w:r w:rsidRPr="009B665D">
        <w:rPr>
          <w:rFonts w:asciiTheme="majorHAnsi" w:hAnsiTheme="majorHAnsi" w:cs="Times New Roman"/>
          <w:color w:val="000000" w:themeColor="text1"/>
        </w:rPr>
        <w:t xml:space="preserve">onor </w:t>
      </w:r>
      <w:r w:rsidR="00E31892" w:rsidRPr="009B665D">
        <w:rPr>
          <w:rFonts w:asciiTheme="majorHAnsi" w:hAnsiTheme="majorHAnsi" w:cs="Times New Roman"/>
          <w:color w:val="000000" w:themeColor="text1"/>
        </w:rPr>
        <w:t>Network</w:t>
      </w:r>
    </w:p>
    <w:p w:rsidR="00C35AB3" w:rsidRPr="009B665D" w:rsidRDefault="00C35AB3" w:rsidP="00DB763C">
      <w:pPr>
        <w:pStyle w:val="ListParagraph"/>
        <w:numPr>
          <w:ilvl w:val="0"/>
          <w:numId w:val="7"/>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Donor mapping for nutrition can generate a useful planning tool to promote nutrition-sensitive interventions, but the exercise requires significant resources and commitment across all parties to achieve</w:t>
      </w:r>
    </w:p>
    <w:p w:rsidR="0006190B" w:rsidRPr="009B665D" w:rsidRDefault="0006190B" w:rsidP="00DB763C">
      <w:pPr>
        <w:pStyle w:val="ListParagraph"/>
        <w:numPr>
          <w:ilvl w:val="0"/>
          <w:numId w:val="7"/>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A Civil Society Alliance that grows from a grass-roots movement tends to be more representative of its constituencies than umbrella organisations sim</w:t>
      </w:r>
      <w:r w:rsidR="001A343A" w:rsidRPr="009B665D">
        <w:rPr>
          <w:rFonts w:asciiTheme="majorHAnsi" w:hAnsiTheme="majorHAnsi" w:cs="Times New Roman"/>
          <w:color w:val="000000" w:themeColor="text1"/>
        </w:rPr>
        <w:t>ply established for the purpose</w:t>
      </w:r>
      <w:r w:rsidRPr="009B665D">
        <w:rPr>
          <w:rFonts w:asciiTheme="majorHAnsi" w:hAnsiTheme="majorHAnsi" w:cs="Times New Roman"/>
          <w:color w:val="000000" w:themeColor="text1"/>
        </w:rPr>
        <w:t xml:space="preserve">  </w:t>
      </w:r>
    </w:p>
    <w:p w:rsidR="008E23A2" w:rsidRPr="009B665D" w:rsidRDefault="008E23A2" w:rsidP="00DB763C">
      <w:pPr>
        <w:jc w:val="both"/>
        <w:rPr>
          <w:rFonts w:asciiTheme="majorHAnsi" w:hAnsiTheme="majorHAnsi" w:cs="Times New Roman"/>
          <w:color w:val="000000" w:themeColor="text1"/>
        </w:rPr>
      </w:pPr>
    </w:p>
    <w:p w:rsidR="008E23A2" w:rsidRPr="009B665D" w:rsidRDefault="00FA7161" w:rsidP="00DB763C">
      <w:pPr>
        <w:jc w:val="both"/>
        <w:rPr>
          <w:rFonts w:asciiTheme="majorHAnsi" w:hAnsiTheme="majorHAnsi" w:cs="Times New Roman"/>
          <w:color w:val="000000" w:themeColor="text1"/>
        </w:rPr>
      </w:pPr>
      <w:r w:rsidRPr="009B665D">
        <w:rPr>
          <w:rFonts w:asciiTheme="majorHAnsi" w:hAnsiTheme="majorHAnsi" w:cs="Times New Roman"/>
          <w:color w:val="000000" w:themeColor="text1"/>
        </w:rPr>
        <w:t>Building n</w:t>
      </w:r>
      <w:r w:rsidR="00C35AB3" w:rsidRPr="009B665D">
        <w:rPr>
          <w:rFonts w:asciiTheme="majorHAnsi" w:hAnsiTheme="majorHAnsi" w:cs="Times New Roman"/>
          <w:color w:val="000000" w:themeColor="text1"/>
        </w:rPr>
        <w:t>ational m</w:t>
      </w:r>
      <w:r w:rsidRPr="009B665D">
        <w:rPr>
          <w:rFonts w:asciiTheme="majorHAnsi" w:hAnsiTheme="majorHAnsi" w:cs="Times New Roman"/>
          <w:color w:val="000000" w:themeColor="text1"/>
        </w:rPr>
        <w:t>ulti-sectoral systems</w:t>
      </w:r>
      <w:r w:rsidR="007D60F5" w:rsidRPr="009B665D">
        <w:rPr>
          <w:rFonts w:asciiTheme="majorHAnsi" w:hAnsiTheme="majorHAnsi" w:cs="Times New Roman"/>
          <w:color w:val="000000" w:themeColor="text1"/>
        </w:rPr>
        <w:t xml:space="preserve"> for nutrition</w:t>
      </w:r>
    </w:p>
    <w:p w:rsidR="007D60F5" w:rsidRPr="009B665D" w:rsidRDefault="007D60F5" w:rsidP="00DB763C">
      <w:pPr>
        <w:jc w:val="both"/>
        <w:rPr>
          <w:rFonts w:asciiTheme="majorHAnsi" w:hAnsiTheme="majorHAnsi" w:cs="Times New Roman"/>
          <w:color w:val="000000" w:themeColor="text1"/>
        </w:rPr>
      </w:pPr>
    </w:p>
    <w:p w:rsidR="007D60F5" w:rsidRPr="009B665D" w:rsidRDefault="007D60F5" w:rsidP="00DB763C">
      <w:pPr>
        <w:pStyle w:val="ListParagraph"/>
        <w:numPr>
          <w:ilvl w:val="0"/>
          <w:numId w:val="8"/>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The political leadership from the highest level of government is critical</w:t>
      </w:r>
    </w:p>
    <w:p w:rsidR="00456E71" w:rsidRPr="009B665D" w:rsidRDefault="00456E71" w:rsidP="00DB763C">
      <w:pPr>
        <w:pStyle w:val="ListParagraph"/>
        <w:numPr>
          <w:ilvl w:val="0"/>
          <w:numId w:val="8"/>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Recognition of the role of civil society to raise awareness </w:t>
      </w:r>
      <w:r w:rsidR="008A2819" w:rsidRPr="009B665D">
        <w:rPr>
          <w:rFonts w:asciiTheme="majorHAnsi" w:hAnsiTheme="majorHAnsi" w:cs="Times New Roman"/>
          <w:color w:val="000000" w:themeColor="text1"/>
        </w:rPr>
        <w:t>and promote behaviour change at</w:t>
      </w:r>
      <w:r w:rsidRPr="009B665D">
        <w:rPr>
          <w:rFonts w:asciiTheme="majorHAnsi" w:hAnsiTheme="majorHAnsi" w:cs="Times New Roman"/>
          <w:color w:val="000000" w:themeColor="text1"/>
        </w:rPr>
        <w:t xml:space="preserve"> co</w:t>
      </w:r>
      <w:r w:rsidR="00800EB4" w:rsidRPr="009B665D">
        <w:rPr>
          <w:rFonts w:asciiTheme="majorHAnsi" w:hAnsiTheme="majorHAnsi" w:cs="Times New Roman"/>
          <w:color w:val="000000" w:themeColor="text1"/>
        </w:rPr>
        <w:t xml:space="preserve">mmunity </w:t>
      </w:r>
      <w:r w:rsidR="008A2819" w:rsidRPr="009B665D">
        <w:rPr>
          <w:rFonts w:asciiTheme="majorHAnsi" w:hAnsiTheme="majorHAnsi" w:cs="Times New Roman"/>
          <w:color w:val="000000" w:themeColor="text1"/>
        </w:rPr>
        <w:t xml:space="preserve">level, </w:t>
      </w:r>
      <w:r w:rsidR="00800EB4" w:rsidRPr="009B665D">
        <w:rPr>
          <w:rFonts w:asciiTheme="majorHAnsi" w:hAnsiTheme="majorHAnsi" w:cs="Times New Roman"/>
          <w:color w:val="000000" w:themeColor="text1"/>
        </w:rPr>
        <w:t xml:space="preserve">to </w:t>
      </w:r>
      <w:r w:rsidR="008A2819" w:rsidRPr="009B665D">
        <w:rPr>
          <w:rFonts w:asciiTheme="majorHAnsi" w:hAnsiTheme="majorHAnsi" w:cs="Times New Roman"/>
          <w:color w:val="000000" w:themeColor="text1"/>
        </w:rPr>
        <w:t>engage in policy dialogue at national level</w:t>
      </w:r>
      <w:r w:rsidR="00800EB4" w:rsidRPr="009B665D">
        <w:rPr>
          <w:rFonts w:asciiTheme="majorHAnsi" w:hAnsiTheme="majorHAnsi" w:cs="Times New Roman"/>
          <w:color w:val="000000" w:themeColor="text1"/>
        </w:rPr>
        <w:t xml:space="preserve">, to maintain </w:t>
      </w:r>
      <w:r w:rsidRPr="009B665D">
        <w:rPr>
          <w:rFonts w:asciiTheme="majorHAnsi" w:hAnsiTheme="majorHAnsi" w:cs="Times New Roman"/>
          <w:color w:val="000000" w:themeColor="text1"/>
        </w:rPr>
        <w:t xml:space="preserve">momentum and </w:t>
      </w:r>
      <w:r w:rsidR="008A2819" w:rsidRPr="009B665D">
        <w:rPr>
          <w:rFonts w:asciiTheme="majorHAnsi" w:hAnsiTheme="majorHAnsi" w:cs="Times New Roman"/>
          <w:color w:val="000000" w:themeColor="text1"/>
        </w:rPr>
        <w:t xml:space="preserve">to hold </w:t>
      </w:r>
      <w:r w:rsidRPr="009B665D">
        <w:rPr>
          <w:rFonts w:asciiTheme="majorHAnsi" w:hAnsiTheme="majorHAnsi" w:cs="Times New Roman"/>
          <w:color w:val="000000" w:themeColor="text1"/>
        </w:rPr>
        <w:t>government</w:t>
      </w:r>
      <w:r w:rsidR="008A2819" w:rsidRPr="009B665D">
        <w:rPr>
          <w:rFonts w:asciiTheme="majorHAnsi" w:hAnsiTheme="majorHAnsi" w:cs="Times New Roman"/>
          <w:color w:val="000000" w:themeColor="text1"/>
        </w:rPr>
        <w:t>s</w:t>
      </w:r>
      <w:r w:rsidRPr="009B665D">
        <w:rPr>
          <w:rFonts w:asciiTheme="majorHAnsi" w:hAnsiTheme="majorHAnsi" w:cs="Times New Roman"/>
          <w:color w:val="000000" w:themeColor="text1"/>
        </w:rPr>
        <w:t xml:space="preserve"> accountable</w:t>
      </w:r>
    </w:p>
    <w:p w:rsidR="00C35AB3" w:rsidRPr="009B665D" w:rsidRDefault="00C35AB3" w:rsidP="00DB763C">
      <w:pPr>
        <w:pStyle w:val="ListParagraph"/>
        <w:numPr>
          <w:ilvl w:val="0"/>
          <w:numId w:val="8"/>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A p</w:t>
      </w:r>
      <w:r w:rsidR="00C25D0F" w:rsidRPr="009B665D">
        <w:rPr>
          <w:rFonts w:asciiTheme="majorHAnsi" w:hAnsiTheme="majorHAnsi" w:cs="Times New Roman"/>
          <w:color w:val="000000" w:themeColor="text1"/>
        </w:rPr>
        <w:t>rerequisite is for building the capacity of the Secretariat for multi-sectoral approach at all levels so that this facilitates support</w:t>
      </w:r>
      <w:r w:rsidRPr="009B665D">
        <w:rPr>
          <w:rFonts w:asciiTheme="majorHAnsi" w:hAnsiTheme="majorHAnsi" w:cs="Times New Roman"/>
          <w:color w:val="000000" w:themeColor="text1"/>
        </w:rPr>
        <w:t xml:space="preserve"> across government sectors</w:t>
      </w:r>
    </w:p>
    <w:p w:rsidR="00C25D0F" w:rsidRPr="009B665D" w:rsidRDefault="00C25D0F" w:rsidP="00DB763C">
      <w:pPr>
        <w:pStyle w:val="ListParagraph"/>
        <w:numPr>
          <w:ilvl w:val="0"/>
          <w:numId w:val="8"/>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Multi-sectoral nut</w:t>
      </w:r>
      <w:r w:rsidR="00C35AB3" w:rsidRPr="009B665D">
        <w:rPr>
          <w:rFonts w:asciiTheme="majorHAnsi" w:hAnsiTheme="majorHAnsi" w:cs="Times New Roman"/>
          <w:color w:val="000000" w:themeColor="text1"/>
        </w:rPr>
        <w:t>rition</w:t>
      </w:r>
      <w:r w:rsidRPr="009B665D">
        <w:rPr>
          <w:rFonts w:asciiTheme="majorHAnsi" w:hAnsiTheme="majorHAnsi" w:cs="Times New Roman"/>
          <w:color w:val="000000" w:themeColor="text1"/>
        </w:rPr>
        <w:t xml:space="preserve"> system needs to be built and to be made functional</w:t>
      </w:r>
    </w:p>
    <w:p w:rsidR="00E53F45" w:rsidRPr="009337BC" w:rsidRDefault="00C35AB3" w:rsidP="00DB763C">
      <w:pPr>
        <w:pStyle w:val="ListParagraph"/>
        <w:numPr>
          <w:ilvl w:val="0"/>
          <w:numId w:val="8"/>
        </w:numPr>
        <w:jc w:val="both"/>
        <w:rPr>
          <w:rFonts w:asciiTheme="majorHAnsi" w:hAnsiTheme="majorHAnsi" w:cs="Times New Roman"/>
          <w:color w:val="000000" w:themeColor="text1"/>
        </w:rPr>
      </w:pPr>
      <w:r w:rsidRPr="009B665D">
        <w:rPr>
          <w:rFonts w:asciiTheme="majorHAnsi" w:hAnsiTheme="majorHAnsi" w:cs="Times New Roman"/>
          <w:color w:val="000000" w:themeColor="text1"/>
          <w:u w:val="single"/>
        </w:rPr>
        <w:t>Capacities have to be built</w:t>
      </w:r>
      <w:r w:rsidRPr="009B665D">
        <w:rPr>
          <w:rFonts w:asciiTheme="majorHAnsi" w:hAnsiTheme="majorHAnsi" w:cs="Times New Roman"/>
          <w:color w:val="000000" w:themeColor="text1"/>
        </w:rPr>
        <w:t xml:space="preserve"> within relevant sectors to ensure awareness and commitment to achieve the multi-sectoral dialogue and action on nutrition</w:t>
      </w:r>
    </w:p>
    <w:p w:rsidR="00E936F4" w:rsidRPr="009B665D" w:rsidRDefault="00E936F4" w:rsidP="00DB763C">
      <w:pPr>
        <w:jc w:val="both"/>
        <w:rPr>
          <w:rFonts w:asciiTheme="majorHAnsi" w:hAnsiTheme="majorHAnsi" w:cs="Times New Roman"/>
          <w:color w:val="000000" w:themeColor="text1"/>
        </w:rPr>
      </w:pPr>
    </w:p>
    <w:p w:rsidR="00E936F4" w:rsidRPr="009B665D" w:rsidRDefault="00E936F4" w:rsidP="00DB763C">
      <w:pPr>
        <w:jc w:val="both"/>
        <w:rPr>
          <w:rFonts w:asciiTheme="majorHAnsi" w:hAnsiTheme="majorHAnsi" w:cs="Times New Roman"/>
          <w:color w:val="000000" w:themeColor="text1"/>
        </w:rPr>
      </w:pPr>
      <w:r w:rsidRPr="009B665D">
        <w:rPr>
          <w:rFonts w:asciiTheme="majorHAnsi" w:hAnsiTheme="majorHAnsi" w:cs="Times New Roman"/>
          <w:color w:val="000000" w:themeColor="text1"/>
        </w:rPr>
        <w:t>Nutrition within the Humanitarian-Development Nexus</w:t>
      </w:r>
    </w:p>
    <w:p w:rsidR="00E936F4" w:rsidRPr="009B665D" w:rsidRDefault="00E936F4" w:rsidP="00DB763C">
      <w:pPr>
        <w:jc w:val="both"/>
        <w:rPr>
          <w:rFonts w:asciiTheme="majorHAnsi" w:hAnsiTheme="majorHAnsi" w:cs="Times New Roman"/>
          <w:color w:val="000000" w:themeColor="text1"/>
        </w:rPr>
      </w:pPr>
    </w:p>
    <w:p w:rsidR="00E936F4" w:rsidRPr="009B665D" w:rsidRDefault="00E936F4" w:rsidP="00DB763C">
      <w:pPr>
        <w:pStyle w:val="ListParagraph"/>
        <w:numPr>
          <w:ilvl w:val="0"/>
          <w:numId w:val="10"/>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Adopting a more holistic approach to undernutrition in situations where wasting and s</w:t>
      </w:r>
      <w:r w:rsidR="009B665D" w:rsidRPr="009B665D">
        <w:rPr>
          <w:rFonts w:asciiTheme="majorHAnsi" w:hAnsiTheme="majorHAnsi" w:cs="Times New Roman"/>
          <w:color w:val="000000" w:themeColor="text1"/>
        </w:rPr>
        <w:t xml:space="preserve">tunting are inextricably linked, </w:t>
      </w:r>
      <w:r w:rsidRPr="009B665D">
        <w:rPr>
          <w:rFonts w:asciiTheme="majorHAnsi" w:hAnsiTheme="majorHAnsi" w:cs="Times New Roman"/>
          <w:color w:val="000000" w:themeColor="text1"/>
        </w:rPr>
        <w:t>often affecting the same children</w:t>
      </w:r>
    </w:p>
    <w:p w:rsidR="00E936F4" w:rsidRPr="009B665D" w:rsidRDefault="00E936F4" w:rsidP="00DB763C">
      <w:pPr>
        <w:pStyle w:val="ListParagraph"/>
        <w:numPr>
          <w:ilvl w:val="0"/>
          <w:numId w:val="10"/>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Ensuring both humanitarian and development partners are working towards effective and sustainable solutions</w:t>
      </w:r>
    </w:p>
    <w:p w:rsidR="00C25D0F" w:rsidRPr="009B665D" w:rsidRDefault="00C25D0F" w:rsidP="00DB763C">
      <w:pPr>
        <w:jc w:val="both"/>
        <w:rPr>
          <w:rFonts w:asciiTheme="majorHAnsi" w:hAnsiTheme="majorHAnsi" w:cs="Times New Roman"/>
          <w:color w:val="000000" w:themeColor="text1"/>
        </w:rPr>
      </w:pPr>
    </w:p>
    <w:p w:rsidR="00AE5BF7" w:rsidRPr="009B665D" w:rsidRDefault="007E42C0" w:rsidP="00DB763C">
      <w:pPr>
        <w:jc w:val="both"/>
        <w:rPr>
          <w:rFonts w:asciiTheme="majorHAnsi" w:hAnsiTheme="majorHAnsi" w:cs="Times New Roman"/>
          <w:color w:val="000000" w:themeColor="text1"/>
        </w:rPr>
      </w:pPr>
      <w:r w:rsidRPr="009B665D">
        <w:rPr>
          <w:rFonts w:asciiTheme="majorHAnsi" w:hAnsiTheme="majorHAnsi" w:cs="Times New Roman"/>
          <w:color w:val="000000" w:themeColor="text1"/>
        </w:rPr>
        <w:t>Coherence between national and international</w:t>
      </w:r>
      <w:r w:rsidR="000C4555" w:rsidRPr="009B665D">
        <w:rPr>
          <w:rFonts w:asciiTheme="majorHAnsi" w:hAnsiTheme="majorHAnsi" w:cs="Times New Roman"/>
          <w:color w:val="000000" w:themeColor="text1"/>
        </w:rPr>
        <w:t xml:space="preserve"> levels</w:t>
      </w:r>
    </w:p>
    <w:p w:rsidR="007E42C0" w:rsidRPr="009B665D" w:rsidRDefault="007E42C0" w:rsidP="00DB763C">
      <w:pPr>
        <w:jc w:val="both"/>
        <w:rPr>
          <w:rFonts w:asciiTheme="majorHAnsi" w:hAnsiTheme="majorHAnsi" w:cs="Times New Roman"/>
          <w:color w:val="000000" w:themeColor="text1"/>
        </w:rPr>
      </w:pPr>
    </w:p>
    <w:p w:rsidR="007E42C0" w:rsidRPr="009B665D" w:rsidRDefault="00FA7161" w:rsidP="00DB763C">
      <w:pPr>
        <w:pStyle w:val="ListParagraph"/>
        <w:numPr>
          <w:ilvl w:val="0"/>
          <w:numId w:val="9"/>
        </w:numPr>
        <w:jc w:val="both"/>
        <w:rPr>
          <w:rFonts w:asciiTheme="majorHAnsi" w:hAnsiTheme="majorHAnsi" w:cs="Times New Roman"/>
          <w:color w:val="000000" w:themeColor="text1"/>
        </w:rPr>
      </w:pPr>
      <w:r w:rsidRPr="009B665D">
        <w:rPr>
          <w:rFonts w:asciiTheme="majorHAnsi" w:hAnsiTheme="majorHAnsi" w:cs="Times New Roman"/>
          <w:color w:val="000000" w:themeColor="text1"/>
        </w:rPr>
        <w:lastRenderedPageBreak/>
        <w:t>Global targets (SDGs/WHA) are influential in promoting and identifying national level objectives and goals</w:t>
      </w:r>
    </w:p>
    <w:p w:rsidR="00FA7161" w:rsidRPr="009B665D" w:rsidRDefault="00C3726D" w:rsidP="00DB763C">
      <w:pPr>
        <w:pStyle w:val="ListParagraph"/>
        <w:numPr>
          <w:ilvl w:val="0"/>
          <w:numId w:val="9"/>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The </w:t>
      </w:r>
      <w:r w:rsidR="00FA7161" w:rsidRPr="009B665D">
        <w:rPr>
          <w:rFonts w:asciiTheme="majorHAnsi" w:hAnsiTheme="majorHAnsi" w:cs="Times New Roman"/>
          <w:color w:val="000000" w:themeColor="text1"/>
        </w:rPr>
        <w:t xml:space="preserve">commitment to achieving those </w:t>
      </w:r>
      <w:r w:rsidRPr="009B665D">
        <w:rPr>
          <w:rFonts w:asciiTheme="majorHAnsi" w:hAnsiTheme="majorHAnsi" w:cs="Times New Roman"/>
          <w:color w:val="000000" w:themeColor="text1"/>
        </w:rPr>
        <w:t xml:space="preserve">national </w:t>
      </w:r>
      <w:r w:rsidR="00FA7161" w:rsidRPr="009B665D">
        <w:rPr>
          <w:rFonts w:asciiTheme="majorHAnsi" w:hAnsiTheme="majorHAnsi" w:cs="Times New Roman"/>
          <w:color w:val="000000" w:themeColor="text1"/>
        </w:rPr>
        <w:t>goals depends heavily on the political leadership</w:t>
      </w:r>
      <w:r w:rsidRPr="009B665D">
        <w:rPr>
          <w:rFonts w:asciiTheme="majorHAnsi" w:hAnsiTheme="majorHAnsi" w:cs="Times New Roman"/>
          <w:color w:val="000000" w:themeColor="text1"/>
        </w:rPr>
        <w:t xml:space="preserve"> of the country</w:t>
      </w:r>
      <w:r w:rsidR="00456E71" w:rsidRPr="009B665D">
        <w:rPr>
          <w:rFonts w:asciiTheme="majorHAnsi" w:hAnsiTheme="majorHAnsi" w:cs="Times New Roman"/>
          <w:color w:val="000000" w:themeColor="text1"/>
        </w:rPr>
        <w:t xml:space="preserve">, civil society mobilisation </w:t>
      </w:r>
      <w:r w:rsidRPr="009B665D">
        <w:rPr>
          <w:rFonts w:asciiTheme="majorHAnsi" w:hAnsiTheme="majorHAnsi" w:cs="Times New Roman"/>
          <w:color w:val="000000" w:themeColor="text1"/>
        </w:rPr>
        <w:t>and the importance attributed to nutrition in the development agenda</w:t>
      </w:r>
    </w:p>
    <w:p w:rsidR="00FD7F59" w:rsidRPr="009337BC" w:rsidRDefault="00FA7161" w:rsidP="00DB763C">
      <w:pPr>
        <w:pStyle w:val="ListParagraph"/>
        <w:numPr>
          <w:ilvl w:val="0"/>
          <w:numId w:val="9"/>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Achieving those goals depends significantly on </w:t>
      </w:r>
      <w:r w:rsidRPr="009B665D">
        <w:rPr>
          <w:rFonts w:asciiTheme="majorHAnsi" w:hAnsiTheme="majorHAnsi" w:cs="Times New Roman"/>
          <w:color w:val="000000" w:themeColor="text1"/>
          <w:u w:val="single"/>
        </w:rPr>
        <w:t xml:space="preserve">national </w:t>
      </w:r>
      <w:r w:rsidR="00C3726D" w:rsidRPr="009B665D">
        <w:rPr>
          <w:rFonts w:asciiTheme="majorHAnsi" w:hAnsiTheme="majorHAnsi" w:cs="Times New Roman"/>
          <w:color w:val="000000" w:themeColor="text1"/>
          <w:u w:val="single"/>
        </w:rPr>
        <w:t xml:space="preserve">and sub-national </w:t>
      </w:r>
      <w:r w:rsidRPr="009B665D">
        <w:rPr>
          <w:rFonts w:asciiTheme="majorHAnsi" w:hAnsiTheme="majorHAnsi" w:cs="Times New Roman"/>
          <w:color w:val="000000" w:themeColor="text1"/>
          <w:u w:val="single"/>
        </w:rPr>
        <w:t>level capacities</w:t>
      </w:r>
      <w:r w:rsidRPr="009B665D">
        <w:rPr>
          <w:rFonts w:asciiTheme="majorHAnsi" w:hAnsiTheme="majorHAnsi" w:cs="Times New Roman"/>
          <w:color w:val="000000" w:themeColor="text1"/>
        </w:rPr>
        <w:t xml:space="preserve"> to plan, deliver and monitor interventions designed to achieve those obje</w:t>
      </w:r>
      <w:r w:rsidR="00C3726D" w:rsidRPr="009B665D">
        <w:rPr>
          <w:rFonts w:asciiTheme="majorHAnsi" w:hAnsiTheme="majorHAnsi" w:cs="Times New Roman"/>
          <w:color w:val="000000" w:themeColor="text1"/>
        </w:rPr>
        <w:t>ctives (this is a particularly critical issue to Africa</w:t>
      </w:r>
      <w:r w:rsidRPr="009B665D">
        <w:rPr>
          <w:rFonts w:asciiTheme="majorHAnsi" w:hAnsiTheme="majorHAnsi" w:cs="Times New Roman"/>
          <w:color w:val="000000" w:themeColor="text1"/>
        </w:rPr>
        <w:t>)</w:t>
      </w:r>
    </w:p>
    <w:p w:rsidR="009B665D" w:rsidRPr="009B665D" w:rsidRDefault="009B665D" w:rsidP="00DB763C">
      <w:pPr>
        <w:jc w:val="both"/>
        <w:rPr>
          <w:rFonts w:asciiTheme="majorHAnsi" w:hAnsiTheme="majorHAnsi" w:cs="Times New Roman"/>
          <w:color w:val="000000" w:themeColor="text1"/>
        </w:rPr>
      </w:pPr>
    </w:p>
    <w:p w:rsidR="00AE5BF7" w:rsidRPr="009B665D" w:rsidRDefault="0081186C" w:rsidP="00DB763C">
      <w:pPr>
        <w:jc w:val="both"/>
        <w:rPr>
          <w:rFonts w:asciiTheme="majorHAnsi" w:hAnsiTheme="majorHAnsi" w:cs="Times New Roman"/>
          <w:b/>
          <w:color w:val="000000" w:themeColor="text1"/>
        </w:rPr>
      </w:pPr>
      <w:r w:rsidRPr="009B665D">
        <w:rPr>
          <w:rFonts w:asciiTheme="majorHAnsi" w:hAnsiTheme="majorHAnsi" w:cs="Times New Roman"/>
          <w:b/>
          <w:color w:val="000000" w:themeColor="text1"/>
        </w:rPr>
        <w:t>3</w:t>
      </w:r>
      <w:r w:rsidR="00442A03" w:rsidRPr="009B665D">
        <w:rPr>
          <w:rFonts w:asciiTheme="majorHAnsi" w:hAnsiTheme="majorHAnsi" w:cs="Times New Roman"/>
          <w:b/>
          <w:color w:val="000000" w:themeColor="text1"/>
        </w:rPr>
        <w:t>.</w:t>
      </w:r>
      <w:r w:rsidR="00442A03" w:rsidRPr="009B665D">
        <w:rPr>
          <w:rFonts w:asciiTheme="majorHAnsi" w:hAnsiTheme="majorHAnsi" w:cs="Times New Roman"/>
          <w:b/>
          <w:color w:val="000000" w:themeColor="text1"/>
        </w:rPr>
        <w:tab/>
      </w:r>
      <w:r w:rsidR="0006190B" w:rsidRPr="009B665D">
        <w:rPr>
          <w:rFonts w:asciiTheme="majorHAnsi" w:hAnsiTheme="majorHAnsi" w:cs="Times New Roman"/>
          <w:b/>
          <w:color w:val="000000" w:themeColor="text1"/>
        </w:rPr>
        <w:t>I</w:t>
      </w:r>
      <w:r w:rsidR="00AE5BF7" w:rsidRPr="009B665D">
        <w:rPr>
          <w:rFonts w:asciiTheme="majorHAnsi" w:hAnsiTheme="majorHAnsi" w:cs="Times New Roman"/>
          <w:b/>
          <w:color w:val="000000" w:themeColor="text1"/>
        </w:rPr>
        <w:t>nfo</w:t>
      </w:r>
      <w:r w:rsidR="0008092B" w:rsidRPr="009B665D">
        <w:rPr>
          <w:rFonts w:asciiTheme="majorHAnsi" w:hAnsiTheme="majorHAnsi" w:cs="Times New Roman"/>
          <w:b/>
          <w:color w:val="000000" w:themeColor="text1"/>
        </w:rPr>
        <w:t>rmation, knowledge and learning about nutrition</w:t>
      </w:r>
    </w:p>
    <w:p w:rsidR="00AE5BF7" w:rsidRPr="009B665D" w:rsidRDefault="00AE5BF7" w:rsidP="00DB763C">
      <w:pPr>
        <w:jc w:val="both"/>
        <w:rPr>
          <w:rFonts w:asciiTheme="majorHAnsi" w:hAnsiTheme="majorHAnsi" w:cs="Times New Roman"/>
          <w:color w:val="000000" w:themeColor="text1"/>
        </w:rPr>
      </w:pPr>
    </w:p>
    <w:p w:rsidR="00F93EBB" w:rsidRPr="009B665D" w:rsidRDefault="00F93EBB" w:rsidP="00DB763C">
      <w:pPr>
        <w:pStyle w:val="ListParagraph"/>
        <w:numPr>
          <w:ilvl w:val="0"/>
          <w:numId w:val="5"/>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Despite some limitations to the data and modelling of the economic consequences and benefits of malnutrition/improved nutrition, there is recognition that the findings provide compelling arguments on the potential return of investment in nutrition that could be very influential at higher political levels</w:t>
      </w:r>
    </w:p>
    <w:p w:rsidR="0063177E" w:rsidRPr="009B665D" w:rsidRDefault="00F93EBB" w:rsidP="00DB763C">
      <w:pPr>
        <w:pStyle w:val="ListParagraph"/>
        <w:numPr>
          <w:ilvl w:val="0"/>
          <w:numId w:val="5"/>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 More consistent and quality data at sub-national and national level is critical</w:t>
      </w:r>
    </w:p>
    <w:p w:rsidR="00F93EBB" w:rsidRPr="009B665D" w:rsidRDefault="00F93EBB" w:rsidP="00DB763C">
      <w:pPr>
        <w:pStyle w:val="ListParagraph"/>
        <w:numPr>
          <w:ilvl w:val="0"/>
          <w:numId w:val="5"/>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Significant gaps remain on measuring individual quality of diet, on diet-related NCDs and other forms of micro-nutrient deficiencies (in addition to iron-deficien</w:t>
      </w:r>
      <w:r w:rsidR="009337BC">
        <w:rPr>
          <w:rFonts w:asciiTheme="majorHAnsi" w:hAnsiTheme="majorHAnsi" w:cs="Times New Roman"/>
          <w:color w:val="000000" w:themeColor="text1"/>
        </w:rPr>
        <w:t>cy</w:t>
      </w:r>
      <w:r w:rsidRPr="009B665D">
        <w:rPr>
          <w:rFonts w:asciiTheme="majorHAnsi" w:hAnsiTheme="majorHAnsi" w:cs="Times New Roman"/>
          <w:color w:val="000000" w:themeColor="text1"/>
        </w:rPr>
        <w:t xml:space="preserve"> anaemia)</w:t>
      </w:r>
    </w:p>
    <w:p w:rsidR="00F93EBB" w:rsidRPr="009B665D" w:rsidRDefault="000C4555" w:rsidP="00DB763C">
      <w:pPr>
        <w:pStyle w:val="ListParagraph"/>
        <w:numPr>
          <w:ilvl w:val="0"/>
          <w:numId w:val="5"/>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Need to </w:t>
      </w:r>
      <w:r w:rsidRPr="009B665D">
        <w:rPr>
          <w:rFonts w:asciiTheme="majorHAnsi" w:hAnsiTheme="majorHAnsi" w:cs="Times New Roman"/>
          <w:color w:val="000000" w:themeColor="text1"/>
          <w:u w:val="single"/>
        </w:rPr>
        <w:t>build capacities</w:t>
      </w:r>
      <w:r w:rsidR="00F93EBB" w:rsidRPr="009B665D">
        <w:rPr>
          <w:rFonts w:asciiTheme="majorHAnsi" w:hAnsiTheme="majorHAnsi" w:cs="Times New Roman"/>
          <w:color w:val="000000" w:themeColor="text1"/>
          <w:u w:val="single"/>
        </w:rPr>
        <w:t xml:space="preserve"> at national and sub-national level</w:t>
      </w:r>
      <w:r w:rsidRPr="009B665D">
        <w:rPr>
          <w:rFonts w:asciiTheme="majorHAnsi" w:hAnsiTheme="majorHAnsi" w:cs="Times New Roman"/>
          <w:color w:val="000000" w:themeColor="text1"/>
        </w:rPr>
        <w:t xml:space="preserve"> to deliver on data collection, analysis and then </w:t>
      </w:r>
      <w:r w:rsidRPr="009B665D">
        <w:rPr>
          <w:rFonts w:asciiTheme="majorHAnsi" w:hAnsiTheme="majorHAnsi" w:cs="Times New Roman"/>
          <w:color w:val="000000" w:themeColor="text1"/>
          <w:u w:val="single"/>
        </w:rPr>
        <w:t>utilisation of this information</w:t>
      </w:r>
      <w:r w:rsidRPr="009B665D">
        <w:rPr>
          <w:rFonts w:asciiTheme="majorHAnsi" w:hAnsiTheme="majorHAnsi" w:cs="Times New Roman"/>
          <w:color w:val="000000" w:themeColor="text1"/>
        </w:rPr>
        <w:t xml:space="preserve"> for planning and programming purposes</w:t>
      </w:r>
    </w:p>
    <w:p w:rsidR="00C25D0F" w:rsidRPr="009B665D" w:rsidRDefault="00C25D0F" w:rsidP="00DB763C">
      <w:pPr>
        <w:pStyle w:val="ListParagraph"/>
        <w:numPr>
          <w:ilvl w:val="0"/>
          <w:numId w:val="5"/>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the MEAL dashboard </w:t>
      </w:r>
      <w:r w:rsidR="000C4555" w:rsidRPr="009B665D">
        <w:rPr>
          <w:rFonts w:asciiTheme="majorHAnsi" w:hAnsiTheme="majorHAnsi" w:cs="Times New Roman"/>
          <w:color w:val="000000" w:themeColor="text1"/>
        </w:rPr>
        <w:t xml:space="preserve">needs to be better adapted </w:t>
      </w:r>
      <w:r w:rsidRPr="009B665D">
        <w:rPr>
          <w:rFonts w:asciiTheme="majorHAnsi" w:hAnsiTheme="majorHAnsi" w:cs="Times New Roman"/>
          <w:color w:val="000000" w:themeColor="text1"/>
        </w:rPr>
        <w:t>to meet country needs</w:t>
      </w:r>
    </w:p>
    <w:p w:rsidR="000C4555" w:rsidRPr="009B665D" w:rsidRDefault="000C4555" w:rsidP="00DB763C">
      <w:pPr>
        <w:pStyle w:val="ListParagraph"/>
        <w:numPr>
          <w:ilvl w:val="0"/>
          <w:numId w:val="5"/>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Nutrition-sensitive interventions must clearly define the impact pathway through which they aim to achieve their objectives to ensure more effective</w:t>
      </w:r>
      <w:r w:rsidR="004C3D96" w:rsidRPr="009B665D">
        <w:rPr>
          <w:rFonts w:asciiTheme="majorHAnsi" w:hAnsiTheme="majorHAnsi" w:cs="Times New Roman"/>
          <w:color w:val="000000" w:themeColor="text1"/>
        </w:rPr>
        <w:t xml:space="preserve"> monitoring, learning and assessment of impact</w:t>
      </w:r>
    </w:p>
    <w:p w:rsidR="004C3D96" w:rsidRPr="009B665D" w:rsidRDefault="004C3D96" w:rsidP="00DB763C">
      <w:pPr>
        <w:pStyle w:val="ListParagraph"/>
        <w:numPr>
          <w:ilvl w:val="0"/>
          <w:numId w:val="5"/>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 xml:space="preserve">Generate documented evidence of the impact that nutrition-sensitive interventions can achieve to demonstrate </w:t>
      </w:r>
      <w:r w:rsidR="00EC5D43" w:rsidRPr="009B665D">
        <w:rPr>
          <w:rFonts w:asciiTheme="majorHAnsi" w:hAnsiTheme="majorHAnsi" w:cs="Times New Roman"/>
          <w:color w:val="000000" w:themeColor="text1"/>
        </w:rPr>
        <w:t>relevance and effectiveness in different contexts</w:t>
      </w:r>
    </w:p>
    <w:p w:rsidR="00B90376" w:rsidRPr="009B665D" w:rsidRDefault="008A2819" w:rsidP="00DB763C">
      <w:pPr>
        <w:pStyle w:val="ListParagraph"/>
        <w:numPr>
          <w:ilvl w:val="0"/>
          <w:numId w:val="5"/>
        </w:numPr>
        <w:jc w:val="both"/>
        <w:rPr>
          <w:rFonts w:asciiTheme="majorHAnsi" w:hAnsiTheme="majorHAnsi" w:cs="Times New Roman"/>
          <w:color w:val="000000" w:themeColor="text1"/>
        </w:rPr>
      </w:pPr>
      <w:r w:rsidRPr="009B665D">
        <w:rPr>
          <w:rFonts w:asciiTheme="majorHAnsi" w:hAnsiTheme="majorHAnsi" w:cs="Times New Roman"/>
          <w:color w:val="000000" w:themeColor="text1"/>
        </w:rPr>
        <w:t>There is a n</w:t>
      </w:r>
      <w:r w:rsidR="000C4555" w:rsidRPr="009B665D">
        <w:rPr>
          <w:rFonts w:asciiTheme="majorHAnsi" w:hAnsiTheme="majorHAnsi" w:cs="Times New Roman"/>
          <w:color w:val="000000" w:themeColor="text1"/>
        </w:rPr>
        <w:t>eed to draw on appropriate local and international expertise to achieve quality results</w:t>
      </w:r>
    </w:p>
    <w:p w:rsidR="0082150D" w:rsidRDefault="0082150D" w:rsidP="00DB763C">
      <w:pPr>
        <w:jc w:val="both"/>
        <w:rPr>
          <w:rFonts w:asciiTheme="majorHAnsi" w:hAnsiTheme="majorHAnsi" w:cs="Times New Roman"/>
          <w:color w:val="000000" w:themeColor="text1"/>
          <w:lang w:val="en-US"/>
        </w:rPr>
      </w:pPr>
    </w:p>
    <w:p w:rsidR="0082150D" w:rsidRPr="009B665D" w:rsidRDefault="0082150D" w:rsidP="00DB763C">
      <w:pPr>
        <w:jc w:val="both"/>
        <w:rPr>
          <w:rFonts w:asciiTheme="majorHAnsi" w:hAnsiTheme="majorHAnsi" w:cs="Times New Roman"/>
          <w:b/>
          <w:color w:val="000000" w:themeColor="text1"/>
        </w:rPr>
      </w:pPr>
      <w:r>
        <w:rPr>
          <w:rFonts w:asciiTheme="majorHAnsi" w:hAnsiTheme="majorHAnsi" w:cs="Times New Roman"/>
          <w:b/>
          <w:color w:val="000000" w:themeColor="text1"/>
        </w:rPr>
        <w:t>4</w:t>
      </w:r>
      <w:r w:rsidRPr="009B665D">
        <w:rPr>
          <w:rFonts w:asciiTheme="majorHAnsi" w:hAnsiTheme="majorHAnsi" w:cs="Times New Roman"/>
          <w:b/>
          <w:color w:val="000000" w:themeColor="text1"/>
        </w:rPr>
        <w:t>.</w:t>
      </w:r>
      <w:r w:rsidRPr="009B665D">
        <w:rPr>
          <w:rFonts w:asciiTheme="majorHAnsi" w:hAnsiTheme="majorHAnsi" w:cs="Times New Roman"/>
          <w:b/>
          <w:color w:val="000000" w:themeColor="text1"/>
        </w:rPr>
        <w:tab/>
      </w:r>
      <w:r>
        <w:rPr>
          <w:rFonts w:asciiTheme="majorHAnsi" w:hAnsiTheme="majorHAnsi" w:cs="Times New Roman"/>
          <w:b/>
          <w:color w:val="000000" w:themeColor="text1"/>
        </w:rPr>
        <w:t>Looking to the Future</w:t>
      </w:r>
    </w:p>
    <w:p w:rsidR="0082150D" w:rsidRDefault="0082150D" w:rsidP="00DB763C">
      <w:pPr>
        <w:jc w:val="both"/>
        <w:rPr>
          <w:rFonts w:asciiTheme="majorHAnsi" w:hAnsiTheme="majorHAnsi" w:cs="Times New Roman"/>
          <w:color w:val="000000" w:themeColor="text1"/>
          <w:lang w:val="en-US"/>
        </w:rPr>
      </w:pPr>
    </w:p>
    <w:p w:rsidR="00716D97" w:rsidRDefault="00716D97" w:rsidP="00DB763C">
      <w:pPr>
        <w:pStyle w:val="ListParagraph"/>
        <w:numPr>
          <w:ilvl w:val="0"/>
          <w:numId w:val="12"/>
        </w:numPr>
        <w:ind w:left="426"/>
        <w:jc w:val="both"/>
        <w:rPr>
          <w:rFonts w:asciiTheme="majorHAnsi" w:hAnsiTheme="majorHAnsi" w:cs="Times New Roman"/>
          <w:color w:val="000000" w:themeColor="text1"/>
          <w:lang w:val="en-US"/>
        </w:rPr>
      </w:pPr>
      <w:r w:rsidRPr="00716D97">
        <w:rPr>
          <w:rFonts w:asciiTheme="majorHAnsi" w:hAnsiTheme="majorHAnsi" w:cs="Times New Roman"/>
          <w:color w:val="000000" w:themeColor="text1"/>
          <w:lang w:val="en-US"/>
        </w:rPr>
        <w:t xml:space="preserve">The meeting helps to begin paving a nutrition roadmap for the Commission’s work in years to come – particularly to frame efforts for the next programming cycle from 2020. This will be elaborated in close cooperation with the EC’s partners; and it will be informed by a mid-term review of </w:t>
      </w:r>
      <w:r>
        <w:rPr>
          <w:rFonts w:asciiTheme="majorHAnsi" w:hAnsiTheme="majorHAnsi" w:cs="Times New Roman"/>
          <w:color w:val="000000" w:themeColor="text1"/>
          <w:lang w:val="en-US"/>
        </w:rPr>
        <w:t>the</w:t>
      </w:r>
      <w:r w:rsidRPr="00716D97">
        <w:rPr>
          <w:rFonts w:asciiTheme="majorHAnsi" w:hAnsiTheme="majorHAnsi" w:cs="Times New Roman"/>
          <w:color w:val="000000" w:themeColor="text1"/>
          <w:lang w:val="en-US"/>
        </w:rPr>
        <w:t xml:space="preserve"> Action Plan on Nutrition </w:t>
      </w:r>
      <w:r>
        <w:rPr>
          <w:rFonts w:asciiTheme="majorHAnsi" w:hAnsiTheme="majorHAnsi" w:cs="Times New Roman"/>
          <w:color w:val="000000" w:themeColor="text1"/>
          <w:lang w:val="en-US"/>
        </w:rPr>
        <w:t xml:space="preserve">which will be launched </w:t>
      </w:r>
      <w:r w:rsidRPr="00716D97">
        <w:rPr>
          <w:rFonts w:asciiTheme="majorHAnsi" w:hAnsiTheme="majorHAnsi" w:cs="Times New Roman"/>
          <w:color w:val="000000" w:themeColor="text1"/>
          <w:lang w:val="en-US"/>
        </w:rPr>
        <w:t xml:space="preserve">later this year. </w:t>
      </w:r>
    </w:p>
    <w:p w:rsidR="00716D97" w:rsidRPr="00716D97" w:rsidRDefault="00716D97" w:rsidP="00DB763C">
      <w:pPr>
        <w:pStyle w:val="ListParagraph"/>
        <w:numPr>
          <w:ilvl w:val="0"/>
          <w:numId w:val="12"/>
        </w:numPr>
        <w:ind w:left="426"/>
        <w:jc w:val="both"/>
        <w:rPr>
          <w:rFonts w:asciiTheme="majorHAnsi" w:hAnsiTheme="majorHAnsi" w:cs="Times New Roman"/>
          <w:color w:val="000000" w:themeColor="text1"/>
          <w:lang w:val="en-US"/>
        </w:rPr>
      </w:pPr>
      <w:r w:rsidRPr="00716D97">
        <w:rPr>
          <w:rFonts w:asciiTheme="majorHAnsi" w:hAnsiTheme="majorHAnsi" w:cs="Times New Roman"/>
          <w:color w:val="000000" w:themeColor="text1"/>
          <w:lang w:val="en-US"/>
        </w:rPr>
        <w:t xml:space="preserve">This roadmap may </w:t>
      </w:r>
      <w:r>
        <w:rPr>
          <w:rFonts w:asciiTheme="majorHAnsi" w:hAnsiTheme="majorHAnsi" w:cs="Times New Roman"/>
          <w:color w:val="000000" w:themeColor="text1"/>
          <w:lang w:val="en-US"/>
        </w:rPr>
        <w:t>require</w:t>
      </w:r>
      <w:r w:rsidRPr="00716D97">
        <w:rPr>
          <w:rFonts w:asciiTheme="majorHAnsi" w:hAnsiTheme="majorHAnsi" w:cs="Times New Roman"/>
          <w:color w:val="000000" w:themeColor="text1"/>
          <w:lang w:val="en-US"/>
        </w:rPr>
        <w:t xml:space="preserve"> a review of the EU’s policy framework for nutrition, </w:t>
      </w:r>
      <w:r>
        <w:rPr>
          <w:rFonts w:asciiTheme="majorHAnsi" w:hAnsiTheme="majorHAnsi" w:cs="Times New Roman"/>
          <w:color w:val="000000" w:themeColor="text1"/>
          <w:lang w:val="en-US"/>
        </w:rPr>
        <w:t xml:space="preserve">to </w:t>
      </w:r>
      <w:r w:rsidRPr="00716D97">
        <w:rPr>
          <w:rFonts w:asciiTheme="majorHAnsi" w:hAnsiTheme="majorHAnsi" w:cs="Times New Roman"/>
          <w:color w:val="000000" w:themeColor="text1"/>
          <w:lang w:val="en-US"/>
        </w:rPr>
        <w:t>ensur</w:t>
      </w:r>
      <w:r>
        <w:rPr>
          <w:rFonts w:asciiTheme="majorHAnsi" w:hAnsiTheme="majorHAnsi" w:cs="Times New Roman"/>
          <w:color w:val="000000" w:themeColor="text1"/>
          <w:lang w:val="en-US"/>
        </w:rPr>
        <w:t>e</w:t>
      </w:r>
      <w:r w:rsidRPr="00716D97">
        <w:rPr>
          <w:rFonts w:asciiTheme="majorHAnsi" w:hAnsiTheme="majorHAnsi" w:cs="Times New Roman"/>
          <w:color w:val="000000" w:themeColor="text1"/>
          <w:lang w:val="en-US"/>
        </w:rPr>
        <w:t xml:space="preserve"> that it provides a solid cornerstone f</w:t>
      </w:r>
      <w:r>
        <w:rPr>
          <w:rFonts w:asciiTheme="majorHAnsi" w:hAnsiTheme="majorHAnsi" w:cs="Times New Roman"/>
          <w:color w:val="000000" w:themeColor="text1"/>
          <w:lang w:val="en-US"/>
        </w:rPr>
        <w:t>or the EC’s c</w:t>
      </w:r>
      <w:r w:rsidRPr="00716D97">
        <w:rPr>
          <w:rFonts w:asciiTheme="majorHAnsi" w:hAnsiTheme="majorHAnsi" w:cs="Times New Roman"/>
          <w:color w:val="000000" w:themeColor="text1"/>
          <w:lang w:val="en-US"/>
        </w:rPr>
        <w:t xml:space="preserve">ooperation and development agenda post 2020. </w:t>
      </w:r>
      <w:r>
        <w:rPr>
          <w:rFonts w:asciiTheme="majorHAnsi" w:hAnsiTheme="majorHAnsi" w:cs="Times New Roman"/>
          <w:color w:val="000000" w:themeColor="text1"/>
          <w:lang w:val="en-US"/>
        </w:rPr>
        <w:t xml:space="preserve">This will </w:t>
      </w:r>
      <w:r w:rsidR="009337BC">
        <w:rPr>
          <w:rFonts w:asciiTheme="majorHAnsi" w:hAnsiTheme="majorHAnsi" w:cs="Times New Roman"/>
          <w:color w:val="000000" w:themeColor="text1"/>
          <w:lang w:val="en-US"/>
        </w:rPr>
        <w:t>necessitate</w:t>
      </w:r>
      <w:r>
        <w:rPr>
          <w:rFonts w:asciiTheme="majorHAnsi" w:hAnsiTheme="majorHAnsi" w:cs="Times New Roman"/>
          <w:color w:val="000000" w:themeColor="text1"/>
          <w:lang w:val="en-US"/>
        </w:rPr>
        <w:t xml:space="preserve"> </w:t>
      </w:r>
      <w:r w:rsidR="009337BC">
        <w:rPr>
          <w:rFonts w:asciiTheme="majorHAnsi" w:hAnsiTheme="majorHAnsi" w:cs="Times New Roman"/>
          <w:color w:val="000000" w:themeColor="text1"/>
          <w:lang w:val="en-US"/>
        </w:rPr>
        <w:t xml:space="preserve">the </w:t>
      </w:r>
      <w:r>
        <w:rPr>
          <w:rFonts w:asciiTheme="majorHAnsi" w:hAnsiTheme="majorHAnsi" w:cs="Times New Roman"/>
          <w:color w:val="000000" w:themeColor="text1"/>
          <w:lang w:val="en-US"/>
        </w:rPr>
        <w:t xml:space="preserve">close </w:t>
      </w:r>
      <w:r w:rsidR="009337BC">
        <w:rPr>
          <w:rFonts w:asciiTheme="majorHAnsi" w:hAnsiTheme="majorHAnsi" w:cs="Times New Roman"/>
          <w:color w:val="000000" w:themeColor="text1"/>
          <w:lang w:val="en-US"/>
        </w:rPr>
        <w:t>involvement of</w:t>
      </w:r>
      <w:r w:rsidRPr="00716D97">
        <w:rPr>
          <w:rFonts w:asciiTheme="majorHAnsi" w:hAnsiTheme="majorHAnsi" w:cs="Times New Roman"/>
          <w:color w:val="000000" w:themeColor="text1"/>
          <w:lang w:val="en-US"/>
        </w:rPr>
        <w:t xml:space="preserve"> colleagues in delegations, counterparts in partner countries, and the voice of civil society. It will need to be a global exercise, founded on local experiences. </w:t>
      </w:r>
    </w:p>
    <w:sectPr w:rsidR="00716D97" w:rsidRPr="00716D97" w:rsidSect="00C43894">
      <w:pgSz w:w="11900" w:h="16840"/>
      <w:pgMar w:top="1134" w:right="907" w:bottom="907" w:left="1134"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B67" w:rsidRDefault="00B24B67" w:rsidP="00A55288">
      <w:r>
        <w:separator/>
      </w:r>
    </w:p>
  </w:endnote>
  <w:endnote w:type="continuationSeparator" w:id="0">
    <w:p w:rsidR="00B24B67" w:rsidRDefault="00B24B67" w:rsidP="00A5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B67" w:rsidRDefault="00B24B67" w:rsidP="00A55288">
      <w:r>
        <w:separator/>
      </w:r>
    </w:p>
  </w:footnote>
  <w:footnote w:type="continuationSeparator" w:id="0">
    <w:p w:rsidR="00B24B67" w:rsidRDefault="00B24B67" w:rsidP="00A55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763"/>
    <w:multiLevelType w:val="hybridMultilevel"/>
    <w:tmpl w:val="0678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7301F5"/>
    <w:multiLevelType w:val="hybridMultilevel"/>
    <w:tmpl w:val="A4E8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E7826"/>
    <w:multiLevelType w:val="hybridMultilevel"/>
    <w:tmpl w:val="3078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C0090"/>
    <w:multiLevelType w:val="multilevel"/>
    <w:tmpl w:val="A27E5EC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
    <w:nsid w:val="3A69183A"/>
    <w:multiLevelType w:val="hybridMultilevel"/>
    <w:tmpl w:val="1DCEE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5C397E"/>
    <w:multiLevelType w:val="hybridMultilevel"/>
    <w:tmpl w:val="CF929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784DEC"/>
    <w:multiLevelType w:val="hybridMultilevel"/>
    <w:tmpl w:val="54164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FBD52D2"/>
    <w:multiLevelType w:val="hybridMultilevel"/>
    <w:tmpl w:val="23DAB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D095CEB"/>
    <w:multiLevelType w:val="hybridMultilevel"/>
    <w:tmpl w:val="E8582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39476B6"/>
    <w:multiLevelType w:val="hybridMultilevel"/>
    <w:tmpl w:val="F9F48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5E709D5"/>
    <w:multiLevelType w:val="hybridMultilevel"/>
    <w:tmpl w:val="E902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F81761"/>
    <w:multiLevelType w:val="hybridMultilevel"/>
    <w:tmpl w:val="52FC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1"/>
  </w:num>
  <w:num w:numId="5">
    <w:abstractNumId w:val="8"/>
  </w:num>
  <w:num w:numId="6">
    <w:abstractNumId w:val="9"/>
  </w:num>
  <w:num w:numId="7">
    <w:abstractNumId w:val="5"/>
  </w:num>
  <w:num w:numId="8">
    <w:abstractNumId w:val="4"/>
  </w:num>
  <w:num w:numId="9">
    <w:abstractNumId w:val="0"/>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288"/>
    <w:rsid w:val="00002F18"/>
    <w:rsid w:val="0006190B"/>
    <w:rsid w:val="0008092B"/>
    <w:rsid w:val="000A79A7"/>
    <w:rsid w:val="000C4555"/>
    <w:rsid w:val="000D6241"/>
    <w:rsid w:val="000F75EF"/>
    <w:rsid w:val="00105A8C"/>
    <w:rsid w:val="00115627"/>
    <w:rsid w:val="00130875"/>
    <w:rsid w:val="00162630"/>
    <w:rsid w:val="0019696D"/>
    <w:rsid w:val="001A343A"/>
    <w:rsid w:val="001A59F5"/>
    <w:rsid w:val="001D0063"/>
    <w:rsid w:val="00205E8F"/>
    <w:rsid w:val="00231777"/>
    <w:rsid w:val="00256712"/>
    <w:rsid w:val="002577C2"/>
    <w:rsid w:val="00266785"/>
    <w:rsid w:val="00274EF9"/>
    <w:rsid w:val="002B693D"/>
    <w:rsid w:val="002C0887"/>
    <w:rsid w:val="002C4D82"/>
    <w:rsid w:val="00317EA1"/>
    <w:rsid w:val="00325C8D"/>
    <w:rsid w:val="00336FF8"/>
    <w:rsid w:val="0033760F"/>
    <w:rsid w:val="003A1423"/>
    <w:rsid w:val="003A7300"/>
    <w:rsid w:val="003C1E8E"/>
    <w:rsid w:val="004218C0"/>
    <w:rsid w:val="0042604B"/>
    <w:rsid w:val="00435781"/>
    <w:rsid w:val="00442A03"/>
    <w:rsid w:val="00456E71"/>
    <w:rsid w:val="00461BCC"/>
    <w:rsid w:val="0048184C"/>
    <w:rsid w:val="00484762"/>
    <w:rsid w:val="004C3D96"/>
    <w:rsid w:val="00503079"/>
    <w:rsid w:val="005174A7"/>
    <w:rsid w:val="005515B4"/>
    <w:rsid w:val="005B296B"/>
    <w:rsid w:val="005C0DAF"/>
    <w:rsid w:val="005D2578"/>
    <w:rsid w:val="005D2D60"/>
    <w:rsid w:val="005D37FC"/>
    <w:rsid w:val="005E1332"/>
    <w:rsid w:val="0063177E"/>
    <w:rsid w:val="00632AD0"/>
    <w:rsid w:val="00647375"/>
    <w:rsid w:val="00692069"/>
    <w:rsid w:val="0069534F"/>
    <w:rsid w:val="00696E32"/>
    <w:rsid w:val="006B3ACC"/>
    <w:rsid w:val="006D016D"/>
    <w:rsid w:val="006D7D5E"/>
    <w:rsid w:val="00716D97"/>
    <w:rsid w:val="00733D67"/>
    <w:rsid w:val="00786AAE"/>
    <w:rsid w:val="00795698"/>
    <w:rsid w:val="007A6990"/>
    <w:rsid w:val="007C1DB6"/>
    <w:rsid w:val="007C6604"/>
    <w:rsid w:val="007D60F5"/>
    <w:rsid w:val="007E42C0"/>
    <w:rsid w:val="007F040D"/>
    <w:rsid w:val="007F4472"/>
    <w:rsid w:val="00800EB4"/>
    <w:rsid w:val="0081186C"/>
    <w:rsid w:val="00815047"/>
    <w:rsid w:val="00816897"/>
    <w:rsid w:val="0082150D"/>
    <w:rsid w:val="00843F32"/>
    <w:rsid w:val="00882A22"/>
    <w:rsid w:val="008A2534"/>
    <w:rsid w:val="008A2819"/>
    <w:rsid w:val="008A7869"/>
    <w:rsid w:val="008C7496"/>
    <w:rsid w:val="008E23A2"/>
    <w:rsid w:val="009102F0"/>
    <w:rsid w:val="00914275"/>
    <w:rsid w:val="00914923"/>
    <w:rsid w:val="009337BC"/>
    <w:rsid w:val="0096289A"/>
    <w:rsid w:val="009B665D"/>
    <w:rsid w:val="00A067DE"/>
    <w:rsid w:val="00A104BC"/>
    <w:rsid w:val="00A15D0B"/>
    <w:rsid w:val="00A22E03"/>
    <w:rsid w:val="00A30374"/>
    <w:rsid w:val="00A543CB"/>
    <w:rsid w:val="00A55288"/>
    <w:rsid w:val="00AA4572"/>
    <w:rsid w:val="00AB34A8"/>
    <w:rsid w:val="00AC1933"/>
    <w:rsid w:val="00AC5963"/>
    <w:rsid w:val="00AC620C"/>
    <w:rsid w:val="00AE0067"/>
    <w:rsid w:val="00AE5BF7"/>
    <w:rsid w:val="00B24B67"/>
    <w:rsid w:val="00B24D26"/>
    <w:rsid w:val="00B279D5"/>
    <w:rsid w:val="00B90376"/>
    <w:rsid w:val="00B92D4C"/>
    <w:rsid w:val="00B953E5"/>
    <w:rsid w:val="00BD018A"/>
    <w:rsid w:val="00BE5A74"/>
    <w:rsid w:val="00C01F76"/>
    <w:rsid w:val="00C02B32"/>
    <w:rsid w:val="00C25D0F"/>
    <w:rsid w:val="00C35AB3"/>
    <w:rsid w:val="00C3726D"/>
    <w:rsid w:val="00C43894"/>
    <w:rsid w:val="00C6473B"/>
    <w:rsid w:val="00C755CD"/>
    <w:rsid w:val="00CA1AAE"/>
    <w:rsid w:val="00CB5C23"/>
    <w:rsid w:val="00CC506C"/>
    <w:rsid w:val="00CC6525"/>
    <w:rsid w:val="00CE1F10"/>
    <w:rsid w:val="00D14385"/>
    <w:rsid w:val="00D41350"/>
    <w:rsid w:val="00D62AFF"/>
    <w:rsid w:val="00DB763C"/>
    <w:rsid w:val="00DC75EE"/>
    <w:rsid w:val="00E31892"/>
    <w:rsid w:val="00E53F45"/>
    <w:rsid w:val="00E83B59"/>
    <w:rsid w:val="00E936F4"/>
    <w:rsid w:val="00EC5D43"/>
    <w:rsid w:val="00ED4A20"/>
    <w:rsid w:val="00F32ABC"/>
    <w:rsid w:val="00F3323F"/>
    <w:rsid w:val="00F93EBB"/>
    <w:rsid w:val="00FA7161"/>
    <w:rsid w:val="00FB55EA"/>
    <w:rsid w:val="00FD7F59"/>
    <w:rsid w:val="00FF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5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55EA"/>
    <w:rPr>
      <w:rFonts w:ascii="Lucida Grande" w:hAnsi="Lucida Grande" w:cs="Lucida Grande"/>
      <w:sz w:val="18"/>
      <w:szCs w:val="18"/>
      <w:lang w:val="en-GB"/>
    </w:rPr>
  </w:style>
  <w:style w:type="paragraph" w:styleId="FootnoteText">
    <w:name w:val="footnote text"/>
    <w:basedOn w:val="Normal"/>
    <w:link w:val="FootnoteTextChar"/>
    <w:uiPriority w:val="99"/>
    <w:unhideWhenUsed/>
    <w:rsid w:val="00A55288"/>
  </w:style>
  <w:style w:type="character" w:customStyle="1" w:styleId="FootnoteTextChar">
    <w:name w:val="Footnote Text Char"/>
    <w:basedOn w:val="DefaultParagraphFont"/>
    <w:link w:val="FootnoteText"/>
    <w:uiPriority w:val="99"/>
    <w:rsid w:val="00A55288"/>
    <w:rPr>
      <w:lang w:val="en-GB"/>
    </w:rPr>
  </w:style>
  <w:style w:type="character" w:styleId="FootnoteReference">
    <w:name w:val="footnote reference"/>
    <w:aliases w:val="Footnote symbol"/>
    <w:basedOn w:val="DefaultParagraphFont"/>
    <w:uiPriority w:val="99"/>
    <w:unhideWhenUsed/>
    <w:rsid w:val="00A55288"/>
    <w:rPr>
      <w:vertAlign w:val="superscript"/>
    </w:rPr>
  </w:style>
  <w:style w:type="character" w:styleId="Hyperlink">
    <w:name w:val="Hyperlink"/>
    <w:basedOn w:val="DefaultParagraphFont"/>
    <w:uiPriority w:val="99"/>
    <w:unhideWhenUsed/>
    <w:rsid w:val="00AA4572"/>
    <w:rPr>
      <w:color w:val="0000FF" w:themeColor="hyperlink"/>
      <w:u w:val="single"/>
    </w:rPr>
  </w:style>
  <w:style w:type="character" w:styleId="Emphasis">
    <w:name w:val="Emphasis"/>
    <w:basedOn w:val="DefaultParagraphFont"/>
    <w:uiPriority w:val="20"/>
    <w:qFormat/>
    <w:rsid w:val="00795698"/>
    <w:rPr>
      <w:i/>
      <w:iCs/>
    </w:rPr>
  </w:style>
  <w:style w:type="paragraph" w:styleId="ListParagraph">
    <w:name w:val="List Paragraph"/>
    <w:basedOn w:val="Normal"/>
    <w:uiPriority w:val="34"/>
    <w:qFormat/>
    <w:rsid w:val="00795698"/>
    <w:pPr>
      <w:ind w:left="720"/>
      <w:contextualSpacing/>
    </w:pPr>
  </w:style>
  <w:style w:type="character" w:styleId="CommentReference">
    <w:name w:val="annotation reference"/>
    <w:basedOn w:val="DefaultParagraphFont"/>
    <w:uiPriority w:val="99"/>
    <w:semiHidden/>
    <w:unhideWhenUsed/>
    <w:rsid w:val="00B92D4C"/>
    <w:rPr>
      <w:sz w:val="18"/>
      <w:szCs w:val="18"/>
    </w:rPr>
  </w:style>
  <w:style w:type="paragraph" w:styleId="CommentText">
    <w:name w:val="annotation text"/>
    <w:basedOn w:val="Normal"/>
    <w:link w:val="CommentTextChar"/>
    <w:uiPriority w:val="99"/>
    <w:semiHidden/>
    <w:unhideWhenUsed/>
    <w:rsid w:val="00B92D4C"/>
  </w:style>
  <w:style w:type="character" w:customStyle="1" w:styleId="CommentTextChar">
    <w:name w:val="Comment Text Char"/>
    <w:basedOn w:val="DefaultParagraphFont"/>
    <w:link w:val="CommentText"/>
    <w:uiPriority w:val="99"/>
    <w:semiHidden/>
    <w:rsid w:val="00B92D4C"/>
    <w:rPr>
      <w:lang w:val="en-GB"/>
    </w:rPr>
  </w:style>
  <w:style w:type="paragraph" w:styleId="CommentSubject">
    <w:name w:val="annotation subject"/>
    <w:basedOn w:val="CommentText"/>
    <w:next w:val="CommentText"/>
    <w:link w:val="CommentSubjectChar"/>
    <w:uiPriority w:val="99"/>
    <w:semiHidden/>
    <w:unhideWhenUsed/>
    <w:rsid w:val="00B92D4C"/>
    <w:rPr>
      <w:b/>
      <w:bCs/>
      <w:sz w:val="20"/>
      <w:szCs w:val="20"/>
    </w:rPr>
  </w:style>
  <w:style w:type="character" w:customStyle="1" w:styleId="CommentSubjectChar">
    <w:name w:val="Comment Subject Char"/>
    <w:basedOn w:val="CommentTextChar"/>
    <w:link w:val="CommentSubject"/>
    <w:uiPriority w:val="99"/>
    <w:semiHidden/>
    <w:rsid w:val="00B92D4C"/>
    <w:rPr>
      <w:b/>
      <w:bCs/>
      <w:sz w:val="20"/>
      <w:szCs w:val="20"/>
      <w:lang w:val="en-GB"/>
    </w:rPr>
  </w:style>
  <w:style w:type="table" w:styleId="TableGrid">
    <w:name w:val="Table Grid"/>
    <w:basedOn w:val="TableNormal"/>
    <w:uiPriority w:val="59"/>
    <w:rsid w:val="00816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5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55EA"/>
    <w:rPr>
      <w:rFonts w:ascii="Lucida Grande" w:hAnsi="Lucida Grande" w:cs="Lucida Grande"/>
      <w:sz w:val="18"/>
      <w:szCs w:val="18"/>
      <w:lang w:val="en-GB"/>
    </w:rPr>
  </w:style>
  <w:style w:type="paragraph" w:styleId="FootnoteText">
    <w:name w:val="footnote text"/>
    <w:basedOn w:val="Normal"/>
    <w:link w:val="FootnoteTextChar"/>
    <w:uiPriority w:val="99"/>
    <w:unhideWhenUsed/>
    <w:rsid w:val="00A55288"/>
  </w:style>
  <w:style w:type="character" w:customStyle="1" w:styleId="FootnoteTextChar">
    <w:name w:val="Footnote Text Char"/>
    <w:basedOn w:val="DefaultParagraphFont"/>
    <w:link w:val="FootnoteText"/>
    <w:uiPriority w:val="99"/>
    <w:rsid w:val="00A55288"/>
    <w:rPr>
      <w:lang w:val="en-GB"/>
    </w:rPr>
  </w:style>
  <w:style w:type="character" w:styleId="FootnoteReference">
    <w:name w:val="footnote reference"/>
    <w:aliases w:val="Footnote symbol"/>
    <w:basedOn w:val="DefaultParagraphFont"/>
    <w:uiPriority w:val="99"/>
    <w:unhideWhenUsed/>
    <w:rsid w:val="00A55288"/>
    <w:rPr>
      <w:vertAlign w:val="superscript"/>
    </w:rPr>
  </w:style>
  <w:style w:type="character" w:styleId="Hyperlink">
    <w:name w:val="Hyperlink"/>
    <w:basedOn w:val="DefaultParagraphFont"/>
    <w:uiPriority w:val="99"/>
    <w:unhideWhenUsed/>
    <w:rsid w:val="00AA4572"/>
    <w:rPr>
      <w:color w:val="0000FF" w:themeColor="hyperlink"/>
      <w:u w:val="single"/>
    </w:rPr>
  </w:style>
  <w:style w:type="character" w:styleId="Emphasis">
    <w:name w:val="Emphasis"/>
    <w:basedOn w:val="DefaultParagraphFont"/>
    <w:uiPriority w:val="20"/>
    <w:qFormat/>
    <w:rsid w:val="00795698"/>
    <w:rPr>
      <w:i/>
      <w:iCs/>
    </w:rPr>
  </w:style>
  <w:style w:type="paragraph" w:styleId="ListParagraph">
    <w:name w:val="List Paragraph"/>
    <w:basedOn w:val="Normal"/>
    <w:uiPriority w:val="34"/>
    <w:qFormat/>
    <w:rsid w:val="00795698"/>
    <w:pPr>
      <w:ind w:left="720"/>
      <w:contextualSpacing/>
    </w:pPr>
  </w:style>
  <w:style w:type="character" w:styleId="CommentReference">
    <w:name w:val="annotation reference"/>
    <w:basedOn w:val="DefaultParagraphFont"/>
    <w:uiPriority w:val="99"/>
    <w:semiHidden/>
    <w:unhideWhenUsed/>
    <w:rsid w:val="00B92D4C"/>
    <w:rPr>
      <w:sz w:val="18"/>
      <w:szCs w:val="18"/>
    </w:rPr>
  </w:style>
  <w:style w:type="paragraph" w:styleId="CommentText">
    <w:name w:val="annotation text"/>
    <w:basedOn w:val="Normal"/>
    <w:link w:val="CommentTextChar"/>
    <w:uiPriority w:val="99"/>
    <w:semiHidden/>
    <w:unhideWhenUsed/>
    <w:rsid w:val="00B92D4C"/>
  </w:style>
  <w:style w:type="character" w:customStyle="1" w:styleId="CommentTextChar">
    <w:name w:val="Comment Text Char"/>
    <w:basedOn w:val="DefaultParagraphFont"/>
    <w:link w:val="CommentText"/>
    <w:uiPriority w:val="99"/>
    <w:semiHidden/>
    <w:rsid w:val="00B92D4C"/>
    <w:rPr>
      <w:lang w:val="en-GB"/>
    </w:rPr>
  </w:style>
  <w:style w:type="paragraph" w:styleId="CommentSubject">
    <w:name w:val="annotation subject"/>
    <w:basedOn w:val="CommentText"/>
    <w:next w:val="CommentText"/>
    <w:link w:val="CommentSubjectChar"/>
    <w:uiPriority w:val="99"/>
    <w:semiHidden/>
    <w:unhideWhenUsed/>
    <w:rsid w:val="00B92D4C"/>
    <w:rPr>
      <w:b/>
      <w:bCs/>
      <w:sz w:val="20"/>
      <w:szCs w:val="20"/>
    </w:rPr>
  </w:style>
  <w:style w:type="character" w:customStyle="1" w:styleId="CommentSubjectChar">
    <w:name w:val="Comment Subject Char"/>
    <w:basedOn w:val="CommentTextChar"/>
    <w:link w:val="CommentSubject"/>
    <w:uiPriority w:val="99"/>
    <w:semiHidden/>
    <w:rsid w:val="00B92D4C"/>
    <w:rPr>
      <w:b/>
      <w:bCs/>
      <w:sz w:val="20"/>
      <w:szCs w:val="20"/>
      <w:lang w:val="en-GB"/>
    </w:rPr>
  </w:style>
  <w:style w:type="table" w:styleId="TableGrid">
    <w:name w:val="Table Grid"/>
    <w:basedOn w:val="TableNormal"/>
    <w:uiPriority w:val="59"/>
    <w:rsid w:val="00816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5301">
      <w:bodyDiv w:val="1"/>
      <w:marLeft w:val="0"/>
      <w:marRight w:val="0"/>
      <w:marTop w:val="0"/>
      <w:marBottom w:val="0"/>
      <w:divBdr>
        <w:top w:val="none" w:sz="0" w:space="0" w:color="auto"/>
        <w:left w:val="none" w:sz="0" w:space="0" w:color="auto"/>
        <w:bottom w:val="none" w:sz="0" w:space="0" w:color="auto"/>
        <w:right w:val="none" w:sz="0" w:space="0" w:color="auto"/>
      </w:divBdr>
    </w:div>
    <w:div w:id="703018563">
      <w:bodyDiv w:val="1"/>
      <w:marLeft w:val="0"/>
      <w:marRight w:val="0"/>
      <w:marTop w:val="0"/>
      <w:marBottom w:val="0"/>
      <w:divBdr>
        <w:top w:val="none" w:sz="0" w:space="0" w:color="auto"/>
        <w:left w:val="none" w:sz="0" w:space="0" w:color="auto"/>
        <w:bottom w:val="none" w:sz="0" w:space="0" w:color="auto"/>
        <w:right w:val="none" w:sz="0" w:space="0" w:color="auto"/>
      </w:divBdr>
    </w:div>
    <w:div w:id="1539781387">
      <w:bodyDiv w:val="1"/>
      <w:marLeft w:val="0"/>
      <w:marRight w:val="0"/>
      <w:marTop w:val="0"/>
      <w:marBottom w:val="0"/>
      <w:divBdr>
        <w:top w:val="none" w:sz="0" w:space="0" w:color="auto"/>
        <w:left w:val="none" w:sz="0" w:space="0" w:color="auto"/>
        <w:bottom w:val="none" w:sz="0" w:space="0" w:color="auto"/>
        <w:right w:val="none" w:sz="0" w:space="0" w:color="auto"/>
      </w:divBdr>
    </w:div>
    <w:div w:id="1597708214">
      <w:bodyDiv w:val="1"/>
      <w:marLeft w:val="0"/>
      <w:marRight w:val="0"/>
      <w:marTop w:val="0"/>
      <w:marBottom w:val="0"/>
      <w:divBdr>
        <w:top w:val="none" w:sz="0" w:space="0" w:color="auto"/>
        <w:left w:val="none" w:sz="0" w:space="0" w:color="auto"/>
        <w:bottom w:val="none" w:sz="0" w:space="0" w:color="auto"/>
        <w:right w:val="none" w:sz="0" w:space="0" w:color="auto"/>
      </w:divBdr>
    </w:div>
    <w:div w:id="1784573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1233</Words>
  <Characters>7029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Outline Document</vt:lpstr>
      <vt:lpstr>Outline Document</vt:lpstr>
    </vt:vector>
  </TitlesOfParts>
  <Company>European Commission</Company>
  <LinksUpToDate>false</LinksUpToDate>
  <CharactersWithSpaces>8246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Document</dc:title>
  <dc:subject>Nutrition Seminar March 2018</dc:subject>
  <dc:creator>Nigel Nicholson</dc:creator>
  <cp:lastModifiedBy>DECLERCQ Bruno (DEVCO)</cp:lastModifiedBy>
  <cp:revision>2</cp:revision>
  <dcterms:created xsi:type="dcterms:W3CDTF">2018-03-23T14:07:00Z</dcterms:created>
  <dcterms:modified xsi:type="dcterms:W3CDTF">2018-03-23T14:07:00Z</dcterms:modified>
</cp:coreProperties>
</file>