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E31" w:rsidRPr="00841E31" w:rsidRDefault="00841E31" w:rsidP="00841E31">
      <w:pPr>
        <w:pStyle w:val="Title"/>
        <w:spacing w:after="0"/>
        <w:rPr>
          <w:lang w:val="fr-CA"/>
        </w:rPr>
      </w:pPr>
      <w:proofErr w:type="spellStart"/>
      <w:r w:rsidRPr="00841E31">
        <w:rPr>
          <w:lang w:val="fr-CA"/>
        </w:rPr>
        <w:t>Aquarius</w:t>
      </w:r>
      <w:proofErr w:type="spellEnd"/>
      <w:r w:rsidRPr="00841E31">
        <w:rPr>
          <w:lang w:val="fr-CA"/>
        </w:rPr>
        <w:t>: Rapport Semestriel Déc.2017</w:t>
      </w:r>
    </w:p>
    <w:p w:rsidR="00C50EBC" w:rsidRDefault="00841E31" w:rsidP="00841E31">
      <w:pPr>
        <w:pStyle w:val="Subtitle"/>
        <w:rPr>
          <w:lang w:val="fr-CA"/>
        </w:rPr>
      </w:pPr>
      <w:bookmarkStart w:id="0" w:name="_Toc502763701"/>
      <w:bookmarkStart w:id="1" w:name="_Toc502764084"/>
      <w:bookmarkStart w:id="2" w:name="_Toc502822652"/>
      <w:r w:rsidRPr="00841E31">
        <w:rPr>
          <w:lang w:val="fr-CA"/>
        </w:rPr>
        <w:t>Damien BLANC, Bureau Régional de Dakar, Afrique de l’Ouest, Centrale et Septentrionale.</w:t>
      </w:r>
      <w:bookmarkEnd w:id="0"/>
      <w:bookmarkEnd w:id="1"/>
      <w:bookmarkEnd w:id="2"/>
    </w:p>
    <w:sdt>
      <w:sdtPr>
        <w:rPr>
          <w:rFonts w:ascii="Calibri" w:eastAsia="Calibri" w:hAnsi="Calibri" w:cs="Times New Roman"/>
          <w:b w:val="0"/>
          <w:bCs w:val="0"/>
          <w:color w:val="auto"/>
          <w:sz w:val="22"/>
          <w:szCs w:val="22"/>
          <w:lang w:val="en-GB" w:eastAsia="en-US"/>
        </w:rPr>
        <w:id w:val="711616510"/>
        <w:docPartObj>
          <w:docPartGallery w:val="Table of Contents"/>
          <w:docPartUnique/>
        </w:docPartObj>
      </w:sdtPr>
      <w:sdtEndPr>
        <w:rPr>
          <w:noProof/>
        </w:rPr>
      </w:sdtEndPr>
      <w:sdtContent>
        <w:p w:rsidR="00373A8A" w:rsidRDefault="00373A8A" w:rsidP="000C4439">
          <w:pPr>
            <w:pStyle w:val="TOCHeading"/>
            <w:jc w:val="center"/>
          </w:pPr>
          <w:r>
            <w:t xml:space="preserve">Table des </w:t>
          </w:r>
          <w:proofErr w:type="spellStart"/>
          <w:r>
            <w:t>matières</w:t>
          </w:r>
          <w:proofErr w:type="spellEnd"/>
        </w:p>
        <w:p w:rsidR="00E202EC" w:rsidRDefault="00373A8A">
          <w:pPr>
            <w:pStyle w:val="TOC2"/>
            <w:tabs>
              <w:tab w:val="right" w:leader="dot" w:pos="9059"/>
            </w:tabs>
            <w:rPr>
              <w:rFonts w:asciiTheme="minorHAnsi" w:eastAsiaTheme="minorEastAsia" w:hAnsiTheme="minorHAnsi" w:cstheme="minorBidi"/>
              <w:noProof/>
              <w:lang w:val="fr-CA" w:eastAsia="fr-CA"/>
            </w:rPr>
          </w:pPr>
          <w:r>
            <w:fldChar w:fldCharType="begin"/>
          </w:r>
          <w:r>
            <w:instrText xml:space="preserve"> TOC \o "1-3" \h \z \u </w:instrText>
          </w:r>
          <w:r>
            <w:fldChar w:fldCharType="separate"/>
          </w:r>
        </w:p>
        <w:p w:rsidR="00E202EC" w:rsidRDefault="004F6CD8">
          <w:pPr>
            <w:pStyle w:val="TOC1"/>
            <w:tabs>
              <w:tab w:val="left" w:pos="440"/>
              <w:tab w:val="right" w:leader="dot" w:pos="9059"/>
            </w:tabs>
            <w:rPr>
              <w:rFonts w:asciiTheme="minorHAnsi" w:eastAsiaTheme="minorEastAsia" w:hAnsiTheme="minorHAnsi" w:cstheme="minorBidi"/>
              <w:noProof/>
              <w:lang w:val="fr-CA" w:eastAsia="fr-CA"/>
            </w:rPr>
          </w:pPr>
          <w:hyperlink w:anchor="_Toc502822653" w:history="1">
            <w:r w:rsidR="00E202EC" w:rsidRPr="00910FD3">
              <w:rPr>
                <w:rStyle w:val="Hyperlink"/>
                <w:noProof/>
              </w:rPr>
              <w:t>1</w:t>
            </w:r>
            <w:r w:rsidR="00E202EC">
              <w:rPr>
                <w:rFonts w:asciiTheme="minorHAnsi" w:eastAsiaTheme="minorEastAsia" w:hAnsiTheme="minorHAnsi" w:cstheme="minorBidi"/>
                <w:noProof/>
                <w:lang w:val="fr-CA" w:eastAsia="fr-CA"/>
              </w:rPr>
              <w:tab/>
            </w:r>
            <w:r w:rsidR="00E202EC" w:rsidRPr="00910FD3">
              <w:rPr>
                <w:rStyle w:val="Hyperlink"/>
                <w:noProof/>
              </w:rPr>
              <w:t>Revue sectorielle</w:t>
            </w:r>
            <w:r w:rsidR="00E202EC">
              <w:rPr>
                <w:noProof/>
                <w:webHidden/>
              </w:rPr>
              <w:tab/>
            </w:r>
            <w:r w:rsidR="00E202EC">
              <w:rPr>
                <w:noProof/>
                <w:webHidden/>
              </w:rPr>
              <w:fldChar w:fldCharType="begin"/>
            </w:r>
            <w:r w:rsidR="00E202EC">
              <w:rPr>
                <w:noProof/>
                <w:webHidden/>
              </w:rPr>
              <w:instrText xml:space="preserve"> PAGEREF _Toc502822653 \h </w:instrText>
            </w:r>
            <w:r w:rsidR="00E202EC">
              <w:rPr>
                <w:noProof/>
                <w:webHidden/>
              </w:rPr>
            </w:r>
            <w:r w:rsidR="00E202EC">
              <w:rPr>
                <w:noProof/>
                <w:webHidden/>
              </w:rPr>
              <w:fldChar w:fldCharType="separate"/>
            </w:r>
            <w:r w:rsidR="00E202EC">
              <w:rPr>
                <w:noProof/>
                <w:webHidden/>
              </w:rPr>
              <w:t>1</w:t>
            </w:r>
            <w:r w:rsidR="00E202EC">
              <w:rPr>
                <w:noProof/>
                <w:webHidden/>
              </w:rPr>
              <w:fldChar w:fldCharType="end"/>
            </w:r>
          </w:hyperlink>
        </w:p>
        <w:p w:rsidR="00E202EC" w:rsidRDefault="004F6CD8">
          <w:pPr>
            <w:pStyle w:val="TOC2"/>
            <w:tabs>
              <w:tab w:val="left" w:pos="880"/>
              <w:tab w:val="right" w:leader="dot" w:pos="9059"/>
            </w:tabs>
            <w:rPr>
              <w:rFonts w:asciiTheme="minorHAnsi" w:eastAsiaTheme="minorEastAsia" w:hAnsiTheme="minorHAnsi" w:cstheme="minorBidi"/>
              <w:noProof/>
              <w:lang w:val="fr-CA" w:eastAsia="fr-CA"/>
            </w:rPr>
          </w:pPr>
          <w:hyperlink w:anchor="_Toc502822654" w:history="1">
            <w:r w:rsidR="00E202EC" w:rsidRPr="00910FD3">
              <w:rPr>
                <w:rStyle w:val="Hyperlink"/>
                <w:noProof/>
              </w:rPr>
              <w:t>1.1</w:t>
            </w:r>
            <w:r w:rsidR="00E202EC">
              <w:rPr>
                <w:rFonts w:asciiTheme="minorHAnsi" w:eastAsiaTheme="minorEastAsia" w:hAnsiTheme="minorHAnsi" w:cstheme="minorBidi"/>
                <w:noProof/>
                <w:lang w:val="fr-CA" w:eastAsia="fr-CA"/>
              </w:rPr>
              <w:tab/>
            </w:r>
            <w:r w:rsidR="00E202EC" w:rsidRPr="00910FD3">
              <w:rPr>
                <w:rStyle w:val="Hyperlink"/>
                <w:noProof/>
              </w:rPr>
              <w:t>Porfolios par secteurs</w:t>
            </w:r>
            <w:r w:rsidR="00E202EC">
              <w:rPr>
                <w:noProof/>
                <w:webHidden/>
              </w:rPr>
              <w:tab/>
            </w:r>
            <w:r w:rsidR="00E202EC">
              <w:rPr>
                <w:noProof/>
                <w:webHidden/>
              </w:rPr>
              <w:fldChar w:fldCharType="begin"/>
            </w:r>
            <w:r w:rsidR="00E202EC">
              <w:rPr>
                <w:noProof/>
                <w:webHidden/>
              </w:rPr>
              <w:instrText xml:space="preserve"> PAGEREF _Toc502822654 \h </w:instrText>
            </w:r>
            <w:r w:rsidR="00E202EC">
              <w:rPr>
                <w:noProof/>
                <w:webHidden/>
              </w:rPr>
            </w:r>
            <w:r w:rsidR="00E202EC">
              <w:rPr>
                <w:noProof/>
                <w:webHidden/>
              </w:rPr>
              <w:fldChar w:fldCharType="separate"/>
            </w:r>
            <w:r w:rsidR="00E202EC">
              <w:rPr>
                <w:noProof/>
                <w:webHidden/>
              </w:rPr>
              <w:t>1</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55" w:history="1">
            <w:r w:rsidR="00E202EC" w:rsidRPr="00910FD3">
              <w:rPr>
                <w:rStyle w:val="Hyperlink"/>
                <w:noProof/>
              </w:rPr>
              <w:t>1.1.1</w:t>
            </w:r>
            <w:r w:rsidR="00E202EC">
              <w:rPr>
                <w:rFonts w:asciiTheme="minorHAnsi" w:eastAsiaTheme="minorEastAsia" w:hAnsiTheme="minorHAnsi" w:cstheme="minorBidi"/>
                <w:noProof/>
                <w:lang w:val="fr-CA" w:eastAsia="fr-CA"/>
              </w:rPr>
              <w:tab/>
            </w:r>
            <w:r w:rsidR="00E202EC" w:rsidRPr="00910FD3">
              <w:rPr>
                <w:rStyle w:val="Hyperlink"/>
                <w:noProof/>
              </w:rPr>
              <w:t>Par résultats</w:t>
            </w:r>
            <w:r w:rsidR="00E202EC">
              <w:rPr>
                <w:noProof/>
                <w:webHidden/>
              </w:rPr>
              <w:tab/>
            </w:r>
            <w:r w:rsidR="00E202EC">
              <w:rPr>
                <w:noProof/>
                <w:webHidden/>
              </w:rPr>
              <w:fldChar w:fldCharType="begin"/>
            </w:r>
            <w:r w:rsidR="00E202EC">
              <w:rPr>
                <w:noProof/>
                <w:webHidden/>
              </w:rPr>
              <w:instrText xml:space="preserve"> PAGEREF _Toc502822655 \h </w:instrText>
            </w:r>
            <w:r w:rsidR="00E202EC">
              <w:rPr>
                <w:noProof/>
                <w:webHidden/>
              </w:rPr>
            </w:r>
            <w:r w:rsidR="00E202EC">
              <w:rPr>
                <w:noProof/>
                <w:webHidden/>
              </w:rPr>
              <w:fldChar w:fldCharType="separate"/>
            </w:r>
            <w:r w:rsidR="00E202EC">
              <w:rPr>
                <w:noProof/>
                <w:webHidden/>
              </w:rPr>
              <w:t>1</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56" w:history="1">
            <w:r w:rsidR="00E202EC" w:rsidRPr="00910FD3">
              <w:rPr>
                <w:rStyle w:val="Hyperlink"/>
                <w:noProof/>
                <w:lang w:val="fr-CA"/>
              </w:rPr>
              <w:t>1.1.2</w:t>
            </w:r>
            <w:r w:rsidR="00E202EC">
              <w:rPr>
                <w:rFonts w:asciiTheme="minorHAnsi" w:eastAsiaTheme="minorEastAsia" w:hAnsiTheme="minorHAnsi" w:cstheme="minorBidi"/>
                <w:noProof/>
                <w:lang w:val="fr-CA" w:eastAsia="fr-CA"/>
              </w:rPr>
              <w:tab/>
            </w:r>
            <w:r w:rsidR="00E202EC" w:rsidRPr="00910FD3">
              <w:rPr>
                <w:rStyle w:val="Hyperlink"/>
                <w:noProof/>
                <w:lang w:val="fr-CA"/>
              </w:rPr>
              <w:t>Par Activités</w:t>
            </w:r>
            <w:r w:rsidR="00E202EC">
              <w:rPr>
                <w:noProof/>
                <w:webHidden/>
              </w:rPr>
              <w:tab/>
            </w:r>
            <w:r w:rsidR="00E202EC">
              <w:rPr>
                <w:noProof/>
                <w:webHidden/>
              </w:rPr>
              <w:fldChar w:fldCharType="begin"/>
            </w:r>
            <w:r w:rsidR="00E202EC">
              <w:rPr>
                <w:noProof/>
                <w:webHidden/>
              </w:rPr>
              <w:instrText xml:space="preserve"> PAGEREF _Toc502822656 \h </w:instrText>
            </w:r>
            <w:r w:rsidR="00E202EC">
              <w:rPr>
                <w:noProof/>
                <w:webHidden/>
              </w:rPr>
            </w:r>
            <w:r w:rsidR="00E202EC">
              <w:rPr>
                <w:noProof/>
                <w:webHidden/>
              </w:rPr>
              <w:fldChar w:fldCharType="separate"/>
            </w:r>
            <w:r w:rsidR="00E202EC">
              <w:rPr>
                <w:noProof/>
                <w:webHidden/>
              </w:rPr>
              <w:t>1</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57" w:history="1">
            <w:r w:rsidR="00E202EC" w:rsidRPr="00910FD3">
              <w:rPr>
                <w:rStyle w:val="Hyperlink"/>
                <w:noProof/>
                <w:lang w:val="fr-CA"/>
              </w:rPr>
              <w:t>1.1.3</w:t>
            </w:r>
            <w:r w:rsidR="00E202EC">
              <w:rPr>
                <w:rFonts w:asciiTheme="minorHAnsi" w:eastAsiaTheme="minorEastAsia" w:hAnsiTheme="minorHAnsi" w:cstheme="minorBidi"/>
                <w:noProof/>
                <w:lang w:val="fr-CA" w:eastAsia="fr-CA"/>
              </w:rPr>
              <w:tab/>
            </w:r>
            <w:r w:rsidR="00E202EC" w:rsidRPr="00910FD3">
              <w:rPr>
                <w:rStyle w:val="Hyperlink"/>
                <w:noProof/>
                <w:lang w:val="fr-CA"/>
              </w:rPr>
              <w:t>Une sous-représentation des secteurs EAH &amp; A&amp;H</w:t>
            </w:r>
            <w:r w:rsidR="00E202EC">
              <w:rPr>
                <w:noProof/>
                <w:webHidden/>
              </w:rPr>
              <w:tab/>
            </w:r>
            <w:r w:rsidR="00E202EC">
              <w:rPr>
                <w:noProof/>
                <w:webHidden/>
              </w:rPr>
              <w:fldChar w:fldCharType="begin"/>
            </w:r>
            <w:r w:rsidR="00E202EC">
              <w:rPr>
                <w:noProof/>
                <w:webHidden/>
              </w:rPr>
              <w:instrText xml:space="preserve"> PAGEREF _Toc502822657 \h </w:instrText>
            </w:r>
            <w:r w:rsidR="00E202EC">
              <w:rPr>
                <w:noProof/>
                <w:webHidden/>
              </w:rPr>
            </w:r>
            <w:r w:rsidR="00E202EC">
              <w:rPr>
                <w:noProof/>
                <w:webHidden/>
              </w:rPr>
              <w:fldChar w:fldCharType="separate"/>
            </w:r>
            <w:r w:rsidR="00E202EC">
              <w:rPr>
                <w:noProof/>
                <w:webHidden/>
              </w:rPr>
              <w:t>1</w:t>
            </w:r>
            <w:r w:rsidR="00E202EC">
              <w:rPr>
                <w:noProof/>
                <w:webHidden/>
              </w:rPr>
              <w:fldChar w:fldCharType="end"/>
            </w:r>
          </w:hyperlink>
        </w:p>
        <w:p w:rsidR="00E202EC" w:rsidRDefault="004F6CD8">
          <w:pPr>
            <w:pStyle w:val="TOC2"/>
            <w:tabs>
              <w:tab w:val="left" w:pos="880"/>
              <w:tab w:val="right" w:leader="dot" w:pos="9059"/>
            </w:tabs>
            <w:rPr>
              <w:rFonts w:asciiTheme="minorHAnsi" w:eastAsiaTheme="minorEastAsia" w:hAnsiTheme="minorHAnsi" w:cstheme="minorBidi"/>
              <w:noProof/>
              <w:lang w:val="fr-CA" w:eastAsia="fr-CA"/>
            </w:rPr>
          </w:pPr>
          <w:hyperlink w:anchor="_Toc502822658" w:history="1">
            <w:r w:rsidR="00E202EC" w:rsidRPr="00910FD3">
              <w:rPr>
                <w:rStyle w:val="Hyperlink"/>
                <w:noProof/>
              </w:rPr>
              <w:t>1.2</w:t>
            </w:r>
            <w:r w:rsidR="00E202EC">
              <w:rPr>
                <w:rFonts w:asciiTheme="minorHAnsi" w:eastAsiaTheme="minorEastAsia" w:hAnsiTheme="minorHAnsi" w:cstheme="minorBidi"/>
                <w:noProof/>
                <w:lang w:val="fr-CA" w:eastAsia="fr-CA"/>
              </w:rPr>
              <w:tab/>
            </w:r>
            <w:r w:rsidR="00E202EC" w:rsidRPr="00910FD3">
              <w:rPr>
                <w:rStyle w:val="Hyperlink"/>
                <w:noProof/>
              </w:rPr>
              <w:t>Montants alloués par secteurs</w:t>
            </w:r>
            <w:r w:rsidR="00E202EC">
              <w:rPr>
                <w:noProof/>
                <w:webHidden/>
              </w:rPr>
              <w:tab/>
            </w:r>
            <w:r w:rsidR="00E202EC">
              <w:rPr>
                <w:noProof/>
                <w:webHidden/>
              </w:rPr>
              <w:fldChar w:fldCharType="begin"/>
            </w:r>
            <w:r w:rsidR="00E202EC">
              <w:rPr>
                <w:noProof/>
                <w:webHidden/>
              </w:rPr>
              <w:instrText xml:space="preserve"> PAGEREF _Toc502822658 \h </w:instrText>
            </w:r>
            <w:r w:rsidR="00E202EC">
              <w:rPr>
                <w:noProof/>
                <w:webHidden/>
              </w:rPr>
            </w:r>
            <w:r w:rsidR="00E202EC">
              <w:rPr>
                <w:noProof/>
                <w:webHidden/>
              </w:rPr>
              <w:fldChar w:fldCharType="separate"/>
            </w:r>
            <w:r w:rsidR="00E202EC">
              <w:rPr>
                <w:noProof/>
                <w:webHidden/>
              </w:rPr>
              <w:t>2</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59" w:history="1">
            <w:r w:rsidR="00E202EC" w:rsidRPr="00910FD3">
              <w:rPr>
                <w:rStyle w:val="Hyperlink"/>
                <w:noProof/>
              </w:rPr>
              <w:t>1.2.1</w:t>
            </w:r>
            <w:r w:rsidR="00E202EC">
              <w:rPr>
                <w:rFonts w:asciiTheme="minorHAnsi" w:eastAsiaTheme="minorEastAsia" w:hAnsiTheme="minorHAnsi" w:cstheme="minorBidi"/>
                <w:noProof/>
                <w:lang w:val="fr-CA" w:eastAsia="fr-CA"/>
              </w:rPr>
              <w:tab/>
            </w:r>
            <w:r w:rsidR="00E202EC" w:rsidRPr="00910FD3">
              <w:rPr>
                <w:rStyle w:val="Hyperlink"/>
                <w:noProof/>
              </w:rPr>
              <w:t>Par résultats</w:t>
            </w:r>
            <w:r w:rsidR="00E202EC">
              <w:rPr>
                <w:noProof/>
                <w:webHidden/>
              </w:rPr>
              <w:tab/>
            </w:r>
            <w:r w:rsidR="00E202EC">
              <w:rPr>
                <w:noProof/>
                <w:webHidden/>
              </w:rPr>
              <w:fldChar w:fldCharType="begin"/>
            </w:r>
            <w:r w:rsidR="00E202EC">
              <w:rPr>
                <w:noProof/>
                <w:webHidden/>
              </w:rPr>
              <w:instrText xml:space="preserve"> PAGEREF _Toc502822659 \h </w:instrText>
            </w:r>
            <w:r w:rsidR="00E202EC">
              <w:rPr>
                <w:noProof/>
                <w:webHidden/>
              </w:rPr>
            </w:r>
            <w:r w:rsidR="00E202EC">
              <w:rPr>
                <w:noProof/>
                <w:webHidden/>
              </w:rPr>
              <w:fldChar w:fldCharType="separate"/>
            </w:r>
            <w:r w:rsidR="00E202EC">
              <w:rPr>
                <w:noProof/>
                <w:webHidden/>
              </w:rPr>
              <w:t>2</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60" w:history="1">
            <w:r w:rsidR="00E202EC" w:rsidRPr="00910FD3">
              <w:rPr>
                <w:rStyle w:val="Hyperlink"/>
                <w:noProof/>
              </w:rPr>
              <w:t>1.2.2</w:t>
            </w:r>
            <w:r w:rsidR="00E202EC">
              <w:rPr>
                <w:rFonts w:asciiTheme="minorHAnsi" w:eastAsiaTheme="minorEastAsia" w:hAnsiTheme="minorHAnsi" w:cstheme="minorBidi"/>
                <w:noProof/>
                <w:lang w:val="fr-CA" w:eastAsia="fr-CA"/>
              </w:rPr>
              <w:tab/>
            </w:r>
            <w:r w:rsidR="00E202EC" w:rsidRPr="00910FD3">
              <w:rPr>
                <w:rStyle w:val="Hyperlink"/>
                <w:noProof/>
              </w:rPr>
              <w:t>Par Activités</w:t>
            </w:r>
            <w:r w:rsidR="00E202EC">
              <w:rPr>
                <w:noProof/>
                <w:webHidden/>
              </w:rPr>
              <w:tab/>
            </w:r>
            <w:r w:rsidR="00E202EC">
              <w:rPr>
                <w:noProof/>
                <w:webHidden/>
              </w:rPr>
              <w:fldChar w:fldCharType="begin"/>
            </w:r>
            <w:r w:rsidR="00E202EC">
              <w:rPr>
                <w:noProof/>
                <w:webHidden/>
              </w:rPr>
              <w:instrText xml:space="preserve"> PAGEREF _Toc502822660 \h </w:instrText>
            </w:r>
            <w:r w:rsidR="00E202EC">
              <w:rPr>
                <w:noProof/>
                <w:webHidden/>
              </w:rPr>
            </w:r>
            <w:r w:rsidR="00E202EC">
              <w:rPr>
                <w:noProof/>
                <w:webHidden/>
              </w:rPr>
              <w:fldChar w:fldCharType="separate"/>
            </w:r>
            <w:r w:rsidR="00E202EC">
              <w:rPr>
                <w:noProof/>
                <w:webHidden/>
              </w:rPr>
              <w:t>2</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61" w:history="1">
            <w:r w:rsidR="00E202EC" w:rsidRPr="00910FD3">
              <w:rPr>
                <w:rStyle w:val="Hyperlink"/>
                <w:noProof/>
                <w:lang w:val="fr-CA"/>
              </w:rPr>
              <w:t>1.2.3</w:t>
            </w:r>
            <w:r w:rsidR="00E202EC">
              <w:rPr>
                <w:rFonts w:asciiTheme="minorHAnsi" w:eastAsiaTheme="minorEastAsia" w:hAnsiTheme="minorHAnsi" w:cstheme="minorBidi"/>
                <w:noProof/>
                <w:lang w:val="fr-CA" w:eastAsia="fr-CA"/>
              </w:rPr>
              <w:tab/>
            </w:r>
            <w:r w:rsidR="00E202EC" w:rsidRPr="00910FD3">
              <w:rPr>
                <w:rStyle w:val="Hyperlink"/>
                <w:noProof/>
                <w:lang w:val="fr-CA"/>
              </w:rPr>
              <w:t>Une sous-représentation des secteurs EAH &amp; A&amp;H</w:t>
            </w:r>
            <w:r w:rsidR="00E202EC">
              <w:rPr>
                <w:noProof/>
                <w:webHidden/>
              </w:rPr>
              <w:tab/>
            </w:r>
            <w:r w:rsidR="00E202EC">
              <w:rPr>
                <w:noProof/>
                <w:webHidden/>
              </w:rPr>
              <w:fldChar w:fldCharType="begin"/>
            </w:r>
            <w:r w:rsidR="00E202EC">
              <w:rPr>
                <w:noProof/>
                <w:webHidden/>
              </w:rPr>
              <w:instrText xml:space="preserve"> PAGEREF _Toc502822661 \h </w:instrText>
            </w:r>
            <w:r w:rsidR="00E202EC">
              <w:rPr>
                <w:noProof/>
                <w:webHidden/>
              </w:rPr>
            </w:r>
            <w:r w:rsidR="00E202EC">
              <w:rPr>
                <w:noProof/>
                <w:webHidden/>
              </w:rPr>
              <w:fldChar w:fldCharType="separate"/>
            </w:r>
            <w:r w:rsidR="00E202EC">
              <w:rPr>
                <w:noProof/>
                <w:webHidden/>
              </w:rPr>
              <w:t>2</w:t>
            </w:r>
            <w:r w:rsidR="00E202EC">
              <w:rPr>
                <w:noProof/>
                <w:webHidden/>
              </w:rPr>
              <w:fldChar w:fldCharType="end"/>
            </w:r>
          </w:hyperlink>
        </w:p>
        <w:p w:rsidR="00E202EC" w:rsidRDefault="004F6CD8">
          <w:pPr>
            <w:pStyle w:val="TOC2"/>
            <w:tabs>
              <w:tab w:val="left" w:pos="880"/>
              <w:tab w:val="right" w:leader="dot" w:pos="9059"/>
            </w:tabs>
            <w:rPr>
              <w:rFonts w:asciiTheme="minorHAnsi" w:eastAsiaTheme="minorEastAsia" w:hAnsiTheme="minorHAnsi" w:cstheme="minorBidi"/>
              <w:noProof/>
              <w:lang w:val="fr-CA" w:eastAsia="fr-CA"/>
            </w:rPr>
          </w:pPr>
          <w:hyperlink w:anchor="_Toc502822662" w:history="1">
            <w:r w:rsidR="00E202EC" w:rsidRPr="00910FD3">
              <w:rPr>
                <w:rStyle w:val="Hyperlink"/>
                <w:noProof/>
              </w:rPr>
              <w:t>1.3</w:t>
            </w:r>
            <w:r w:rsidR="00E202EC">
              <w:rPr>
                <w:rFonts w:asciiTheme="minorHAnsi" w:eastAsiaTheme="minorEastAsia" w:hAnsiTheme="minorHAnsi" w:cstheme="minorBidi"/>
                <w:noProof/>
                <w:lang w:val="fr-CA" w:eastAsia="fr-CA"/>
              </w:rPr>
              <w:tab/>
            </w:r>
            <w:r w:rsidR="00E202EC" w:rsidRPr="00910FD3">
              <w:rPr>
                <w:rStyle w:val="Hyperlink"/>
                <w:noProof/>
              </w:rPr>
              <w:t>Par sous-secteurs</w:t>
            </w:r>
            <w:r w:rsidR="00E202EC">
              <w:rPr>
                <w:noProof/>
                <w:webHidden/>
              </w:rPr>
              <w:tab/>
            </w:r>
            <w:r w:rsidR="00E202EC">
              <w:rPr>
                <w:noProof/>
                <w:webHidden/>
              </w:rPr>
              <w:fldChar w:fldCharType="begin"/>
            </w:r>
            <w:r w:rsidR="00E202EC">
              <w:rPr>
                <w:noProof/>
                <w:webHidden/>
              </w:rPr>
              <w:instrText xml:space="preserve"> PAGEREF _Toc502822662 \h </w:instrText>
            </w:r>
            <w:r w:rsidR="00E202EC">
              <w:rPr>
                <w:noProof/>
                <w:webHidden/>
              </w:rPr>
            </w:r>
            <w:r w:rsidR="00E202EC">
              <w:rPr>
                <w:noProof/>
                <w:webHidden/>
              </w:rPr>
              <w:fldChar w:fldCharType="separate"/>
            </w:r>
            <w:r w:rsidR="00E202EC">
              <w:rPr>
                <w:noProof/>
                <w:webHidden/>
              </w:rPr>
              <w:t>3</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63" w:history="1">
            <w:r w:rsidR="00E202EC" w:rsidRPr="00910FD3">
              <w:rPr>
                <w:rStyle w:val="Hyperlink"/>
                <w:noProof/>
                <w:lang w:val="fr-CA"/>
              </w:rPr>
              <w:t>1.3.1</w:t>
            </w:r>
            <w:r w:rsidR="00E202EC">
              <w:rPr>
                <w:rFonts w:asciiTheme="minorHAnsi" w:eastAsiaTheme="minorEastAsia" w:hAnsiTheme="minorHAnsi" w:cstheme="minorBidi"/>
                <w:noProof/>
                <w:lang w:val="fr-CA" w:eastAsia="fr-CA"/>
              </w:rPr>
              <w:tab/>
            </w:r>
            <w:r w:rsidR="00E202EC" w:rsidRPr="00910FD3">
              <w:rPr>
                <w:rStyle w:val="Hyperlink"/>
                <w:noProof/>
              </w:rPr>
              <w:t>Portfolios par sous secteurs</w:t>
            </w:r>
            <w:r w:rsidR="00E202EC">
              <w:rPr>
                <w:noProof/>
                <w:webHidden/>
              </w:rPr>
              <w:tab/>
            </w:r>
            <w:r w:rsidR="00E202EC">
              <w:rPr>
                <w:noProof/>
                <w:webHidden/>
              </w:rPr>
              <w:fldChar w:fldCharType="begin"/>
            </w:r>
            <w:r w:rsidR="00E202EC">
              <w:rPr>
                <w:noProof/>
                <w:webHidden/>
              </w:rPr>
              <w:instrText xml:space="preserve"> PAGEREF _Toc502822663 \h </w:instrText>
            </w:r>
            <w:r w:rsidR="00E202EC">
              <w:rPr>
                <w:noProof/>
                <w:webHidden/>
              </w:rPr>
            </w:r>
            <w:r w:rsidR="00E202EC">
              <w:rPr>
                <w:noProof/>
                <w:webHidden/>
              </w:rPr>
              <w:fldChar w:fldCharType="separate"/>
            </w:r>
            <w:r w:rsidR="00E202EC">
              <w:rPr>
                <w:noProof/>
                <w:webHidden/>
              </w:rPr>
              <w:t>3</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64" w:history="1">
            <w:r w:rsidR="00E202EC" w:rsidRPr="00910FD3">
              <w:rPr>
                <w:rStyle w:val="Hyperlink"/>
                <w:noProof/>
                <w:lang w:val="fr-CA"/>
              </w:rPr>
              <w:t>1.3.2</w:t>
            </w:r>
            <w:r w:rsidR="00E202EC">
              <w:rPr>
                <w:rFonts w:asciiTheme="minorHAnsi" w:eastAsiaTheme="minorEastAsia" w:hAnsiTheme="minorHAnsi" w:cstheme="minorBidi"/>
                <w:noProof/>
                <w:lang w:val="fr-CA" w:eastAsia="fr-CA"/>
              </w:rPr>
              <w:tab/>
            </w:r>
            <w:r w:rsidR="00E202EC" w:rsidRPr="00910FD3">
              <w:rPr>
                <w:rStyle w:val="Hyperlink"/>
                <w:noProof/>
                <w:lang w:val="fr-CA"/>
              </w:rPr>
              <w:t>Montants alloués par sous-secteurs</w:t>
            </w:r>
            <w:r w:rsidR="00E202EC">
              <w:rPr>
                <w:noProof/>
                <w:webHidden/>
              </w:rPr>
              <w:tab/>
            </w:r>
            <w:r w:rsidR="00E202EC">
              <w:rPr>
                <w:noProof/>
                <w:webHidden/>
              </w:rPr>
              <w:fldChar w:fldCharType="begin"/>
            </w:r>
            <w:r w:rsidR="00E202EC">
              <w:rPr>
                <w:noProof/>
                <w:webHidden/>
              </w:rPr>
              <w:instrText xml:space="preserve"> PAGEREF _Toc502822664 \h </w:instrText>
            </w:r>
            <w:r w:rsidR="00E202EC">
              <w:rPr>
                <w:noProof/>
                <w:webHidden/>
              </w:rPr>
            </w:r>
            <w:r w:rsidR="00E202EC">
              <w:rPr>
                <w:noProof/>
                <w:webHidden/>
              </w:rPr>
              <w:fldChar w:fldCharType="separate"/>
            </w:r>
            <w:r w:rsidR="00E202EC">
              <w:rPr>
                <w:noProof/>
                <w:webHidden/>
              </w:rPr>
              <w:t>3</w:t>
            </w:r>
            <w:r w:rsidR="00E202EC">
              <w:rPr>
                <w:noProof/>
                <w:webHidden/>
              </w:rPr>
              <w:fldChar w:fldCharType="end"/>
            </w:r>
          </w:hyperlink>
        </w:p>
        <w:p w:rsidR="00E202EC" w:rsidRDefault="004F6CD8">
          <w:pPr>
            <w:pStyle w:val="TOC1"/>
            <w:tabs>
              <w:tab w:val="left" w:pos="440"/>
              <w:tab w:val="right" w:leader="dot" w:pos="9059"/>
            </w:tabs>
            <w:rPr>
              <w:rFonts w:asciiTheme="minorHAnsi" w:eastAsiaTheme="minorEastAsia" w:hAnsiTheme="minorHAnsi" w:cstheme="minorBidi"/>
              <w:noProof/>
              <w:lang w:val="fr-CA" w:eastAsia="fr-CA"/>
            </w:rPr>
          </w:pPr>
          <w:hyperlink w:anchor="_Toc502822665" w:history="1">
            <w:r w:rsidR="00E202EC" w:rsidRPr="00910FD3">
              <w:rPr>
                <w:rStyle w:val="Hyperlink"/>
                <w:noProof/>
                <w:lang w:val="fr-CA"/>
              </w:rPr>
              <w:t>2</w:t>
            </w:r>
            <w:r w:rsidR="00E202EC">
              <w:rPr>
                <w:rFonts w:asciiTheme="minorHAnsi" w:eastAsiaTheme="minorEastAsia" w:hAnsiTheme="minorHAnsi" w:cstheme="minorBidi"/>
                <w:noProof/>
                <w:lang w:val="fr-CA" w:eastAsia="fr-CA"/>
              </w:rPr>
              <w:tab/>
            </w:r>
            <w:r w:rsidR="00E202EC" w:rsidRPr="00910FD3">
              <w:rPr>
                <w:rStyle w:val="Hyperlink"/>
                <w:noProof/>
                <w:lang w:val="fr-CA"/>
              </w:rPr>
              <w:t>Contraintes, défis &amp; recommandations</w:t>
            </w:r>
            <w:r w:rsidR="00E202EC">
              <w:rPr>
                <w:noProof/>
                <w:webHidden/>
              </w:rPr>
              <w:tab/>
            </w:r>
            <w:r w:rsidR="00E202EC">
              <w:rPr>
                <w:noProof/>
                <w:webHidden/>
              </w:rPr>
              <w:fldChar w:fldCharType="begin"/>
            </w:r>
            <w:r w:rsidR="00E202EC">
              <w:rPr>
                <w:noProof/>
                <w:webHidden/>
              </w:rPr>
              <w:instrText xml:space="preserve"> PAGEREF _Toc502822665 \h </w:instrText>
            </w:r>
            <w:r w:rsidR="00E202EC">
              <w:rPr>
                <w:noProof/>
                <w:webHidden/>
              </w:rPr>
            </w:r>
            <w:r w:rsidR="00E202EC">
              <w:rPr>
                <w:noProof/>
                <w:webHidden/>
              </w:rPr>
              <w:fldChar w:fldCharType="separate"/>
            </w:r>
            <w:r w:rsidR="00E202EC">
              <w:rPr>
                <w:noProof/>
                <w:webHidden/>
              </w:rPr>
              <w:t>4</w:t>
            </w:r>
            <w:r w:rsidR="00E202EC">
              <w:rPr>
                <w:noProof/>
                <w:webHidden/>
              </w:rPr>
              <w:fldChar w:fldCharType="end"/>
            </w:r>
          </w:hyperlink>
        </w:p>
        <w:p w:rsidR="00E202EC" w:rsidRDefault="004F6CD8">
          <w:pPr>
            <w:pStyle w:val="TOC2"/>
            <w:tabs>
              <w:tab w:val="left" w:pos="880"/>
              <w:tab w:val="right" w:leader="dot" w:pos="9059"/>
            </w:tabs>
            <w:rPr>
              <w:rFonts w:asciiTheme="minorHAnsi" w:eastAsiaTheme="minorEastAsia" w:hAnsiTheme="minorHAnsi" w:cstheme="minorBidi"/>
              <w:noProof/>
              <w:lang w:val="fr-CA" w:eastAsia="fr-CA"/>
            </w:rPr>
          </w:pPr>
          <w:hyperlink w:anchor="_Toc502822666" w:history="1">
            <w:r w:rsidR="00E202EC" w:rsidRPr="00910FD3">
              <w:rPr>
                <w:rStyle w:val="Hyperlink"/>
                <w:noProof/>
                <w:lang w:val="fr-CA"/>
              </w:rPr>
              <w:t>2.1</w:t>
            </w:r>
            <w:r w:rsidR="00E202EC">
              <w:rPr>
                <w:rFonts w:asciiTheme="minorHAnsi" w:eastAsiaTheme="minorEastAsia" w:hAnsiTheme="minorHAnsi" w:cstheme="minorBidi"/>
                <w:noProof/>
                <w:lang w:val="fr-CA" w:eastAsia="fr-CA"/>
              </w:rPr>
              <w:tab/>
            </w:r>
            <w:r w:rsidR="00E202EC" w:rsidRPr="00910FD3">
              <w:rPr>
                <w:rStyle w:val="Hyperlink"/>
                <w:noProof/>
                <w:lang w:val="fr-CA"/>
              </w:rPr>
              <w:t>Stratégique</w:t>
            </w:r>
            <w:r w:rsidR="00E202EC">
              <w:rPr>
                <w:noProof/>
                <w:webHidden/>
              </w:rPr>
              <w:tab/>
            </w:r>
            <w:r w:rsidR="00E202EC">
              <w:rPr>
                <w:noProof/>
                <w:webHidden/>
              </w:rPr>
              <w:fldChar w:fldCharType="begin"/>
            </w:r>
            <w:r w:rsidR="00E202EC">
              <w:rPr>
                <w:noProof/>
                <w:webHidden/>
              </w:rPr>
              <w:instrText xml:space="preserve"> PAGEREF _Toc502822666 \h </w:instrText>
            </w:r>
            <w:r w:rsidR="00E202EC">
              <w:rPr>
                <w:noProof/>
                <w:webHidden/>
              </w:rPr>
            </w:r>
            <w:r w:rsidR="00E202EC">
              <w:rPr>
                <w:noProof/>
                <w:webHidden/>
              </w:rPr>
              <w:fldChar w:fldCharType="separate"/>
            </w:r>
            <w:r w:rsidR="00E202EC">
              <w:rPr>
                <w:noProof/>
                <w:webHidden/>
              </w:rPr>
              <w:t>4</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67" w:history="1">
            <w:r w:rsidR="00E202EC" w:rsidRPr="00910FD3">
              <w:rPr>
                <w:rStyle w:val="Hyperlink"/>
                <w:noProof/>
                <w:lang w:val="fr-CA"/>
              </w:rPr>
              <w:t>2.1.1</w:t>
            </w:r>
            <w:r w:rsidR="00E202EC">
              <w:rPr>
                <w:rFonts w:asciiTheme="minorHAnsi" w:eastAsiaTheme="minorEastAsia" w:hAnsiTheme="minorHAnsi" w:cstheme="minorBidi"/>
                <w:noProof/>
                <w:lang w:val="fr-CA" w:eastAsia="fr-CA"/>
              </w:rPr>
              <w:tab/>
            </w:r>
            <w:r w:rsidR="00E202EC" w:rsidRPr="00910FD3">
              <w:rPr>
                <w:rStyle w:val="Hyperlink"/>
                <w:noProof/>
                <w:lang w:val="fr-CA"/>
              </w:rPr>
              <w:t>WASH Policy</w:t>
            </w:r>
            <w:r w:rsidR="00E202EC">
              <w:rPr>
                <w:noProof/>
                <w:webHidden/>
              </w:rPr>
              <w:tab/>
            </w:r>
            <w:r w:rsidR="00E202EC">
              <w:rPr>
                <w:noProof/>
                <w:webHidden/>
              </w:rPr>
              <w:fldChar w:fldCharType="begin"/>
            </w:r>
            <w:r w:rsidR="00E202EC">
              <w:rPr>
                <w:noProof/>
                <w:webHidden/>
              </w:rPr>
              <w:instrText xml:space="preserve"> PAGEREF _Toc502822667 \h </w:instrText>
            </w:r>
            <w:r w:rsidR="00E202EC">
              <w:rPr>
                <w:noProof/>
                <w:webHidden/>
              </w:rPr>
            </w:r>
            <w:r w:rsidR="00E202EC">
              <w:rPr>
                <w:noProof/>
                <w:webHidden/>
              </w:rPr>
              <w:fldChar w:fldCharType="separate"/>
            </w:r>
            <w:r w:rsidR="00E202EC">
              <w:rPr>
                <w:noProof/>
                <w:webHidden/>
              </w:rPr>
              <w:t>4</w:t>
            </w:r>
            <w:r w:rsidR="00E202EC">
              <w:rPr>
                <w:noProof/>
                <w:webHidden/>
              </w:rPr>
              <w:fldChar w:fldCharType="end"/>
            </w:r>
          </w:hyperlink>
        </w:p>
        <w:p w:rsidR="00E202EC" w:rsidRDefault="004F6CD8">
          <w:pPr>
            <w:pStyle w:val="TOC2"/>
            <w:tabs>
              <w:tab w:val="left" w:pos="880"/>
              <w:tab w:val="right" w:leader="dot" w:pos="9059"/>
            </w:tabs>
            <w:rPr>
              <w:rFonts w:asciiTheme="minorHAnsi" w:eastAsiaTheme="minorEastAsia" w:hAnsiTheme="minorHAnsi" w:cstheme="minorBidi"/>
              <w:noProof/>
              <w:lang w:val="fr-CA" w:eastAsia="fr-CA"/>
            </w:rPr>
          </w:pPr>
          <w:hyperlink w:anchor="_Toc502822668" w:history="1">
            <w:r w:rsidR="00E202EC" w:rsidRPr="00910FD3">
              <w:rPr>
                <w:rStyle w:val="Hyperlink"/>
                <w:noProof/>
                <w:lang w:val="fr-CA"/>
              </w:rPr>
              <w:t>2.2</w:t>
            </w:r>
            <w:r w:rsidR="00E202EC">
              <w:rPr>
                <w:rFonts w:asciiTheme="minorHAnsi" w:eastAsiaTheme="minorEastAsia" w:hAnsiTheme="minorHAnsi" w:cstheme="minorBidi"/>
                <w:noProof/>
                <w:lang w:val="fr-CA" w:eastAsia="fr-CA"/>
              </w:rPr>
              <w:tab/>
            </w:r>
            <w:r w:rsidR="00E202EC" w:rsidRPr="00910FD3">
              <w:rPr>
                <w:rStyle w:val="Hyperlink"/>
                <w:noProof/>
                <w:lang w:val="fr-CA"/>
              </w:rPr>
              <w:t>Opérationnel</w:t>
            </w:r>
            <w:r w:rsidR="00E202EC">
              <w:rPr>
                <w:noProof/>
                <w:webHidden/>
              </w:rPr>
              <w:tab/>
            </w:r>
            <w:r w:rsidR="00E202EC">
              <w:rPr>
                <w:noProof/>
                <w:webHidden/>
              </w:rPr>
              <w:fldChar w:fldCharType="begin"/>
            </w:r>
            <w:r w:rsidR="00E202EC">
              <w:rPr>
                <w:noProof/>
                <w:webHidden/>
              </w:rPr>
              <w:instrText xml:space="preserve"> PAGEREF _Toc502822668 \h </w:instrText>
            </w:r>
            <w:r w:rsidR="00E202EC">
              <w:rPr>
                <w:noProof/>
                <w:webHidden/>
              </w:rPr>
            </w:r>
            <w:r w:rsidR="00E202EC">
              <w:rPr>
                <w:noProof/>
                <w:webHidden/>
              </w:rPr>
              <w:fldChar w:fldCharType="separate"/>
            </w:r>
            <w:r w:rsidR="00E202EC">
              <w:rPr>
                <w:noProof/>
                <w:webHidden/>
              </w:rPr>
              <w:t>4</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69" w:history="1">
            <w:r w:rsidR="00E202EC" w:rsidRPr="00910FD3">
              <w:rPr>
                <w:rStyle w:val="Hyperlink"/>
                <w:noProof/>
              </w:rPr>
              <w:t>2.2.1</w:t>
            </w:r>
            <w:r w:rsidR="00E202EC">
              <w:rPr>
                <w:rFonts w:asciiTheme="minorHAnsi" w:eastAsiaTheme="minorEastAsia" w:hAnsiTheme="minorHAnsi" w:cstheme="minorBidi"/>
                <w:noProof/>
                <w:lang w:val="fr-CA" w:eastAsia="fr-CA"/>
              </w:rPr>
              <w:tab/>
            </w:r>
            <w:r w:rsidR="00E202EC" w:rsidRPr="00910FD3">
              <w:rPr>
                <w:rStyle w:val="Hyperlink"/>
                <w:noProof/>
              </w:rPr>
              <w:t>Conception de la réponse</w:t>
            </w:r>
            <w:r w:rsidR="00E202EC">
              <w:rPr>
                <w:noProof/>
                <w:webHidden/>
              </w:rPr>
              <w:tab/>
            </w:r>
            <w:r w:rsidR="00E202EC">
              <w:rPr>
                <w:noProof/>
                <w:webHidden/>
              </w:rPr>
              <w:fldChar w:fldCharType="begin"/>
            </w:r>
            <w:r w:rsidR="00E202EC">
              <w:rPr>
                <w:noProof/>
                <w:webHidden/>
              </w:rPr>
              <w:instrText xml:space="preserve"> PAGEREF _Toc502822669 \h </w:instrText>
            </w:r>
            <w:r w:rsidR="00E202EC">
              <w:rPr>
                <w:noProof/>
                <w:webHidden/>
              </w:rPr>
            </w:r>
            <w:r w:rsidR="00E202EC">
              <w:rPr>
                <w:noProof/>
                <w:webHidden/>
              </w:rPr>
              <w:fldChar w:fldCharType="separate"/>
            </w:r>
            <w:r w:rsidR="00E202EC">
              <w:rPr>
                <w:noProof/>
                <w:webHidden/>
              </w:rPr>
              <w:t>4</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70" w:history="1">
            <w:r w:rsidR="00E202EC" w:rsidRPr="00910FD3">
              <w:rPr>
                <w:rStyle w:val="Hyperlink"/>
                <w:noProof/>
              </w:rPr>
              <w:t>2.2.2</w:t>
            </w:r>
            <w:r w:rsidR="00E202EC">
              <w:rPr>
                <w:rFonts w:asciiTheme="minorHAnsi" w:eastAsiaTheme="minorEastAsia" w:hAnsiTheme="minorHAnsi" w:cstheme="minorBidi"/>
                <w:noProof/>
                <w:lang w:val="fr-CA" w:eastAsia="fr-CA"/>
              </w:rPr>
              <w:tab/>
            </w:r>
            <w:r w:rsidR="00E202EC" w:rsidRPr="00910FD3">
              <w:rPr>
                <w:rStyle w:val="Hyperlink"/>
                <w:noProof/>
              </w:rPr>
              <w:t>Mise en œuvre des services</w:t>
            </w:r>
            <w:r w:rsidR="00E202EC">
              <w:rPr>
                <w:noProof/>
                <w:webHidden/>
              </w:rPr>
              <w:tab/>
            </w:r>
            <w:r w:rsidR="00E202EC">
              <w:rPr>
                <w:noProof/>
                <w:webHidden/>
              </w:rPr>
              <w:fldChar w:fldCharType="begin"/>
            </w:r>
            <w:r w:rsidR="00E202EC">
              <w:rPr>
                <w:noProof/>
                <w:webHidden/>
              </w:rPr>
              <w:instrText xml:space="preserve"> PAGEREF _Toc502822670 \h </w:instrText>
            </w:r>
            <w:r w:rsidR="00E202EC">
              <w:rPr>
                <w:noProof/>
                <w:webHidden/>
              </w:rPr>
            </w:r>
            <w:r w:rsidR="00E202EC">
              <w:rPr>
                <w:noProof/>
                <w:webHidden/>
              </w:rPr>
              <w:fldChar w:fldCharType="separate"/>
            </w:r>
            <w:r w:rsidR="00E202EC">
              <w:rPr>
                <w:noProof/>
                <w:webHidden/>
              </w:rPr>
              <w:t>6</w:t>
            </w:r>
            <w:r w:rsidR="00E202EC">
              <w:rPr>
                <w:noProof/>
                <w:webHidden/>
              </w:rPr>
              <w:fldChar w:fldCharType="end"/>
            </w:r>
          </w:hyperlink>
        </w:p>
        <w:p w:rsidR="00E202EC" w:rsidRDefault="004F6CD8">
          <w:pPr>
            <w:pStyle w:val="TOC3"/>
            <w:tabs>
              <w:tab w:val="left" w:pos="1320"/>
              <w:tab w:val="right" w:leader="dot" w:pos="9059"/>
            </w:tabs>
            <w:rPr>
              <w:rFonts w:asciiTheme="minorHAnsi" w:eastAsiaTheme="minorEastAsia" w:hAnsiTheme="minorHAnsi" w:cstheme="minorBidi"/>
              <w:noProof/>
              <w:lang w:val="fr-CA" w:eastAsia="fr-CA"/>
            </w:rPr>
          </w:pPr>
          <w:hyperlink w:anchor="_Toc502822671" w:history="1">
            <w:r w:rsidR="00E202EC" w:rsidRPr="00910FD3">
              <w:rPr>
                <w:rStyle w:val="Hyperlink"/>
                <w:noProof/>
                <w:lang w:val="fr-CA"/>
              </w:rPr>
              <w:t>2.2.3</w:t>
            </w:r>
            <w:r w:rsidR="00E202EC">
              <w:rPr>
                <w:rFonts w:asciiTheme="minorHAnsi" w:eastAsiaTheme="minorEastAsia" w:hAnsiTheme="minorHAnsi" w:cstheme="minorBidi"/>
                <w:noProof/>
                <w:lang w:val="fr-CA" w:eastAsia="fr-CA"/>
              </w:rPr>
              <w:tab/>
            </w:r>
            <w:r w:rsidR="00E202EC" w:rsidRPr="00910FD3">
              <w:rPr>
                <w:rStyle w:val="Hyperlink"/>
                <w:noProof/>
                <w:lang w:val="fr-CA"/>
              </w:rPr>
              <w:t>Suivi des performances des services</w:t>
            </w:r>
            <w:r w:rsidR="00E202EC">
              <w:rPr>
                <w:noProof/>
                <w:webHidden/>
              </w:rPr>
              <w:tab/>
            </w:r>
            <w:r w:rsidR="00E202EC">
              <w:rPr>
                <w:noProof/>
                <w:webHidden/>
              </w:rPr>
              <w:fldChar w:fldCharType="begin"/>
            </w:r>
            <w:r w:rsidR="00E202EC">
              <w:rPr>
                <w:noProof/>
                <w:webHidden/>
              </w:rPr>
              <w:instrText xml:space="preserve"> PAGEREF _Toc502822671 \h </w:instrText>
            </w:r>
            <w:r w:rsidR="00E202EC">
              <w:rPr>
                <w:noProof/>
                <w:webHidden/>
              </w:rPr>
            </w:r>
            <w:r w:rsidR="00E202EC">
              <w:rPr>
                <w:noProof/>
                <w:webHidden/>
              </w:rPr>
              <w:fldChar w:fldCharType="separate"/>
            </w:r>
            <w:r w:rsidR="00E202EC">
              <w:rPr>
                <w:noProof/>
                <w:webHidden/>
              </w:rPr>
              <w:t>6</w:t>
            </w:r>
            <w:r w:rsidR="00E202EC">
              <w:rPr>
                <w:noProof/>
                <w:webHidden/>
              </w:rPr>
              <w:fldChar w:fldCharType="end"/>
            </w:r>
          </w:hyperlink>
        </w:p>
        <w:p w:rsidR="00E202EC" w:rsidRDefault="004F6CD8">
          <w:pPr>
            <w:pStyle w:val="TOC1"/>
            <w:tabs>
              <w:tab w:val="left" w:pos="440"/>
              <w:tab w:val="right" w:leader="dot" w:pos="9059"/>
            </w:tabs>
            <w:rPr>
              <w:rFonts w:asciiTheme="minorHAnsi" w:eastAsiaTheme="minorEastAsia" w:hAnsiTheme="minorHAnsi" w:cstheme="minorBidi"/>
              <w:noProof/>
              <w:lang w:val="fr-CA" w:eastAsia="fr-CA"/>
            </w:rPr>
          </w:pPr>
          <w:hyperlink w:anchor="_Toc502822672" w:history="1">
            <w:r w:rsidR="00E202EC" w:rsidRPr="00910FD3">
              <w:rPr>
                <w:rStyle w:val="Hyperlink"/>
                <w:noProof/>
                <w:lang w:val="fr-CA"/>
              </w:rPr>
              <w:t>3</w:t>
            </w:r>
            <w:r w:rsidR="00E202EC">
              <w:rPr>
                <w:rFonts w:asciiTheme="minorHAnsi" w:eastAsiaTheme="minorEastAsia" w:hAnsiTheme="minorHAnsi" w:cstheme="minorBidi"/>
                <w:noProof/>
                <w:lang w:val="fr-CA" w:eastAsia="fr-CA"/>
              </w:rPr>
              <w:tab/>
            </w:r>
            <w:r w:rsidR="00E202EC" w:rsidRPr="00910FD3">
              <w:rPr>
                <w:rStyle w:val="Hyperlink"/>
                <w:noProof/>
                <w:lang w:val="fr-CA"/>
              </w:rPr>
              <w:t>Rôle de l’expert et priorités pour 2018</w:t>
            </w:r>
            <w:r w:rsidR="00E202EC">
              <w:rPr>
                <w:noProof/>
                <w:webHidden/>
              </w:rPr>
              <w:tab/>
            </w:r>
            <w:r w:rsidR="00E202EC">
              <w:rPr>
                <w:noProof/>
                <w:webHidden/>
              </w:rPr>
              <w:fldChar w:fldCharType="begin"/>
            </w:r>
            <w:r w:rsidR="00E202EC">
              <w:rPr>
                <w:noProof/>
                <w:webHidden/>
              </w:rPr>
              <w:instrText xml:space="preserve"> PAGEREF _Toc502822672 \h </w:instrText>
            </w:r>
            <w:r w:rsidR="00E202EC">
              <w:rPr>
                <w:noProof/>
                <w:webHidden/>
              </w:rPr>
            </w:r>
            <w:r w:rsidR="00E202EC">
              <w:rPr>
                <w:noProof/>
                <w:webHidden/>
              </w:rPr>
              <w:fldChar w:fldCharType="separate"/>
            </w:r>
            <w:r w:rsidR="00E202EC">
              <w:rPr>
                <w:noProof/>
                <w:webHidden/>
              </w:rPr>
              <w:t>8</w:t>
            </w:r>
            <w:r w:rsidR="00E202EC">
              <w:rPr>
                <w:noProof/>
                <w:webHidden/>
              </w:rPr>
              <w:fldChar w:fldCharType="end"/>
            </w:r>
          </w:hyperlink>
        </w:p>
        <w:p w:rsidR="00373A8A" w:rsidRDefault="00373A8A">
          <w:r>
            <w:rPr>
              <w:b/>
              <w:bCs/>
              <w:noProof/>
            </w:rPr>
            <w:fldChar w:fldCharType="end"/>
          </w:r>
        </w:p>
      </w:sdtContent>
    </w:sdt>
    <w:p w:rsidR="00C50EBC" w:rsidRPr="00C50EBC" w:rsidRDefault="00C50EBC" w:rsidP="00C50EBC">
      <w:pPr>
        <w:rPr>
          <w:lang w:val="fr-CA"/>
        </w:rPr>
        <w:sectPr w:rsidR="00C50EBC" w:rsidRPr="00C50EBC" w:rsidSect="00EB301F">
          <w:footerReference w:type="even" r:id="rId9"/>
          <w:footerReference w:type="default" r:id="rId10"/>
          <w:pgSz w:w="11905" w:h="16838" w:code="9"/>
          <w:pgMar w:top="1021" w:right="1418" w:bottom="851" w:left="1418" w:header="601" w:footer="1077" w:gutter="0"/>
          <w:pgNumType w:start="1"/>
          <w:cols w:space="720"/>
          <w:noEndnote/>
        </w:sectPr>
      </w:pPr>
    </w:p>
    <w:p w:rsidR="00B62E55" w:rsidRDefault="00841E31" w:rsidP="00222928">
      <w:pPr>
        <w:pStyle w:val="Heading1"/>
      </w:pPr>
      <w:bookmarkStart w:id="3" w:name="_Toc502822653"/>
      <w:r>
        <w:lastRenderedPageBreak/>
        <w:t xml:space="preserve">Revue </w:t>
      </w:r>
      <w:proofErr w:type="spellStart"/>
      <w:r>
        <w:t>sectorielle</w:t>
      </w:r>
      <w:bookmarkEnd w:id="3"/>
      <w:proofErr w:type="spellEnd"/>
    </w:p>
    <w:p w:rsidR="00B62E55" w:rsidRPr="00B62E55" w:rsidRDefault="00B62E55" w:rsidP="00222928">
      <w:pPr>
        <w:pStyle w:val="Heading2"/>
      </w:pPr>
      <w:bookmarkStart w:id="4" w:name="_Toc502822654"/>
      <w:proofErr w:type="spellStart"/>
      <w:r>
        <w:t>Porfolios</w:t>
      </w:r>
      <w:proofErr w:type="spellEnd"/>
      <w:r w:rsidR="00D63609">
        <w:t xml:space="preserve"> par </w:t>
      </w:r>
      <w:proofErr w:type="spellStart"/>
      <w:r w:rsidR="00D63609">
        <w:t>secteurs</w:t>
      </w:r>
      <w:bookmarkEnd w:id="4"/>
      <w:proofErr w:type="spellEnd"/>
    </w:p>
    <w:p w:rsidR="00554968" w:rsidRPr="00554968" w:rsidRDefault="00554968" w:rsidP="00222928">
      <w:pPr>
        <w:pStyle w:val="Heading3"/>
      </w:pPr>
      <w:bookmarkStart w:id="5" w:name="_Toc502822655"/>
      <w:r>
        <w:t xml:space="preserve">Par </w:t>
      </w:r>
      <w:proofErr w:type="spellStart"/>
      <w:r>
        <w:t>résultats</w:t>
      </w:r>
      <w:bookmarkEnd w:id="5"/>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6066"/>
      </w:tblGrid>
      <w:tr w:rsidR="0008392D" w:rsidRPr="004F6CD8" w:rsidTr="00945A79">
        <w:tc>
          <w:tcPr>
            <w:tcW w:w="4604" w:type="dxa"/>
          </w:tcPr>
          <w:p w:rsidR="0008392D" w:rsidRDefault="0008392D" w:rsidP="00945A79">
            <w:pPr>
              <w:spacing w:after="0"/>
              <w:rPr>
                <w:lang w:val="fr-CA"/>
              </w:rPr>
            </w:pPr>
            <w:r w:rsidRPr="000A1DB6">
              <w:rPr>
                <w:lang w:val="fr-CA"/>
              </w:rPr>
              <w:t xml:space="preserve">Sur la base des seuls </w:t>
            </w:r>
            <w:r>
              <w:rPr>
                <w:lang w:val="fr-CA"/>
              </w:rPr>
              <w:t>intitulé</w:t>
            </w:r>
            <w:r w:rsidRPr="000A1DB6">
              <w:rPr>
                <w:lang w:val="fr-CA"/>
              </w:rPr>
              <w:t xml:space="preserve">s sectoriels des résultats, </w:t>
            </w:r>
            <w:r>
              <w:rPr>
                <w:lang w:val="fr-CA"/>
              </w:rPr>
              <w:t xml:space="preserve"> le portfolio des actions courantes en 2017 financées par la DG-ECHO ayant une composante sectorielle Eau, Assainissement et Hygiène (EAH) ou Abris &amp; Habitat (A&amp;H) s’élève à </w:t>
            </w:r>
            <w:r w:rsidRPr="00554968">
              <w:rPr>
                <w:b/>
                <w:lang w:val="fr-CA"/>
              </w:rPr>
              <w:t>35</w:t>
            </w:r>
            <w:r>
              <w:rPr>
                <w:lang w:val="fr-CA"/>
              </w:rPr>
              <w:t xml:space="preserve"> dont 23 ont une seule  composante EAH, 7 une seule composante A&amp;H et </w:t>
            </w:r>
            <w:r w:rsidRPr="00554968">
              <w:rPr>
                <w:b/>
                <w:lang w:val="fr-CA"/>
              </w:rPr>
              <w:t>5</w:t>
            </w:r>
            <w:r>
              <w:rPr>
                <w:lang w:val="fr-CA"/>
              </w:rPr>
              <w:t xml:space="preserve"> les deux. </w:t>
            </w:r>
          </w:p>
          <w:p w:rsidR="00945A79" w:rsidRDefault="00945A79" w:rsidP="00945A79">
            <w:pPr>
              <w:spacing w:after="0"/>
              <w:rPr>
                <w:lang w:val="fr-CA"/>
              </w:rPr>
            </w:pPr>
            <w:r>
              <w:rPr>
                <w:lang w:val="fr-CA"/>
              </w:rPr>
              <w:t xml:space="preserve">Les pays ayant le plus d’actions portant sur ces secteurs sont la Centrafrique (8), le Niger (6), le Nigeria et le Cameroun (5 chacun). Bien que ne représentant que trois pays sur les 13 du portfolio le nombre d’actions A&amp;H et EAH du HIP </w:t>
            </w:r>
          </w:p>
        </w:tc>
        <w:tc>
          <w:tcPr>
            <w:tcW w:w="6066" w:type="dxa"/>
          </w:tcPr>
          <w:p w:rsidR="0008392D" w:rsidRDefault="0008392D" w:rsidP="00945A79">
            <w:pPr>
              <w:spacing w:after="0"/>
              <w:rPr>
                <w:lang w:val="fr-CA"/>
              </w:rPr>
            </w:pPr>
            <w:r>
              <w:rPr>
                <w:noProof/>
                <w:lang w:eastAsia="en-GB"/>
              </w:rPr>
              <w:drawing>
                <wp:inline distT="0" distB="0" distL="0" distR="0" wp14:anchorId="66A91FA9" wp14:editId="013074E2">
                  <wp:extent cx="3714750" cy="2190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0" cy="2190750"/>
                          </a:xfrm>
                          <a:prstGeom prst="rect">
                            <a:avLst/>
                          </a:prstGeom>
                          <a:noFill/>
                          <a:ln>
                            <a:noFill/>
                          </a:ln>
                        </pic:spPr>
                      </pic:pic>
                    </a:graphicData>
                  </a:graphic>
                </wp:inline>
              </w:drawing>
            </w:r>
          </w:p>
          <w:p w:rsidR="00554968" w:rsidRPr="00554968" w:rsidRDefault="00554968" w:rsidP="00945A79">
            <w:pPr>
              <w:spacing w:after="0"/>
              <w:jc w:val="center"/>
              <w:rPr>
                <w:i/>
                <w:lang w:val="fr-CA"/>
              </w:rPr>
            </w:pPr>
            <w:r w:rsidRPr="00554968">
              <w:rPr>
                <w:i/>
                <w:sz w:val="16"/>
                <w:lang w:val="fr-CA"/>
              </w:rPr>
              <w:t>Nombre d’actions ayant un ou plusieurs résultat(s) EAH et/ou A&amp;H</w:t>
            </w:r>
            <w:r w:rsidR="00176C59">
              <w:rPr>
                <w:i/>
                <w:sz w:val="16"/>
                <w:lang w:val="fr-CA"/>
              </w:rPr>
              <w:t xml:space="preserve"> par pays</w:t>
            </w:r>
          </w:p>
        </w:tc>
      </w:tr>
    </w:tbl>
    <w:p w:rsidR="00945A79" w:rsidRDefault="00945A79" w:rsidP="00945A79">
      <w:pPr>
        <w:rPr>
          <w:lang w:val="fr-CA"/>
        </w:rPr>
      </w:pPr>
      <w:r>
        <w:rPr>
          <w:lang w:val="fr-CA"/>
        </w:rPr>
        <w:t>Afrique Central est identique au HIP Afrique de l’Ouest (17).</w:t>
      </w:r>
    </w:p>
    <w:p w:rsidR="000A1DB6" w:rsidRPr="00945A79" w:rsidRDefault="00554968" w:rsidP="00222928">
      <w:pPr>
        <w:pStyle w:val="Heading3"/>
        <w:rPr>
          <w:lang w:val="fr-CA"/>
        </w:rPr>
      </w:pPr>
      <w:bookmarkStart w:id="6" w:name="_Toc502822656"/>
      <w:r w:rsidRPr="00945A79">
        <w:rPr>
          <w:lang w:val="fr-CA"/>
        </w:rPr>
        <w:t>Par Activité</w:t>
      </w:r>
      <w:r w:rsidR="00465694" w:rsidRPr="00945A79">
        <w:rPr>
          <w:lang w:val="fr-CA"/>
        </w:rPr>
        <w:t>s</w:t>
      </w:r>
      <w:bookmarkEnd w:id="6"/>
    </w:p>
    <w:tbl>
      <w:tblPr>
        <w:tblStyle w:val="TableGrid"/>
        <w:tblW w:w="10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216"/>
      </w:tblGrid>
      <w:tr w:rsidR="00554968" w:rsidRPr="004F6CD8" w:rsidTr="00945A79">
        <w:trPr>
          <w:trHeight w:val="275"/>
        </w:trPr>
        <w:tc>
          <w:tcPr>
            <w:tcW w:w="4503" w:type="dxa"/>
          </w:tcPr>
          <w:p w:rsidR="00554968" w:rsidRDefault="00554968" w:rsidP="00945A79">
            <w:pPr>
              <w:rPr>
                <w:lang w:val="fr-CA"/>
              </w:rPr>
            </w:pPr>
            <w:r>
              <w:rPr>
                <w:lang w:val="fr-CA"/>
              </w:rPr>
              <w:t>Si, en revanche, le décompte se base sur la nature des activités figurant dans les résultats sans tenir compte du secteur qui le porte (que le</w:t>
            </w:r>
            <w:r w:rsidR="00945A79">
              <w:rPr>
                <w:lang w:val="fr-CA"/>
              </w:rPr>
              <w:t xml:space="preserve"> secteur du</w:t>
            </w:r>
            <w:r>
              <w:rPr>
                <w:lang w:val="fr-CA"/>
              </w:rPr>
              <w:t xml:space="preserve"> résultat soit EAH, A&amp;H ou pas), le portfolio des actions courantes en 2017 financées par la DG-ECHO ayant une composante sectorielle Eau, Assainissement et Hygiène (EAH) ou Abris &amp; Habitat (A&amp;H) s’élève à </w:t>
            </w:r>
            <w:r w:rsidRPr="00554968">
              <w:rPr>
                <w:b/>
                <w:lang w:val="fr-CA"/>
              </w:rPr>
              <w:t>74</w:t>
            </w:r>
            <w:r>
              <w:rPr>
                <w:lang w:val="fr-CA"/>
              </w:rPr>
              <w:t xml:space="preserve"> dont </w:t>
            </w:r>
            <w:r w:rsidR="00CC4710">
              <w:rPr>
                <w:lang w:val="fr-CA"/>
              </w:rPr>
              <w:t xml:space="preserve">23 ont une </w:t>
            </w:r>
            <w:r w:rsidR="00945A79">
              <w:rPr>
                <w:lang w:val="fr-CA"/>
              </w:rPr>
              <w:t xml:space="preserve">seule  composante EAH, 7 une seule composante A&amp;H, </w:t>
            </w:r>
            <w:r w:rsidR="00945A79" w:rsidRPr="00554968">
              <w:rPr>
                <w:b/>
                <w:lang w:val="fr-CA"/>
              </w:rPr>
              <w:t>10</w:t>
            </w:r>
            <w:r w:rsidR="00945A79">
              <w:rPr>
                <w:lang w:val="fr-CA"/>
              </w:rPr>
              <w:t xml:space="preserve"> les deux et </w:t>
            </w:r>
            <w:r w:rsidR="00945A79" w:rsidRPr="00554968">
              <w:rPr>
                <w:b/>
                <w:lang w:val="fr-CA"/>
              </w:rPr>
              <w:t>34</w:t>
            </w:r>
            <w:r w:rsidR="00945A79">
              <w:rPr>
                <w:lang w:val="fr-CA"/>
              </w:rPr>
              <w:t xml:space="preserve"> ont une composante EAH visant l’appui au secteur santé (</w:t>
            </w:r>
            <w:proofErr w:type="spellStart"/>
            <w:r w:rsidR="00945A79">
              <w:rPr>
                <w:lang w:val="fr-CA"/>
              </w:rPr>
              <w:t>WiN</w:t>
            </w:r>
            <w:proofErr w:type="spellEnd"/>
            <w:r w:rsidR="00945A79">
              <w:rPr>
                <w:rStyle w:val="FootnoteReference"/>
                <w:lang w:val="fr-CA"/>
              </w:rPr>
              <w:footnoteReference w:id="1"/>
            </w:r>
            <w:r w:rsidR="00945A79">
              <w:rPr>
                <w:lang w:val="fr-CA"/>
              </w:rPr>
              <w:t>).</w:t>
            </w:r>
          </w:p>
        </w:tc>
        <w:tc>
          <w:tcPr>
            <w:tcW w:w="6216" w:type="dxa"/>
          </w:tcPr>
          <w:p w:rsidR="00CC4710" w:rsidRDefault="00554968" w:rsidP="0069130B">
            <w:pPr>
              <w:spacing w:after="0"/>
              <w:rPr>
                <w:lang w:val="fr-CA"/>
              </w:rPr>
            </w:pPr>
            <w:r>
              <w:rPr>
                <w:noProof/>
                <w:lang w:eastAsia="en-GB"/>
              </w:rPr>
              <w:drawing>
                <wp:inline distT="0" distB="0" distL="0" distR="0" wp14:anchorId="2C6011EA" wp14:editId="7C9C0377">
                  <wp:extent cx="3726041" cy="215265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1045" cy="2161318"/>
                          </a:xfrm>
                          <a:prstGeom prst="rect">
                            <a:avLst/>
                          </a:prstGeom>
                          <a:noFill/>
                          <a:ln>
                            <a:noFill/>
                          </a:ln>
                        </pic:spPr>
                      </pic:pic>
                    </a:graphicData>
                  </a:graphic>
                </wp:inline>
              </w:drawing>
            </w:r>
            <w:r w:rsidR="00CC4710">
              <w:rPr>
                <w:lang w:val="fr-CA"/>
              </w:rPr>
              <w:t xml:space="preserve"> </w:t>
            </w:r>
          </w:p>
          <w:p w:rsidR="00554968" w:rsidRDefault="00CC4710" w:rsidP="0069130B">
            <w:pPr>
              <w:jc w:val="center"/>
              <w:rPr>
                <w:lang w:val="fr-CA"/>
              </w:rPr>
            </w:pPr>
            <w:r w:rsidRPr="00554968">
              <w:rPr>
                <w:i/>
                <w:sz w:val="16"/>
                <w:lang w:val="fr-CA"/>
              </w:rPr>
              <w:t>Nombre d’</w:t>
            </w:r>
            <w:r>
              <w:rPr>
                <w:i/>
                <w:sz w:val="16"/>
                <w:lang w:val="fr-CA"/>
              </w:rPr>
              <w:t>actions ayant une plusieurs activités</w:t>
            </w:r>
            <w:r w:rsidRPr="00554968">
              <w:rPr>
                <w:i/>
                <w:sz w:val="16"/>
                <w:lang w:val="fr-CA"/>
              </w:rPr>
              <w:t xml:space="preserve"> EAH et/ou A&amp;H</w:t>
            </w:r>
            <w:r>
              <w:rPr>
                <w:i/>
                <w:sz w:val="16"/>
                <w:lang w:val="fr-CA"/>
              </w:rPr>
              <w:t xml:space="preserve"> ou </w:t>
            </w:r>
            <w:proofErr w:type="spellStart"/>
            <w:r>
              <w:rPr>
                <w:i/>
                <w:sz w:val="16"/>
                <w:lang w:val="fr-CA"/>
              </w:rPr>
              <w:t>WiN</w:t>
            </w:r>
            <w:proofErr w:type="spellEnd"/>
            <w:r w:rsidR="00176C59">
              <w:rPr>
                <w:i/>
                <w:sz w:val="16"/>
                <w:lang w:val="fr-CA"/>
              </w:rPr>
              <w:t xml:space="preserve"> par pays</w:t>
            </w:r>
          </w:p>
        </w:tc>
      </w:tr>
    </w:tbl>
    <w:p w:rsidR="00554968" w:rsidRDefault="00554968" w:rsidP="00554968">
      <w:pPr>
        <w:jc w:val="both"/>
        <w:rPr>
          <w:lang w:val="fr-CA"/>
        </w:rPr>
      </w:pPr>
      <w:r>
        <w:rPr>
          <w:lang w:val="fr-CA"/>
        </w:rPr>
        <w:t>Les pays ayant le plus d’actions portant sur ces secteurs sont le Niger (15), le Tchad (12), la Centrafrique (9), le Mali et la Mauritanie (8).</w:t>
      </w:r>
      <w:r w:rsidR="00B62E55">
        <w:rPr>
          <w:lang w:val="fr-CA"/>
        </w:rPr>
        <w:t xml:space="preserve"> Selon cette analyse, le nombre d’actions EAH &amp; A&amp;H financées au travers du HIP Afrique de l’Ouest est bien supérieur au HIP Afrique Centrale (44 contre 27).</w:t>
      </w:r>
    </w:p>
    <w:p w:rsidR="00B62E55" w:rsidRPr="00096A01" w:rsidRDefault="00B62E55" w:rsidP="00222928">
      <w:pPr>
        <w:pStyle w:val="Heading3"/>
        <w:rPr>
          <w:lang w:val="fr-CA"/>
        </w:rPr>
      </w:pPr>
      <w:bookmarkStart w:id="7" w:name="_Toc502822657"/>
      <w:r w:rsidRPr="00096A01">
        <w:rPr>
          <w:lang w:val="fr-CA"/>
        </w:rPr>
        <w:t>Une sous-représentation des secteurs EAH &amp; A&amp;H</w:t>
      </w:r>
      <w:bookmarkEnd w:id="7"/>
    </w:p>
    <w:p w:rsidR="00CC4710" w:rsidRDefault="00CC4710" w:rsidP="00945A79">
      <w:pPr>
        <w:jc w:val="both"/>
        <w:rPr>
          <w:lang w:val="fr-CA"/>
        </w:rPr>
      </w:pPr>
      <w:r>
        <w:rPr>
          <w:lang w:val="fr-CA"/>
        </w:rPr>
        <w:t>La différence du nombre d’actions incluant un</w:t>
      </w:r>
      <w:r w:rsidR="00945A79">
        <w:rPr>
          <w:lang w:val="fr-CA"/>
        </w:rPr>
        <w:t>e</w:t>
      </w:r>
      <w:r>
        <w:rPr>
          <w:lang w:val="fr-CA"/>
        </w:rPr>
        <w:t xml:space="preserve"> composante EAH et/ou A&amp;H selon que leur décompte se fasse à partir des résultats sectoriels (tel que le fait la DG-ECHO avec HOPE) ou selon qu’ils soient fait en se basant sur les activités impliquant ces secteurs (et ce, quel</w:t>
      </w:r>
      <w:r w:rsidR="00176C59">
        <w:rPr>
          <w:lang w:val="fr-CA"/>
        </w:rPr>
        <w:t xml:space="preserve"> </w:t>
      </w:r>
      <w:r>
        <w:rPr>
          <w:lang w:val="fr-CA"/>
        </w:rPr>
        <w:t>que soit le secteur de tutelle, décompte qui n’est pas accessible avec HOPE</w:t>
      </w:r>
      <w:r w:rsidR="00945A79">
        <w:rPr>
          <w:lang w:val="fr-CA"/>
        </w:rPr>
        <w:t>)</w:t>
      </w:r>
      <w:r>
        <w:rPr>
          <w:lang w:val="fr-CA"/>
        </w:rPr>
        <w:t xml:space="preserve"> </w:t>
      </w:r>
      <w:r w:rsidRPr="00222928">
        <w:rPr>
          <w:b/>
          <w:lang w:val="fr-CA"/>
        </w:rPr>
        <w:t>est supérieure à 100%</w:t>
      </w:r>
      <w:r>
        <w:rPr>
          <w:lang w:val="fr-CA"/>
        </w:rPr>
        <w:t xml:space="preserve"> (décompte variant de 34 à 74</w:t>
      </w:r>
      <w:r w:rsidR="00945A79">
        <w:rPr>
          <w:lang w:val="fr-CA"/>
        </w:rPr>
        <w:t xml:space="preserve"> actions </w:t>
      </w:r>
      <w:r>
        <w:rPr>
          <w:lang w:val="fr-CA"/>
        </w:rPr>
        <w:t xml:space="preserve">respectivement). </w:t>
      </w:r>
    </w:p>
    <w:p w:rsidR="000A1DB6" w:rsidRDefault="00CC4710" w:rsidP="00CC4710">
      <w:pPr>
        <w:jc w:val="both"/>
        <w:rPr>
          <w:lang w:val="fr-CA"/>
        </w:rPr>
      </w:pPr>
      <w:r>
        <w:rPr>
          <w:lang w:val="fr-CA"/>
        </w:rPr>
        <w:lastRenderedPageBreak/>
        <w:t xml:space="preserve">Compte tenu qu’il est peu fréquent que des activités de sécurité alimentaire, </w:t>
      </w:r>
      <w:r w:rsidR="004B4A17">
        <w:rPr>
          <w:lang w:val="fr-CA"/>
        </w:rPr>
        <w:t xml:space="preserve">de </w:t>
      </w:r>
      <w:r>
        <w:rPr>
          <w:lang w:val="fr-CA"/>
        </w:rPr>
        <w:t>protection</w:t>
      </w:r>
      <w:r w:rsidR="004B4A17">
        <w:rPr>
          <w:lang w:val="fr-CA"/>
        </w:rPr>
        <w:t>, de nutrition ou de santé</w:t>
      </w:r>
      <w:r>
        <w:rPr>
          <w:lang w:val="fr-CA"/>
        </w:rPr>
        <w:t xml:space="preserve"> se greffent à un résultat EAH ou A&amp;H, la conclusion ci-dessus est plutôt spécifique au deux secteurs et aboutit à </w:t>
      </w:r>
      <w:r w:rsidR="00945A79">
        <w:rPr>
          <w:lang w:val="fr-CA"/>
        </w:rPr>
        <w:t>leur</w:t>
      </w:r>
      <w:r>
        <w:rPr>
          <w:lang w:val="fr-CA"/>
        </w:rPr>
        <w:t xml:space="preserve"> sous-représentation </w:t>
      </w:r>
      <w:r w:rsidR="004B4A17">
        <w:rPr>
          <w:lang w:val="fr-CA"/>
        </w:rPr>
        <w:t>dans l’appui apporté par la DG-ECHO.</w:t>
      </w:r>
    </w:p>
    <w:p w:rsidR="000A1DB6" w:rsidRDefault="00B62E55" w:rsidP="00222928">
      <w:pPr>
        <w:pStyle w:val="Heading2"/>
      </w:pPr>
      <w:bookmarkStart w:id="8" w:name="_Toc502822658"/>
      <w:proofErr w:type="spellStart"/>
      <w:r>
        <w:t>Montants</w:t>
      </w:r>
      <w:proofErr w:type="spellEnd"/>
      <w:r>
        <w:t xml:space="preserve"> </w:t>
      </w:r>
      <w:proofErr w:type="spellStart"/>
      <w:r>
        <w:t>alloués</w:t>
      </w:r>
      <w:proofErr w:type="spellEnd"/>
      <w:r w:rsidR="00D63609">
        <w:t xml:space="preserve"> par </w:t>
      </w:r>
      <w:proofErr w:type="spellStart"/>
      <w:r w:rsidR="00D63609">
        <w:t>secteurs</w:t>
      </w:r>
      <w:bookmarkEnd w:id="8"/>
      <w:proofErr w:type="spellEnd"/>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095"/>
      </w:tblGrid>
      <w:tr w:rsidR="00B35E92" w:rsidRPr="004F6CD8" w:rsidTr="00945A79">
        <w:tc>
          <w:tcPr>
            <w:tcW w:w="4503" w:type="dxa"/>
          </w:tcPr>
          <w:p w:rsidR="00945A79" w:rsidRDefault="00945A79" w:rsidP="00945A79">
            <w:pPr>
              <w:pStyle w:val="Heading3"/>
              <w:outlineLvl w:val="2"/>
            </w:pPr>
            <w:bookmarkStart w:id="9" w:name="_Toc502822659"/>
            <w:r w:rsidRPr="00945A79">
              <w:t xml:space="preserve">Par </w:t>
            </w:r>
            <w:proofErr w:type="spellStart"/>
            <w:r w:rsidRPr="00945A79">
              <w:t>résultats</w:t>
            </w:r>
            <w:bookmarkEnd w:id="9"/>
            <w:proofErr w:type="spellEnd"/>
            <w:r w:rsidRPr="000A1DB6">
              <w:t xml:space="preserve"> </w:t>
            </w:r>
          </w:p>
          <w:p w:rsidR="00B35E92" w:rsidRDefault="00B35E92" w:rsidP="00B35E92">
            <w:pPr>
              <w:rPr>
                <w:lang w:val="fr-CA"/>
              </w:rPr>
            </w:pPr>
            <w:r w:rsidRPr="000A1DB6">
              <w:rPr>
                <w:lang w:val="fr-CA"/>
              </w:rPr>
              <w:t xml:space="preserve">Sur la base des seuls </w:t>
            </w:r>
            <w:r>
              <w:rPr>
                <w:lang w:val="fr-CA"/>
              </w:rPr>
              <w:t>intitulé</w:t>
            </w:r>
            <w:r w:rsidRPr="000A1DB6">
              <w:rPr>
                <w:lang w:val="fr-CA"/>
              </w:rPr>
              <w:t xml:space="preserve">s sectoriels des résultats, </w:t>
            </w:r>
            <w:r>
              <w:rPr>
                <w:lang w:val="fr-CA"/>
              </w:rPr>
              <w:t xml:space="preserve"> le montant des actions courantes en 2017 financées par la DG-ECHO ayant une composante sectorielle Eau, Assainissement et Hygiène (EAH) ou Abris &amp; Habitat (A&amp;H) s’élève à </w:t>
            </w:r>
            <w:r>
              <w:rPr>
                <w:b/>
                <w:lang w:val="fr-CA"/>
              </w:rPr>
              <w:t>21.1 M€</w:t>
            </w:r>
            <w:r>
              <w:rPr>
                <w:lang w:val="fr-CA"/>
              </w:rPr>
              <w:t xml:space="preserve"> dont </w:t>
            </w:r>
            <w:r w:rsidRPr="0069130B">
              <w:rPr>
                <w:b/>
                <w:lang w:val="fr-CA"/>
              </w:rPr>
              <w:t>13.3</w:t>
            </w:r>
            <w:r w:rsidR="0069130B">
              <w:rPr>
                <w:b/>
                <w:lang w:val="fr-CA"/>
              </w:rPr>
              <w:t xml:space="preserve"> </w:t>
            </w:r>
            <w:r w:rsidRPr="0069130B">
              <w:rPr>
                <w:b/>
                <w:lang w:val="fr-CA"/>
              </w:rPr>
              <w:t xml:space="preserve">M€ </w:t>
            </w:r>
            <w:r>
              <w:rPr>
                <w:lang w:val="fr-CA"/>
              </w:rPr>
              <w:t xml:space="preserve">pour le secteur EAH et </w:t>
            </w:r>
            <w:r w:rsidRPr="0069130B">
              <w:rPr>
                <w:b/>
                <w:lang w:val="fr-CA"/>
              </w:rPr>
              <w:t>7.4 M€</w:t>
            </w:r>
            <w:r>
              <w:rPr>
                <w:lang w:val="fr-CA"/>
              </w:rPr>
              <w:t xml:space="preserve"> pour le secteur A&amp;H.</w:t>
            </w:r>
          </w:p>
          <w:p w:rsidR="00945A79" w:rsidRDefault="00945A79" w:rsidP="00945A79">
            <w:pPr>
              <w:spacing w:after="0"/>
              <w:rPr>
                <w:lang w:val="fr-CA"/>
              </w:rPr>
            </w:pPr>
            <w:r>
              <w:rPr>
                <w:lang w:val="fr-CA"/>
              </w:rPr>
              <w:t xml:space="preserve">Les pays les plus impliqués dans l’appui aux secteurs EAH et  A&amp;H sont </w:t>
            </w:r>
            <w:r w:rsidRPr="00945A79">
              <w:rPr>
                <w:b/>
                <w:lang w:val="fr-CA"/>
              </w:rPr>
              <w:t>la</w:t>
            </w:r>
            <w:r>
              <w:rPr>
                <w:lang w:val="fr-CA"/>
              </w:rPr>
              <w:t xml:space="preserve"> </w:t>
            </w:r>
            <w:r w:rsidRPr="00945A79">
              <w:rPr>
                <w:b/>
                <w:lang w:val="fr-CA"/>
              </w:rPr>
              <w:t>Centrafrique</w:t>
            </w:r>
            <w:r>
              <w:rPr>
                <w:lang w:val="fr-CA"/>
              </w:rPr>
              <w:t xml:space="preserve"> </w:t>
            </w:r>
            <w:r w:rsidRPr="00945A79">
              <w:rPr>
                <w:b/>
                <w:lang w:val="fr-CA"/>
              </w:rPr>
              <w:t xml:space="preserve">et le </w:t>
            </w:r>
          </w:p>
        </w:tc>
        <w:tc>
          <w:tcPr>
            <w:tcW w:w="6095" w:type="dxa"/>
          </w:tcPr>
          <w:p w:rsidR="00B35E92" w:rsidRDefault="00B35E92" w:rsidP="00CE2D01">
            <w:pPr>
              <w:spacing w:after="0"/>
              <w:rPr>
                <w:lang w:val="fr-CA"/>
              </w:rPr>
            </w:pPr>
            <w:r>
              <w:rPr>
                <w:b/>
                <w:noProof/>
                <w:color w:val="0070C0"/>
                <w:lang w:eastAsia="en-GB"/>
              </w:rPr>
              <w:drawing>
                <wp:inline distT="0" distB="0" distL="0" distR="0" wp14:anchorId="4CBCAECA" wp14:editId="7D8A48EE">
                  <wp:extent cx="3620035" cy="195639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0527" cy="1962060"/>
                          </a:xfrm>
                          <a:prstGeom prst="rect">
                            <a:avLst/>
                          </a:prstGeom>
                          <a:noFill/>
                          <a:ln>
                            <a:noFill/>
                          </a:ln>
                        </pic:spPr>
                      </pic:pic>
                    </a:graphicData>
                  </a:graphic>
                </wp:inline>
              </w:drawing>
            </w:r>
          </w:p>
          <w:p w:rsidR="00B35E92" w:rsidRPr="00554968" w:rsidRDefault="00CE2D01" w:rsidP="00945A79">
            <w:pPr>
              <w:spacing w:after="0"/>
              <w:jc w:val="left"/>
              <w:rPr>
                <w:i/>
                <w:lang w:val="fr-CA"/>
              </w:rPr>
            </w:pPr>
            <w:r>
              <w:rPr>
                <w:i/>
                <w:sz w:val="16"/>
                <w:lang w:val="fr-CA"/>
              </w:rPr>
              <w:t xml:space="preserve">Montants sectoriels des </w:t>
            </w:r>
            <w:r w:rsidR="00B35E92" w:rsidRPr="00554968">
              <w:rPr>
                <w:i/>
                <w:sz w:val="16"/>
                <w:lang w:val="fr-CA"/>
              </w:rPr>
              <w:t xml:space="preserve">actions ayant un ou plusieurs résultat(s) EAH </w:t>
            </w:r>
            <w:r w:rsidR="00176C59">
              <w:rPr>
                <w:i/>
                <w:sz w:val="16"/>
                <w:lang w:val="fr-CA"/>
              </w:rPr>
              <w:t>ou</w:t>
            </w:r>
            <w:r w:rsidR="00B35E92" w:rsidRPr="00554968">
              <w:rPr>
                <w:i/>
                <w:sz w:val="16"/>
                <w:lang w:val="fr-CA"/>
              </w:rPr>
              <w:t xml:space="preserve"> A&amp;H</w:t>
            </w:r>
            <w:r w:rsidR="00176C59">
              <w:rPr>
                <w:i/>
                <w:sz w:val="16"/>
                <w:lang w:val="fr-CA"/>
              </w:rPr>
              <w:t xml:space="preserve"> par Pays</w:t>
            </w:r>
          </w:p>
        </w:tc>
      </w:tr>
    </w:tbl>
    <w:p w:rsidR="00B35E92" w:rsidRDefault="00945A79" w:rsidP="0069130B">
      <w:pPr>
        <w:jc w:val="both"/>
        <w:rPr>
          <w:lang w:val="fr-CA"/>
        </w:rPr>
      </w:pPr>
      <w:r w:rsidRPr="00945A79">
        <w:rPr>
          <w:b/>
          <w:lang w:val="fr-CA"/>
        </w:rPr>
        <w:t>Niger</w:t>
      </w:r>
      <w:r>
        <w:rPr>
          <w:lang w:val="fr-CA"/>
        </w:rPr>
        <w:t xml:space="preserve"> (respectivement 3.6M€ et 2.1 M€ pour la Centrafrique et 2.4M€ et 3.1 M€ pour le Niger).</w:t>
      </w:r>
      <w:r w:rsidR="00B35E92">
        <w:rPr>
          <w:lang w:val="fr-CA"/>
        </w:rPr>
        <w:t>Bien que ne représentant que trois pays sur le</w:t>
      </w:r>
      <w:r w:rsidR="0069130B">
        <w:rPr>
          <w:lang w:val="fr-CA"/>
        </w:rPr>
        <w:t xml:space="preserve">s 13 du portfolio les montants dédiés aux secteurs </w:t>
      </w:r>
      <w:r w:rsidR="00B35E92">
        <w:rPr>
          <w:lang w:val="fr-CA"/>
        </w:rPr>
        <w:t xml:space="preserve">A&amp;H et EAH du HIP Afrique Central est </w:t>
      </w:r>
      <w:r w:rsidR="0069130B">
        <w:rPr>
          <w:lang w:val="fr-CA"/>
        </w:rPr>
        <w:t xml:space="preserve">supérieur </w:t>
      </w:r>
      <w:r w:rsidR="00B35E92">
        <w:rPr>
          <w:lang w:val="fr-CA"/>
        </w:rPr>
        <w:t>au HIP Afrique de l’Ouest (</w:t>
      </w:r>
      <w:r w:rsidR="0069130B">
        <w:rPr>
          <w:lang w:val="fr-CA"/>
        </w:rPr>
        <w:t>11.2 M€ contre 9.5 M€</w:t>
      </w:r>
      <w:r w:rsidR="0069130B">
        <w:rPr>
          <w:rStyle w:val="FootnoteReference"/>
          <w:lang w:val="fr-CA"/>
        </w:rPr>
        <w:footnoteReference w:id="2"/>
      </w:r>
      <w:r w:rsidR="0069130B">
        <w:rPr>
          <w:lang w:val="fr-CA"/>
        </w:rPr>
        <w:t>)</w:t>
      </w:r>
      <w:r w:rsidR="00B35E92">
        <w:rPr>
          <w:lang w:val="fr-CA"/>
        </w:rPr>
        <w:t>.</w:t>
      </w:r>
    </w:p>
    <w:tbl>
      <w:tblPr>
        <w:tblStyle w:val="TableGrid"/>
        <w:tblW w:w="10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216"/>
      </w:tblGrid>
      <w:tr w:rsidR="00B35E92" w:rsidRPr="004F6CD8" w:rsidTr="00945A79">
        <w:tc>
          <w:tcPr>
            <w:tcW w:w="4503" w:type="dxa"/>
          </w:tcPr>
          <w:p w:rsidR="00C50EBC" w:rsidRDefault="00C50EBC" w:rsidP="00C50EBC">
            <w:pPr>
              <w:pStyle w:val="Heading3"/>
              <w:outlineLvl w:val="2"/>
            </w:pPr>
            <w:bookmarkStart w:id="10" w:name="_Toc502822660"/>
            <w:r w:rsidRPr="00C50EBC">
              <w:t xml:space="preserve">Par </w:t>
            </w:r>
            <w:proofErr w:type="spellStart"/>
            <w:r w:rsidRPr="00C50EBC">
              <w:t>Activités</w:t>
            </w:r>
            <w:bookmarkEnd w:id="10"/>
            <w:proofErr w:type="spellEnd"/>
            <w:r>
              <w:t xml:space="preserve"> </w:t>
            </w:r>
          </w:p>
          <w:p w:rsidR="00B35E92" w:rsidRDefault="00B35E92" w:rsidP="00945A79">
            <w:pPr>
              <w:rPr>
                <w:lang w:val="fr-CA"/>
              </w:rPr>
            </w:pPr>
            <w:r>
              <w:rPr>
                <w:lang w:val="fr-CA"/>
              </w:rPr>
              <w:t xml:space="preserve">Si, </w:t>
            </w:r>
            <w:r w:rsidR="00945A79">
              <w:rPr>
                <w:lang w:val="fr-CA"/>
              </w:rPr>
              <w:t>là aussi</w:t>
            </w:r>
            <w:r>
              <w:rPr>
                <w:lang w:val="fr-CA"/>
              </w:rPr>
              <w:t xml:space="preserve">, le décompte se base sur la nature des activités figurant dans les résultats sans tenir compte du secteur qui le porte (que le résultat soit EAH, A&amp;H ou pas), le </w:t>
            </w:r>
            <w:r w:rsidR="0069130B">
              <w:rPr>
                <w:lang w:val="fr-CA"/>
              </w:rPr>
              <w:t>montant</w:t>
            </w:r>
            <w:r>
              <w:rPr>
                <w:lang w:val="fr-CA"/>
              </w:rPr>
              <w:t xml:space="preserve"> des actions courantes en 2017 financées par la DG-ECHO ayant une composante sectorielle Eau, Assainissement </w:t>
            </w:r>
            <w:r w:rsidR="00176C59">
              <w:rPr>
                <w:lang w:val="fr-CA"/>
              </w:rPr>
              <w:t xml:space="preserve">et Hygiène (EAH) ou Abris &amp; </w:t>
            </w:r>
            <w:r w:rsidR="00945A79">
              <w:rPr>
                <w:lang w:val="fr-CA"/>
              </w:rPr>
              <w:t xml:space="preserve">Habitat (A&amp;H) s’élève à </w:t>
            </w:r>
            <w:r w:rsidR="00945A79">
              <w:rPr>
                <w:b/>
                <w:lang w:val="fr-CA"/>
              </w:rPr>
              <w:t xml:space="preserve">31.6M€ </w:t>
            </w:r>
            <w:r w:rsidR="00945A79">
              <w:rPr>
                <w:lang w:val="fr-CA"/>
              </w:rPr>
              <w:t xml:space="preserve">dont </w:t>
            </w:r>
            <w:r w:rsidR="00945A79" w:rsidRPr="0069130B">
              <w:rPr>
                <w:b/>
                <w:lang w:val="fr-CA"/>
              </w:rPr>
              <w:t>17</w:t>
            </w:r>
            <w:r w:rsidR="00945A79">
              <w:rPr>
                <w:b/>
                <w:lang w:val="fr-CA"/>
              </w:rPr>
              <w:t xml:space="preserve"> </w:t>
            </w:r>
            <w:r w:rsidR="00945A79" w:rsidRPr="0069130B">
              <w:rPr>
                <w:b/>
                <w:lang w:val="fr-CA"/>
              </w:rPr>
              <w:t>M€</w:t>
            </w:r>
            <w:r w:rsidR="00945A79">
              <w:rPr>
                <w:lang w:val="fr-CA"/>
              </w:rPr>
              <w:t xml:space="preserve"> pour le secteur EAH, </w:t>
            </w:r>
            <w:r w:rsidR="00945A79" w:rsidRPr="0069130B">
              <w:rPr>
                <w:b/>
                <w:lang w:val="fr-CA"/>
              </w:rPr>
              <w:t>7.9 M€</w:t>
            </w:r>
            <w:r w:rsidR="00945A79">
              <w:rPr>
                <w:lang w:val="fr-CA"/>
              </w:rPr>
              <w:t xml:space="preserve"> pour le secteur A&amp;H et </w:t>
            </w:r>
            <w:r w:rsidR="00945A79" w:rsidRPr="0069130B">
              <w:rPr>
                <w:b/>
                <w:lang w:val="fr-CA"/>
              </w:rPr>
              <w:t>6.7 M€</w:t>
            </w:r>
            <w:r w:rsidR="00945A79">
              <w:rPr>
                <w:lang w:val="fr-CA"/>
              </w:rPr>
              <w:t xml:space="preserve"> pour l’appui au secteur santé</w:t>
            </w:r>
            <w:r w:rsidR="00945A79">
              <w:rPr>
                <w:rStyle w:val="FootnoteReference"/>
                <w:lang w:val="fr-CA"/>
              </w:rPr>
              <w:footnoteReference w:id="3"/>
            </w:r>
            <w:r w:rsidR="00945A79">
              <w:rPr>
                <w:lang w:val="fr-CA"/>
              </w:rPr>
              <w:t>.</w:t>
            </w:r>
          </w:p>
        </w:tc>
        <w:tc>
          <w:tcPr>
            <w:tcW w:w="6216" w:type="dxa"/>
            <w:vAlign w:val="bottom"/>
          </w:tcPr>
          <w:p w:rsidR="00B35E92" w:rsidRDefault="0069130B" w:rsidP="00C50EBC">
            <w:pPr>
              <w:spacing w:after="0"/>
              <w:jc w:val="center"/>
              <w:rPr>
                <w:lang w:val="fr-CA"/>
              </w:rPr>
            </w:pPr>
            <w:r>
              <w:rPr>
                <w:b/>
                <w:noProof/>
                <w:color w:val="0070C0"/>
                <w:lang w:eastAsia="en-GB"/>
              </w:rPr>
              <w:drawing>
                <wp:inline distT="0" distB="0" distL="0" distR="0" wp14:anchorId="02B77884" wp14:editId="539713CD">
                  <wp:extent cx="3391786" cy="1897217"/>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3068" cy="1897934"/>
                          </a:xfrm>
                          <a:prstGeom prst="rect">
                            <a:avLst/>
                          </a:prstGeom>
                          <a:noFill/>
                          <a:ln>
                            <a:noFill/>
                          </a:ln>
                        </pic:spPr>
                      </pic:pic>
                    </a:graphicData>
                  </a:graphic>
                </wp:inline>
              </w:drawing>
            </w:r>
          </w:p>
          <w:p w:rsidR="00B35E92" w:rsidRDefault="00CE2D01" w:rsidP="00C50EBC">
            <w:pPr>
              <w:jc w:val="center"/>
              <w:rPr>
                <w:lang w:val="fr-CA"/>
              </w:rPr>
            </w:pPr>
            <w:r>
              <w:rPr>
                <w:i/>
                <w:sz w:val="16"/>
                <w:lang w:val="fr-CA"/>
              </w:rPr>
              <w:t xml:space="preserve">Montants sectoriels des </w:t>
            </w:r>
            <w:r w:rsidR="00B35E92">
              <w:rPr>
                <w:i/>
                <w:sz w:val="16"/>
                <w:lang w:val="fr-CA"/>
              </w:rPr>
              <w:t>actions ayant une plusieurs activités</w:t>
            </w:r>
            <w:r w:rsidR="00176C59">
              <w:rPr>
                <w:i/>
                <w:sz w:val="16"/>
                <w:lang w:val="fr-CA"/>
              </w:rPr>
              <w:t xml:space="preserve"> EAH,</w:t>
            </w:r>
            <w:r w:rsidR="00B35E92" w:rsidRPr="00554968">
              <w:rPr>
                <w:i/>
                <w:sz w:val="16"/>
                <w:lang w:val="fr-CA"/>
              </w:rPr>
              <w:t xml:space="preserve"> A&amp;H</w:t>
            </w:r>
            <w:r w:rsidR="00B35E92">
              <w:rPr>
                <w:i/>
                <w:sz w:val="16"/>
                <w:lang w:val="fr-CA"/>
              </w:rPr>
              <w:t xml:space="preserve"> ou </w:t>
            </w:r>
            <w:proofErr w:type="spellStart"/>
            <w:r w:rsidR="00B35E92">
              <w:rPr>
                <w:i/>
                <w:sz w:val="16"/>
                <w:lang w:val="fr-CA"/>
              </w:rPr>
              <w:t>WiN</w:t>
            </w:r>
            <w:proofErr w:type="spellEnd"/>
            <w:r w:rsidR="00176C59">
              <w:rPr>
                <w:i/>
                <w:sz w:val="16"/>
                <w:lang w:val="fr-CA"/>
              </w:rPr>
              <w:t xml:space="preserve"> par pays</w:t>
            </w:r>
          </w:p>
        </w:tc>
      </w:tr>
    </w:tbl>
    <w:p w:rsidR="000E6B7C" w:rsidRDefault="000E6B7C" w:rsidP="000E6B7C">
      <w:pPr>
        <w:jc w:val="both"/>
        <w:rPr>
          <w:lang w:val="fr-CA"/>
        </w:rPr>
      </w:pPr>
      <w:r>
        <w:rPr>
          <w:lang w:val="fr-CA"/>
        </w:rPr>
        <w:t xml:space="preserve">Les pays les plus impliqués dans l’appui aux secteurs EAH sont </w:t>
      </w:r>
      <w:r w:rsidRPr="00945A79">
        <w:rPr>
          <w:b/>
          <w:lang w:val="fr-CA"/>
        </w:rPr>
        <w:t>la Centrafrique</w:t>
      </w:r>
      <w:r>
        <w:rPr>
          <w:lang w:val="fr-CA"/>
        </w:rPr>
        <w:t xml:space="preserve"> (4 M€</w:t>
      </w:r>
      <w:proofErr w:type="gramStart"/>
      <w:r>
        <w:rPr>
          <w:lang w:val="fr-CA"/>
        </w:rPr>
        <w:t>) ,</w:t>
      </w:r>
      <w:proofErr w:type="gramEnd"/>
      <w:r>
        <w:rPr>
          <w:lang w:val="fr-CA"/>
        </w:rPr>
        <w:t xml:space="preserve"> le Niger (3 M€)et le Nigeria (2.9 M€). Pour le secteur A&amp;H il s’agit des mêmes et par ordre décroissant </w:t>
      </w:r>
      <w:r w:rsidRPr="00945A79">
        <w:rPr>
          <w:b/>
          <w:lang w:val="fr-CA"/>
        </w:rPr>
        <w:t>le Niger</w:t>
      </w:r>
      <w:r>
        <w:rPr>
          <w:lang w:val="fr-CA"/>
        </w:rPr>
        <w:t xml:space="preserve"> (2.9 M€), la Centrafrique (2.1 M€) et le Nigeria (1.4 M€). En ce qui concerne l’appui au secteur santé, il s’agit </w:t>
      </w:r>
      <w:r w:rsidRPr="00945A79">
        <w:rPr>
          <w:b/>
          <w:lang w:val="fr-CA"/>
        </w:rPr>
        <w:t>du Tchad</w:t>
      </w:r>
      <w:r>
        <w:rPr>
          <w:lang w:val="fr-CA"/>
        </w:rPr>
        <w:t xml:space="preserve"> (1.8 M€) et le Niger (1.3 M€). En ce qui concerne les différents HIP contributeurs à l’appui, c’est le HIP Afrique de l’Ouest qui cette fois ci consacre 17.2 M€ à l’appui aux secteurs </w:t>
      </w:r>
      <w:r w:rsidR="00222928">
        <w:rPr>
          <w:lang w:val="fr-CA"/>
        </w:rPr>
        <w:t xml:space="preserve">(appui au secteur santé inclus) </w:t>
      </w:r>
      <w:r>
        <w:rPr>
          <w:lang w:val="fr-CA"/>
        </w:rPr>
        <w:t>contre14 M€ pour le HIP Afrique Centr</w:t>
      </w:r>
      <w:r w:rsidR="00222928">
        <w:rPr>
          <w:lang w:val="fr-CA"/>
        </w:rPr>
        <w:t>ale.</w:t>
      </w:r>
    </w:p>
    <w:p w:rsidR="00222928" w:rsidRPr="00096A01" w:rsidRDefault="00222928" w:rsidP="00222928">
      <w:pPr>
        <w:pStyle w:val="Heading3"/>
        <w:rPr>
          <w:lang w:val="fr-CA"/>
        </w:rPr>
      </w:pPr>
      <w:bookmarkStart w:id="11" w:name="_Toc502822661"/>
      <w:r w:rsidRPr="00096A01">
        <w:rPr>
          <w:lang w:val="fr-CA"/>
        </w:rPr>
        <w:t>Une sous-représentation des secteurs EAH &amp; A&amp;H</w:t>
      </w:r>
      <w:bookmarkEnd w:id="11"/>
    </w:p>
    <w:p w:rsidR="00222928" w:rsidRDefault="00222928" w:rsidP="00222928">
      <w:pPr>
        <w:jc w:val="both"/>
        <w:rPr>
          <w:lang w:val="fr-CA"/>
        </w:rPr>
      </w:pPr>
      <w:r>
        <w:rPr>
          <w:lang w:val="fr-CA"/>
        </w:rPr>
        <w:t>La même conclusion que précédemment (§1.1.1.1) peut être reprise ici quant à la sous-représentation du secteur qui fait apparaître une différence plus de 49% (10,5 M€</w:t>
      </w:r>
      <w:r>
        <w:rPr>
          <w:rStyle w:val="FootnoteReference"/>
          <w:lang w:val="fr-CA"/>
        </w:rPr>
        <w:footnoteReference w:id="4"/>
      </w:r>
      <w:r>
        <w:rPr>
          <w:lang w:val="fr-CA"/>
        </w:rPr>
        <w:t xml:space="preserve">) si l’analyse est faite à partir de la composante sectorielle des activités </w:t>
      </w:r>
      <w:r w:rsidR="00176C59">
        <w:rPr>
          <w:lang w:val="fr-CA"/>
        </w:rPr>
        <w:t>quel que</w:t>
      </w:r>
      <w:r>
        <w:rPr>
          <w:lang w:val="fr-CA"/>
        </w:rPr>
        <w:t xml:space="preserve"> soit le secteur du résultat de tutelle.</w:t>
      </w:r>
    </w:p>
    <w:p w:rsidR="00222928" w:rsidRDefault="00465694" w:rsidP="00465694">
      <w:pPr>
        <w:pStyle w:val="Heading2"/>
      </w:pPr>
      <w:bookmarkStart w:id="12" w:name="_Toc502822662"/>
      <w:r>
        <w:t>Par sous-</w:t>
      </w:r>
      <w:proofErr w:type="spellStart"/>
      <w:r>
        <w:t>secteurs</w:t>
      </w:r>
      <w:bookmarkEnd w:id="12"/>
      <w:proofErr w:type="spellEnd"/>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095"/>
      </w:tblGrid>
      <w:tr w:rsidR="00176C59" w:rsidRPr="004F6CD8" w:rsidTr="00405410">
        <w:tc>
          <w:tcPr>
            <w:tcW w:w="4503" w:type="dxa"/>
          </w:tcPr>
          <w:p w:rsidR="00405410" w:rsidRDefault="00405410" w:rsidP="00405410">
            <w:pPr>
              <w:pStyle w:val="Heading3"/>
              <w:outlineLvl w:val="2"/>
              <w:rPr>
                <w:lang w:val="fr-CA"/>
              </w:rPr>
            </w:pPr>
            <w:bookmarkStart w:id="13" w:name="_Toc502822663"/>
            <w:r>
              <w:t xml:space="preserve">Portfolios par sous </w:t>
            </w:r>
            <w:proofErr w:type="spellStart"/>
            <w:r>
              <w:t>secteurs</w:t>
            </w:r>
            <w:bookmarkEnd w:id="13"/>
            <w:proofErr w:type="spellEnd"/>
          </w:p>
          <w:p w:rsidR="00176C59" w:rsidRDefault="00176C59" w:rsidP="00A4704F">
            <w:pPr>
              <w:spacing w:after="0"/>
              <w:rPr>
                <w:lang w:val="fr-CA"/>
              </w:rPr>
            </w:pPr>
            <w:r>
              <w:rPr>
                <w:lang w:val="fr-CA"/>
              </w:rPr>
              <w:t xml:space="preserve">En se basant sur le nombre d’activités dédiées aux différents sous-secteurs, c’est </w:t>
            </w:r>
            <w:r w:rsidRPr="00A4704F">
              <w:rPr>
                <w:b/>
                <w:lang w:val="fr-CA"/>
              </w:rPr>
              <w:t>l’appui au secteur santé</w:t>
            </w:r>
            <w:r>
              <w:rPr>
                <w:lang w:val="fr-CA"/>
              </w:rPr>
              <w:t xml:space="preserve"> qui est </w:t>
            </w:r>
            <w:r w:rsidR="00A4704F">
              <w:rPr>
                <w:lang w:val="fr-CA"/>
              </w:rPr>
              <w:t>le sous-secteur le plus f</w:t>
            </w:r>
            <w:r>
              <w:rPr>
                <w:lang w:val="fr-CA"/>
              </w:rPr>
              <w:t>réque</w:t>
            </w:r>
            <w:r w:rsidR="00A4704F">
              <w:rPr>
                <w:lang w:val="fr-CA"/>
              </w:rPr>
              <w:t>mment appuyé</w:t>
            </w:r>
            <w:r>
              <w:rPr>
                <w:lang w:val="fr-CA"/>
              </w:rPr>
              <w:t xml:space="preserve"> (</w:t>
            </w:r>
            <w:r w:rsidRPr="00A4704F">
              <w:rPr>
                <w:b/>
                <w:lang w:val="fr-CA"/>
              </w:rPr>
              <w:t>39 actions</w:t>
            </w:r>
            <w:r>
              <w:rPr>
                <w:lang w:val="fr-CA"/>
              </w:rPr>
              <w:t xml:space="preserve">), </w:t>
            </w:r>
            <w:r w:rsidR="00A4704F">
              <w:rPr>
                <w:lang w:val="fr-CA"/>
              </w:rPr>
              <w:t>suivent</w:t>
            </w:r>
            <w:r>
              <w:rPr>
                <w:lang w:val="fr-CA"/>
              </w:rPr>
              <w:t xml:space="preserve"> l’accès à l’eau potable (33) et la promotion de l’hygiène (23).</w:t>
            </w:r>
          </w:p>
          <w:p w:rsidR="00405410" w:rsidRDefault="00405410" w:rsidP="00405410">
            <w:pPr>
              <w:spacing w:after="0"/>
              <w:rPr>
                <w:lang w:val="fr-CA"/>
              </w:rPr>
            </w:pPr>
            <w:r>
              <w:rPr>
                <w:lang w:val="fr-CA"/>
              </w:rPr>
              <w:t xml:space="preserve">Le pays le plus impliqué dans l’appui aux trois sous-secteurs de l’EAH </w:t>
            </w:r>
            <w:r w:rsidRPr="002A4513">
              <w:rPr>
                <w:lang w:val="fr-CA"/>
              </w:rPr>
              <w:t>est</w:t>
            </w:r>
            <w:r w:rsidRPr="002A4513">
              <w:rPr>
                <w:b/>
                <w:lang w:val="fr-CA"/>
              </w:rPr>
              <w:t xml:space="preserve"> la Centrafrique</w:t>
            </w:r>
            <w:r>
              <w:rPr>
                <w:lang w:val="fr-CA"/>
              </w:rPr>
              <w:t xml:space="preserve"> (10, 7 et 5 actions impliquées dans l’accès à l’eau potable, à l’assainissement et à l’hygiène</w:t>
            </w:r>
            <w:r w:rsidRPr="00CE2D01">
              <w:rPr>
                <w:lang w:val="fr-CA"/>
              </w:rPr>
              <w:t xml:space="preserve"> </w:t>
            </w:r>
          </w:p>
        </w:tc>
        <w:tc>
          <w:tcPr>
            <w:tcW w:w="6095" w:type="dxa"/>
          </w:tcPr>
          <w:p w:rsidR="00176C59" w:rsidRDefault="00176C59" w:rsidP="00A4704F">
            <w:pPr>
              <w:spacing w:after="0"/>
              <w:rPr>
                <w:lang w:val="fr-CA"/>
              </w:rPr>
            </w:pPr>
            <w:r>
              <w:rPr>
                <w:lang w:val="fr-CA"/>
              </w:rPr>
              <w:t xml:space="preserve"> </w:t>
            </w:r>
            <w:r>
              <w:rPr>
                <w:noProof/>
                <w:lang w:eastAsia="en-GB"/>
              </w:rPr>
              <w:drawing>
                <wp:inline distT="0" distB="0" distL="0" distR="0" wp14:anchorId="5CAA57D5" wp14:editId="0DF85D86">
                  <wp:extent cx="3678865" cy="2034024"/>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0852" cy="2035123"/>
                          </a:xfrm>
                          <a:prstGeom prst="rect">
                            <a:avLst/>
                          </a:prstGeom>
                          <a:noFill/>
                          <a:ln>
                            <a:noFill/>
                          </a:ln>
                        </pic:spPr>
                      </pic:pic>
                    </a:graphicData>
                  </a:graphic>
                </wp:inline>
              </w:drawing>
            </w:r>
          </w:p>
          <w:p w:rsidR="00176C59" w:rsidRDefault="00176C59" w:rsidP="00405410">
            <w:pPr>
              <w:spacing w:after="0"/>
              <w:jc w:val="center"/>
              <w:rPr>
                <w:lang w:val="fr-CA"/>
              </w:rPr>
            </w:pPr>
            <w:r>
              <w:rPr>
                <w:i/>
                <w:sz w:val="16"/>
                <w:lang w:val="fr-CA"/>
              </w:rPr>
              <w:t>Nombre d’actions ayant une plusieurs activités</w:t>
            </w:r>
            <w:r w:rsidRPr="00554968">
              <w:rPr>
                <w:i/>
                <w:sz w:val="16"/>
                <w:lang w:val="fr-CA"/>
              </w:rPr>
              <w:t xml:space="preserve"> EAH</w:t>
            </w:r>
            <w:r>
              <w:rPr>
                <w:i/>
                <w:sz w:val="16"/>
                <w:lang w:val="fr-CA"/>
              </w:rPr>
              <w:t>,</w:t>
            </w:r>
            <w:r w:rsidRPr="00554968">
              <w:rPr>
                <w:i/>
                <w:sz w:val="16"/>
                <w:lang w:val="fr-CA"/>
              </w:rPr>
              <w:t xml:space="preserve"> A&amp;H</w:t>
            </w:r>
            <w:r>
              <w:rPr>
                <w:i/>
                <w:sz w:val="16"/>
                <w:lang w:val="fr-CA"/>
              </w:rPr>
              <w:t xml:space="preserve"> ou </w:t>
            </w:r>
            <w:proofErr w:type="spellStart"/>
            <w:r>
              <w:rPr>
                <w:i/>
                <w:sz w:val="16"/>
                <w:lang w:val="fr-CA"/>
              </w:rPr>
              <w:t>WiN</w:t>
            </w:r>
            <w:proofErr w:type="spellEnd"/>
            <w:r>
              <w:rPr>
                <w:i/>
                <w:sz w:val="16"/>
                <w:lang w:val="fr-CA"/>
              </w:rPr>
              <w:t xml:space="preserve"> par sous-secteurs</w:t>
            </w:r>
          </w:p>
        </w:tc>
      </w:tr>
    </w:tbl>
    <w:p w:rsidR="00465694" w:rsidRDefault="00405410" w:rsidP="00176C59">
      <w:pPr>
        <w:jc w:val="both"/>
        <w:rPr>
          <w:lang w:val="fr-CA"/>
        </w:rPr>
      </w:pPr>
      <w:proofErr w:type="gramStart"/>
      <w:r>
        <w:rPr>
          <w:lang w:val="fr-CA"/>
        </w:rPr>
        <w:t>respectivement</w:t>
      </w:r>
      <w:proofErr w:type="gramEnd"/>
      <w:r>
        <w:rPr>
          <w:lang w:val="fr-CA"/>
        </w:rPr>
        <w:t xml:space="preserve">). En termes d’A&amp;H il s’agit de </w:t>
      </w:r>
      <w:r w:rsidRPr="00405410">
        <w:rPr>
          <w:b/>
          <w:lang w:val="fr-CA"/>
        </w:rPr>
        <w:t>la Centrafrique, le Mali</w:t>
      </w:r>
      <w:r>
        <w:rPr>
          <w:lang w:val="fr-CA"/>
        </w:rPr>
        <w:t xml:space="preserve"> </w:t>
      </w:r>
      <w:r w:rsidRPr="00405410">
        <w:rPr>
          <w:b/>
          <w:lang w:val="fr-CA"/>
        </w:rPr>
        <w:t>et le Niger</w:t>
      </w:r>
      <w:r>
        <w:rPr>
          <w:lang w:val="fr-CA"/>
        </w:rPr>
        <w:t xml:space="preserve"> (avec 3, 3 et 2 actions pour le sous-secteur Abris et 4, 0 et 4 pour les équipements respectivement). </w:t>
      </w:r>
      <w:r w:rsidR="0097676E">
        <w:rPr>
          <w:lang w:val="fr-CA"/>
        </w:rPr>
        <w:t>Le HIP Afrique Centrale soutient d’avantage d’actions visant l’accès à l’eau potable et à l’assainissement que le HIP Afrique de l’Ouest (17 et 10 contre 1</w:t>
      </w:r>
      <w:r w:rsidR="00A4704F">
        <w:rPr>
          <w:lang w:val="fr-CA"/>
        </w:rPr>
        <w:t>3</w:t>
      </w:r>
      <w:r w:rsidR="0097676E">
        <w:rPr>
          <w:lang w:val="fr-CA"/>
        </w:rPr>
        <w:t xml:space="preserve"> et 10 respectivement). C’est le contraire en matière de promotion de l’hygiène (10 contre 12). Les tendances sont plus équilibrées en ce qui concerne les abris et équipements </w:t>
      </w:r>
      <w:r>
        <w:rPr>
          <w:lang w:val="fr-CA"/>
        </w:rPr>
        <w:t xml:space="preserve">domestiques </w:t>
      </w:r>
      <w:r w:rsidR="0097676E">
        <w:rPr>
          <w:lang w:val="fr-CA"/>
        </w:rPr>
        <w:t>(4 et 6 actions pour le HIP Afrique Centrale contre 7 et 5 pour le HIP Afrique de l’Ouest).</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095"/>
      </w:tblGrid>
      <w:tr w:rsidR="00176C59" w:rsidRPr="004F6CD8" w:rsidTr="00405410">
        <w:tc>
          <w:tcPr>
            <w:tcW w:w="4503" w:type="dxa"/>
          </w:tcPr>
          <w:p w:rsidR="00405410" w:rsidRPr="00405410" w:rsidRDefault="00405410" w:rsidP="00405410">
            <w:pPr>
              <w:pStyle w:val="Heading3"/>
              <w:outlineLvl w:val="2"/>
              <w:rPr>
                <w:lang w:val="fr-CA"/>
              </w:rPr>
            </w:pPr>
            <w:bookmarkStart w:id="14" w:name="_Toc502822664"/>
            <w:r w:rsidRPr="00405410">
              <w:rPr>
                <w:lang w:val="fr-CA"/>
              </w:rPr>
              <w:t>Montants alloués par sous-secteurs</w:t>
            </w:r>
            <w:bookmarkEnd w:id="14"/>
            <w:r w:rsidRPr="00405410">
              <w:rPr>
                <w:lang w:val="fr-CA"/>
              </w:rPr>
              <w:t xml:space="preserve"> </w:t>
            </w:r>
          </w:p>
          <w:p w:rsidR="00176C59" w:rsidRDefault="00176C59" w:rsidP="00405410">
            <w:pPr>
              <w:spacing w:after="0"/>
              <w:rPr>
                <w:lang w:val="fr-CA"/>
              </w:rPr>
            </w:pPr>
            <w:r>
              <w:rPr>
                <w:lang w:val="fr-CA"/>
              </w:rPr>
              <w:t xml:space="preserve">En se basant sur </w:t>
            </w:r>
            <w:r w:rsidR="00A4704F">
              <w:rPr>
                <w:lang w:val="fr-CA"/>
              </w:rPr>
              <w:t xml:space="preserve">les montants alloués </w:t>
            </w:r>
            <w:r>
              <w:rPr>
                <w:lang w:val="fr-CA"/>
              </w:rPr>
              <w:t>dédiés aux différents sous-secteurs, c’est l’</w:t>
            </w:r>
            <w:r w:rsidR="00A4704F">
              <w:rPr>
                <w:b/>
                <w:lang w:val="fr-CA"/>
              </w:rPr>
              <w:t>accès à l’eau potable</w:t>
            </w:r>
            <w:r>
              <w:rPr>
                <w:lang w:val="fr-CA"/>
              </w:rPr>
              <w:t xml:space="preserve"> qui est </w:t>
            </w:r>
            <w:r w:rsidR="00A4704F">
              <w:rPr>
                <w:lang w:val="fr-CA"/>
              </w:rPr>
              <w:t>le sous-secteur le plus financé</w:t>
            </w:r>
            <w:r>
              <w:rPr>
                <w:lang w:val="fr-CA"/>
              </w:rPr>
              <w:t xml:space="preserve"> (</w:t>
            </w:r>
            <w:r w:rsidR="00A4704F" w:rsidRPr="00A4704F">
              <w:rPr>
                <w:b/>
                <w:lang w:val="fr-CA"/>
              </w:rPr>
              <w:t>9 M€</w:t>
            </w:r>
            <w:r>
              <w:rPr>
                <w:lang w:val="fr-CA"/>
              </w:rPr>
              <w:t xml:space="preserve">), </w:t>
            </w:r>
            <w:r w:rsidR="00A4704F">
              <w:rPr>
                <w:lang w:val="fr-CA"/>
              </w:rPr>
              <w:t>suivent l’appui au secteur santé (6.7 M€) et les équipements domestiques (5.5 M€).</w:t>
            </w:r>
          </w:p>
          <w:p w:rsidR="00405410" w:rsidRDefault="00405410" w:rsidP="00405410">
            <w:pPr>
              <w:spacing w:after="0"/>
              <w:rPr>
                <w:lang w:val="fr-CA"/>
              </w:rPr>
            </w:pPr>
            <w:r>
              <w:rPr>
                <w:lang w:val="fr-CA"/>
              </w:rPr>
              <w:t xml:space="preserve">Le pays le plus impliqué dans l’appui aux sous-secteurs de l’EAH reste </w:t>
            </w:r>
            <w:r w:rsidRPr="002A4513">
              <w:rPr>
                <w:b/>
                <w:lang w:val="fr-CA"/>
              </w:rPr>
              <w:t>la Centrafrique</w:t>
            </w:r>
            <w:r>
              <w:rPr>
                <w:lang w:val="fr-CA"/>
              </w:rPr>
              <w:t xml:space="preserve"> (2.3 M€ consacrés à l’accès à l’eau potable et 1.2 M€ </w:t>
            </w:r>
          </w:p>
        </w:tc>
        <w:tc>
          <w:tcPr>
            <w:tcW w:w="6095" w:type="dxa"/>
          </w:tcPr>
          <w:p w:rsidR="00176C59" w:rsidRDefault="00176C59" w:rsidP="00A4704F">
            <w:pPr>
              <w:spacing w:after="0"/>
              <w:rPr>
                <w:lang w:val="fr-CA"/>
              </w:rPr>
            </w:pPr>
            <w:r>
              <w:rPr>
                <w:noProof/>
                <w:lang w:eastAsia="en-GB"/>
              </w:rPr>
              <w:drawing>
                <wp:inline distT="0" distB="0" distL="0" distR="0" wp14:anchorId="5C560381" wp14:editId="6AD152D0">
                  <wp:extent cx="3636483" cy="2094614"/>
                  <wp:effectExtent l="0" t="0" r="254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2006" cy="2097795"/>
                          </a:xfrm>
                          <a:prstGeom prst="rect">
                            <a:avLst/>
                          </a:prstGeom>
                          <a:noFill/>
                          <a:ln>
                            <a:noFill/>
                          </a:ln>
                        </pic:spPr>
                      </pic:pic>
                    </a:graphicData>
                  </a:graphic>
                </wp:inline>
              </w:drawing>
            </w:r>
          </w:p>
          <w:p w:rsidR="00176C59" w:rsidRDefault="00176C59" w:rsidP="00405410">
            <w:pPr>
              <w:spacing w:after="0"/>
              <w:jc w:val="center"/>
              <w:rPr>
                <w:lang w:val="fr-CA"/>
              </w:rPr>
            </w:pPr>
            <w:r>
              <w:rPr>
                <w:i/>
                <w:sz w:val="16"/>
                <w:lang w:val="fr-CA"/>
              </w:rPr>
              <w:t>Montants alloués par sous-secteurs</w:t>
            </w:r>
            <w:r w:rsidRPr="00554968">
              <w:rPr>
                <w:i/>
                <w:sz w:val="16"/>
                <w:lang w:val="fr-CA"/>
              </w:rPr>
              <w:t xml:space="preserve"> EAH</w:t>
            </w:r>
            <w:r>
              <w:rPr>
                <w:i/>
                <w:sz w:val="16"/>
                <w:lang w:val="fr-CA"/>
              </w:rPr>
              <w:t>,</w:t>
            </w:r>
            <w:r w:rsidRPr="00554968">
              <w:rPr>
                <w:i/>
                <w:sz w:val="16"/>
                <w:lang w:val="fr-CA"/>
              </w:rPr>
              <w:t xml:space="preserve"> A&amp;H</w:t>
            </w:r>
            <w:r>
              <w:rPr>
                <w:i/>
                <w:sz w:val="16"/>
                <w:lang w:val="fr-CA"/>
              </w:rPr>
              <w:t xml:space="preserve"> ou </w:t>
            </w:r>
            <w:proofErr w:type="spellStart"/>
            <w:r>
              <w:rPr>
                <w:i/>
                <w:sz w:val="16"/>
                <w:lang w:val="fr-CA"/>
              </w:rPr>
              <w:t>WiN</w:t>
            </w:r>
            <w:proofErr w:type="spellEnd"/>
            <w:r>
              <w:rPr>
                <w:i/>
                <w:sz w:val="16"/>
                <w:lang w:val="fr-CA"/>
              </w:rPr>
              <w:t xml:space="preserve"> par pays</w:t>
            </w:r>
          </w:p>
        </w:tc>
      </w:tr>
    </w:tbl>
    <w:p w:rsidR="002A4513" w:rsidRDefault="00405410" w:rsidP="002A4513">
      <w:pPr>
        <w:jc w:val="both"/>
        <w:rPr>
          <w:lang w:val="fr-CA"/>
        </w:rPr>
      </w:pPr>
      <w:proofErr w:type="gramStart"/>
      <w:r>
        <w:rPr>
          <w:lang w:val="fr-CA"/>
        </w:rPr>
        <w:t>consacrés</w:t>
      </w:r>
      <w:proofErr w:type="gramEnd"/>
      <w:r>
        <w:rPr>
          <w:lang w:val="fr-CA"/>
        </w:rPr>
        <w:t xml:space="preserve"> à l’assainissement) hormis pour l’hygiène</w:t>
      </w:r>
      <w:r w:rsidR="00A4704F">
        <w:rPr>
          <w:lang w:val="fr-CA"/>
        </w:rPr>
        <w:t xml:space="preserve"> ou le pays (0.46 M€ consacrés au sous-secteur) est devancé par le </w:t>
      </w:r>
      <w:r w:rsidR="00A4704F" w:rsidRPr="00405410">
        <w:rPr>
          <w:b/>
          <w:lang w:val="fr-CA"/>
        </w:rPr>
        <w:t>Nigeria</w:t>
      </w:r>
      <w:r w:rsidR="00A4704F">
        <w:rPr>
          <w:lang w:val="fr-CA"/>
        </w:rPr>
        <w:t xml:space="preserve"> (0.76 M€) et le Niger (0.63 M€). </w:t>
      </w:r>
      <w:r w:rsidR="00417413">
        <w:rPr>
          <w:lang w:val="fr-CA"/>
        </w:rPr>
        <w:t xml:space="preserve">En termes d’A&amp;H, </w:t>
      </w:r>
      <w:r w:rsidR="00417413" w:rsidRPr="00417413">
        <w:rPr>
          <w:b/>
          <w:lang w:val="fr-CA"/>
        </w:rPr>
        <w:t>Le Nigeria</w:t>
      </w:r>
      <w:r w:rsidR="00417413">
        <w:rPr>
          <w:lang w:val="fr-CA"/>
        </w:rPr>
        <w:t xml:space="preserve"> (1 M€) devance la Centrafrique (0.8 M€) en matière d’abris, et le </w:t>
      </w:r>
      <w:r w:rsidR="00417413" w:rsidRPr="00405410">
        <w:rPr>
          <w:b/>
          <w:lang w:val="fr-CA"/>
        </w:rPr>
        <w:t>Niger</w:t>
      </w:r>
      <w:r w:rsidR="00417413">
        <w:rPr>
          <w:lang w:val="fr-CA"/>
        </w:rPr>
        <w:t xml:space="preserve"> (2.5 M€) devance là encore la Centrafrique (1.3 M€). </w:t>
      </w:r>
      <w:r w:rsidR="002A4513">
        <w:rPr>
          <w:lang w:val="fr-CA"/>
        </w:rPr>
        <w:t>En ce qui concerne les HIP Afrique de l’Ouest et Afrique Centrale, les montants consacrés à l’accès à l’eau potable sont sensiblement les mêmes (4.1 M€ contre 4.3 M€). Il en va de même pour l’assainissement (2.6 M€ contre 2.7 M€) et la promotion de l’hygiène (1.8 M€ contre 1.5 M€). La différence est plus marquées en ce qui concerne les abris (1.5 M€ pour le HIP Afrique de l’Ouest contre 0.9 M€ pour l’Afrique Centrale) ou les équipements domestiques (3 M€ contre 2.4 M€).</w:t>
      </w:r>
    </w:p>
    <w:p w:rsidR="00417413" w:rsidRDefault="00081845" w:rsidP="00465694">
      <w:pPr>
        <w:pStyle w:val="Heading1"/>
        <w:rPr>
          <w:lang w:val="fr-CA"/>
        </w:rPr>
      </w:pPr>
      <w:bookmarkStart w:id="15" w:name="_Toc502822665"/>
      <w:r>
        <w:rPr>
          <w:lang w:val="fr-CA"/>
        </w:rPr>
        <w:t>Contraintes, défis &amp; recommandations</w:t>
      </w:r>
      <w:bookmarkEnd w:id="15"/>
    </w:p>
    <w:p w:rsidR="001C7CFA" w:rsidRDefault="00417413" w:rsidP="00417413">
      <w:pPr>
        <w:pStyle w:val="Heading2"/>
        <w:rPr>
          <w:lang w:val="fr-CA"/>
        </w:rPr>
      </w:pPr>
      <w:bookmarkStart w:id="16" w:name="_Toc502822666"/>
      <w:r>
        <w:rPr>
          <w:lang w:val="fr-CA"/>
        </w:rPr>
        <w:t>Stratégique</w:t>
      </w:r>
      <w:bookmarkEnd w:id="16"/>
      <w:r>
        <w:rPr>
          <w:lang w:val="fr-CA"/>
        </w:rPr>
        <w:t xml:space="preserve"> </w:t>
      </w:r>
    </w:p>
    <w:p w:rsidR="00373A8A" w:rsidRDefault="00373A8A" w:rsidP="001C7CFA">
      <w:pPr>
        <w:pStyle w:val="Heading3"/>
        <w:rPr>
          <w:lang w:val="fr-CA"/>
        </w:rPr>
      </w:pPr>
      <w:bookmarkStart w:id="17" w:name="_Toc502822667"/>
      <w:r>
        <w:rPr>
          <w:lang w:val="fr-CA"/>
        </w:rPr>
        <w:t>WASH Policy</w:t>
      </w:r>
      <w:bookmarkEnd w:id="17"/>
    </w:p>
    <w:p w:rsidR="00417413" w:rsidRPr="001C7CFA" w:rsidRDefault="001C7CFA" w:rsidP="00373A8A">
      <w:pPr>
        <w:pStyle w:val="Heading4"/>
      </w:pPr>
      <w:r w:rsidRPr="001C7CFA">
        <w:t xml:space="preserve">Implication de la DG-ECHO pour des situations de crises maintenues par les bénéficiaires des actions, </w:t>
      </w:r>
      <w:r w:rsidR="00417413" w:rsidRPr="001C7CFA">
        <w:t>Exemple du camp de réfugiés de Tindouf -Algérie)</w:t>
      </w:r>
    </w:p>
    <w:p w:rsidR="00417413" w:rsidRDefault="00417413" w:rsidP="00417413">
      <w:pPr>
        <w:jc w:val="both"/>
        <w:rPr>
          <w:lang w:val="fr-FR"/>
        </w:rPr>
      </w:pPr>
      <w:r>
        <w:rPr>
          <w:lang w:val="fr-FR"/>
        </w:rPr>
        <w:t>La problématique s’inscrit dans une dynamique de crise persistante (pro-</w:t>
      </w:r>
      <w:proofErr w:type="spellStart"/>
      <w:r>
        <w:rPr>
          <w:lang w:val="fr-FR"/>
        </w:rPr>
        <w:t>tracted</w:t>
      </w:r>
      <w:proofErr w:type="spellEnd"/>
      <w:r>
        <w:rPr>
          <w:lang w:val="fr-FR"/>
        </w:rPr>
        <w:t xml:space="preserve"> </w:t>
      </w:r>
      <w:proofErr w:type="spellStart"/>
      <w:r>
        <w:rPr>
          <w:lang w:val="fr-FR"/>
        </w:rPr>
        <w:t>crisis</w:t>
      </w:r>
      <w:proofErr w:type="spellEnd"/>
      <w:r>
        <w:rPr>
          <w:lang w:val="fr-FR"/>
        </w:rPr>
        <w:t>), le contexte sahraoui étant particulier dans la mesure où les populations ne sont pas contraintes à rester réfugiées pour des raisons a priori sécuritaires mais souhaitent le rester pour des raisons essentiellement politiques.</w:t>
      </w:r>
    </w:p>
    <w:p w:rsidR="00417413" w:rsidRDefault="00417413" w:rsidP="00417413">
      <w:pPr>
        <w:jc w:val="both"/>
        <w:rPr>
          <w:lang w:val="fr-FR"/>
        </w:rPr>
      </w:pPr>
      <w:r>
        <w:rPr>
          <w:lang w:val="fr-FR"/>
        </w:rPr>
        <w:t xml:space="preserve">Si en 1975, les raisons d’intervenir étaient humanitaires (conflits), elles ne sont plus depuis 1991 lorsque les accords de paix ont été signés. La question se pose du maintien de l’aide humanitaire quand toutes les conditions aux retours sont réunies (sécurité, accès) et que l’exil des réfugiés ne se justifie plus sur une seule base humanitaire mais essentiellement politique. </w:t>
      </w:r>
    </w:p>
    <w:p w:rsidR="00417413" w:rsidRPr="0065261F" w:rsidRDefault="00417413" w:rsidP="00417413">
      <w:pPr>
        <w:jc w:val="both"/>
        <w:rPr>
          <w:lang w:val="fr-FR"/>
        </w:rPr>
      </w:pPr>
      <w:r w:rsidRPr="0040790C">
        <w:rPr>
          <w:lang w:val="fr-FR"/>
        </w:rPr>
        <w:t xml:space="preserve">Il ne serait pas inutile </w:t>
      </w:r>
      <w:r>
        <w:rPr>
          <w:lang w:val="fr-FR"/>
        </w:rPr>
        <w:t>de clarifier la position</w:t>
      </w:r>
      <w:r w:rsidRPr="0040790C">
        <w:rPr>
          <w:lang w:val="fr-FR"/>
        </w:rPr>
        <w:t xml:space="preserve"> d</w:t>
      </w:r>
      <w:r>
        <w:rPr>
          <w:lang w:val="fr-FR"/>
        </w:rPr>
        <w:t>e la DG-</w:t>
      </w:r>
      <w:r w:rsidRPr="0040790C">
        <w:rPr>
          <w:lang w:val="fr-FR"/>
        </w:rPr>
        <w:t xml:space="preserve">ECHO </w:t>
      </w:r>
      <w:r>
        <w:rPr>
          <w:lang w:val="fr-FR"/>
        </w:rPr>
        <w:t xml:space="preserve">pour le </w:t>
      </w:r>
      <w:r w:rsidRPr="0040790C">
        <w:rPr>
          <w:lang w:val="fr-FR"/>
        </w:rPr>
        <w:t xml:space="preserve">maintien d’une aide humanitaire </w:t>
      </w:r>
      <w:r>
        <w:rPr>
          <w:lang w:val="fr-FR"/>
        </w:rPr>
        <w:t>à</w:t>
      </w:r>
      <w:r w:rsidRPr="0040790C">
        <w:rPr>
          <w:lang w:val="fr-FR"/>
        </w:rPr>
        <w:t xml:space="preserve"> des populations refusant une sortie de crise pour des raisons politique </w:t>
      </w:r>
      <w:r>
        <w:rPr>
          <w:lang w:val="fr-FR"/>
        </w:rPr>
        <w:t xml:space="preserve">pour écarter tout soupçon d’ingérence de la part des </w:t>
      </w:r>
      <w:r w:rsidRPr="0040790C">
        <w:rPr>
          <w:lang w:val="fr-FR"/>
        </w:rPr>
        <w:t>lobby</w:t>
      </w:r>
      <w:r>
        <w:rPr>
          <w:lang w:val="fr-FR"/>
        </w:rPr>
        <w:t>s</w:t>
      </w:r>
      <w:r w:rsidRPr="0040790C">
        <w:rPr>
          <w:lang w:val="fr-FR"/>
        </w:rPr>
        <w:t xml:space="preserve"> politique</w:t>
      </w:r>
      <w:r>
        <w:rPr>
          <w:lang w:val="fr-FR"/>
        </w:rPr>
        <w:t>s</w:t>
      </w:r>
      <w:r w:rsidRPr="0040790C">
        <w:rPr>
          <w:lang w:val="fr-FR"/>
        </w:rPr>
        <w:t xml:space="preserve"> portant ce refus.</w:t>
      </w:r>
      <w:r>
        <w:rPr>
          <w:lang w:val="fr-FR"/>
        </w:rPr>
        <w:t xml:space="preserve"> </w:t>
      </w:r>
    </w:p>
    <w:p w:rsidR="00841E31" w:rsidRDefault="00417413" w:rsidP="001C7CFA">
      <w:pPr>
        <w:pStyle w:val="Heading2"/>
        <w:rPr>
          <w:lang w:val="fr-CA"/>
        </w:rPr>
      </w:pPr>
      <w:bookmarkStart w:id="18" w:name="_Toc502822668"/>
      <w:r>
        <w:rPr>
          <w:lang w:val="fr-CA"/>
        </w:rPr>
        <w:t>Opérationnel</w:t>
      </w:r>
      <w:bookmarkEnd w:id="18"/>
      <w:r>
        <w:rPr>
          <w:lang w:val="fr-CA"/>
        </w:rPr>
        <w:t xml:space="preserve"> </w:t>
      </w:r>
    </w:p>
    <w:p w:rsidR="001C7CFA" w:rsidRDefault="001C7CFA" w:rsidP="001C7CFA">
      <w:pPr>
        <w:pStyle w:val="Heading3"/>
      </w:pPr>
      <w:bookmarkStart w:id="19" w:name="_Toc502822669"/>
      <w:r>
        <w:t xml:space="preserve">Conception de la </w:t>
      </w:r>
      <w:proofErr w:type="spellStart"/>
      <w:r>
        <w:t>réponse</w:t>
      </w:r>
      <w:bookmarkEnd w:id="19"/>
      <w:proofErr w:type="spellEnd"/>
    </w:p>
    <w:p w:rsidR="00D82B53" w:rsidRDefault="00D82B53" w:rsidP="00D82B53">
      <w:pPr>
        <w:pStyle w:val="Heading4"/>
      </w:pPr>
      <w:r>
        <w:t>Distinction entre crisis modifier &amp; Mécanisme de Réponse Rapide, Exemple d’une réponse choléra à Am Timan –</w:t>
      </w:r>
      <w:proofErr w:type="gramStart"/>
      <w:r>
        <w:t>Tchad</w:t>
      </w:r>
      <w:r w:rsidR="00613860">
        <w:t> ,</w:t>
      </w:r>
      <w:proofErr w:type="gramEnd"/>
      <w:r w:rsidR="00613860">
        <w:t xml:space="preserve"> Diffa – Niger, </w:t>
      </w:r>
    </w:p>
    <w:p w:rsidR="00D82B53" w:rsidRDefault="00D82B53" w:rsidP="001C7CFA">
      <w:pPr>
        <w:jc w:val="both"/>
        <w:rPr>
          <w:lang w:val="fr-CA"/>
        </w:rPr>
      </w:pPr>
      <w:r>
        <w:rPr>
          <w:lang w:val="fr-FR"/>
        </w:rPr>
        <w:t>En ce qui concerne la distinction entre mécanismes de réponses rapides (MRR) et contraintes de réorientations des activités (</w:t>
      </w:r>
      <w:proofErr w:type="spellStart"/>
      <w:r>
        <w:rPr>
          <w:lang w:val="fr-FR"/>
        </w:rPr>
        <w:t>Crisis</w:t>
      </w:r>
      <w:proofErr w:type="spellEnd"/>
      <w:r>
        <w:rPr>
          <w:lang w:val="fr-FR"/>
        </w:rPr>
        <w:t xml:space="preserve"> Modifier) celles-ci peuvent résumée dans le tableau ci-dessous.</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1800"/>
        <w:gridCol w:w="2250"/>
      </w:tblGrid>
      <w:tr w:rsidR="00D82B53" w:rsidRPr="00300E47" w:rsidTr="00D82B53">
        <w:tc>
          <w:tcPr>
            <w:tcW w:w="5238" w:type="dxa"/>
            <w:tcBorders>
              <w:bottom w:val="single" w:sz="4" w:space="0" w:color="auto"/>
              <w:right w:val="single" w:sz="4" w:space="0" w:color="auto"/>
            </w:tcBorders>
            <w:vAlign w:val="center"/>
          </w:tcPr>
          <w:p w:rsidR="00D82B53" w:rsidRPr="00300E47" w:rsidRDefault="00D82B53" w:rsidP="00081845">
            <w:pPr>
              <w:jc w:val="left"/>
              <w:rPr>
                <w:sz w:val="18"/>
                <w:lang w:val="fr-FR"/>
              </w:rPr>
            </w:pPr>
          </w:p>
        </w:tc>
        <w:tc>
          <w:tcPr>
            <w:tcW w:w="180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081845">
            <w:pPr>
              <w:jc w:val="center"/>
              <w:rPr>
                <w:sz w:val="18"/>
                <w:lang w:val="fr-FR"/>
              </w:rPr>
            </w:pPr>
            <w:r w:rsidRPr="00300E47">
              <w:rPr>
                <w:sz w:val="18"/>
                <w:lang w:val="fr-FR"/>
              </w:rPr>
              <w:t>MRR</w:t>
            </w:r>
          </w:p>
        </w:tc>
        <w:tc>
          <w:tcPr>
            <w:tcW w:w="225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081845">
            <w:pPr>
              <w:jc w:val="center"/>
              <w:rPr>
                <w:sz w:val="18"/>
                <w:lang w:val="fr-FR"/>
              </w:rPr>
            </w:pPr>
            <w:proofErr w:type="spellStart"/>
            <w:r w:rsidRPr="00300E47">
              <w:rPr>
                <w:sz w:val="18"/>
                <w:lang w:val="fr-FR"/>
              </w:rPr>
              <w:t>Crisis</w:t>
            </w:r>
            <w:proofErr w:type="spellEnd"/>
            <w:r w:rsidRPr="00300E47">
              <w:rPr>
                <w:sz w:val="18"/>
                <w:lang w:val="fr-FR"/>
              </w:rPr>
              <w:t xml:space="preserve"> Modifier</w:t>
            </w:r>
          </w:p>
        </w:tc>
      </w:tr>
      <w:tr w:rsidR="00D82B53" w:rsidRPr="00300E47" w:rsidTr="00D82B53">
        <w:tc>
          <w:tcPr>
            <w:tcW w:w="5238"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left"/>
              <w:rPr>
                <w:sz w:val="18"/>
                <w:lang w:val="fr-FR"/>
              </w:rPr>
            </w:pPr>
            <w:r w:rsidRPr="00300E47">
              <w:rPr>
                <w:sz w:val="18"/>
                <w:lang w:val="fr-FR"/>
              </w:rPr>
              <w:t>Peut faire l’objet d’un projet/d’une action en soit</w:t>
            </w:r>
          </w:p>
        </w:tc>
        <w:tc>
          <w:tcPr>
            <w:tcW w:w="180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center"/>
              <w:rPr>
                <w:sz w:val="18"/>
                <w:lang w:val="fr-FR"/>
              </w:rPr>
            </w:pPr>
            <w:r w:rsidRPr="00300E47">
              <w:rPr>
                <w:sz w:val="18"/>
                <w:lang w:val="fr-FR"/>
              </w:rPr>
              <w:t>Oui</w:t>
            </w:r>
          </w:p>
        </w:tc>
        <w:tc>
          <w:tcPr>
            <w:tcW w:w="225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center"/>
              <w:rPr>
                <w:sz w:val="18"/>
                <w:lang w:val="fr-FR"/>
              </w:rPr>
            </w:pPr>
            <w:r w:rsidRPr="00300E47">
              <w:rPr>
                <w:sz w:val="18"/>
                <w:lang w:val="fr-FR"/>
              </w:rPr>
              <w:t>Non</w:t>
            </w:r>
          </w:p>
        </w:tc>
      </w:tr>
      <w:tr w:rsidR="00D82B53" w:rsidRPr="00300E47" w:rsidTr="00D82B53">
        <w:trPr>
          <w:trHeight w:val="319"/>
        </w:trPr>
        <w:tc>
          <w:tcPr>
            <w:tcW w:w="5238"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left"/>
              <w:rPr>
                <w:sz w:val="18"/>
                <w:lang w:val="fr-FR"/>
              </w:rPr>
            </w:pPr>
            <w:r w:rsidRPr="00300E47">
              <w:rPr>
                <w:sz w:val="18"/>
                <w:lang w:val="fr-FR"/>
              </w:rPr>
              <w:t>Peut ne pas être financé (réaffectation de ressources issues d’autres résultats)</w:t>
            </w:r>
          </w:p>
        </w:tc>
        <w:tc>
          <w:tcPr>
            <w:tcW w:w="180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center"/>
              <w:rPr>
                <w:sz w:val="18"/>
                <w:lang w:val="fr-FR"/>
              </w:rPr>
            </w:pPr>
            <w:r w:rsidRPr="00300E47">
              <w:rPr>
                <w:sz w:val="18"/>
                <w:lang w:val="fr-FR"/>
              </w:rPr>
              <w:t>Non</w:t>
            </w:r>
          </w:p>
        </w:tc>
        <w:tc>
          <w:tcPr>
            <w:tcW w:w="225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center"/>
              <w:rPr>
                <w:sz w:val="18"/>
                <w:lang w:val="fr-FR"/>
              </w:rPr>
            </w:pPr>
            <w:r w:rsidRPr="00300E47">
              <w:rPr>
                <w:sz w:val="18"/>
                <w:lang w:val="fr-FR"/>
              </w:rPr>
              <w:t>Oui</w:t>
            </w:r>
          </w:p>
        </w:tc>
      </w:tr>
      <w:tr w:rsidR="00D82B53" w:rsidRPr="00300E47" w:rsidTr="00D82B53">
        <w:tc>
          <w:tcPr>
            <w:tcW w:w="5238"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left"/>
              <w:rPr>
                <w:sz w:val="18"/>
                <w:lang w:val="fr-FR"/>
              </w:rPr>
            </w:pPr>
            <w:r w:rsidRPr="00300E47">
              <w:rPr>
                <w:sz w:val="18"/>
                <w:lang w:val="fr-FR"/>
              </w:rPr>
              <w:t>Problématique ciblée</w:t>
            </w:r>
          </w:p>
        </w:tc>
        <w:tc>
          <w:tcPr>
            <w:tcW w:w="180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center"/>
              <w:rPr>
                <w:sz w:val="18"/>
                <w:lang w:val="fr-FR"/>
              </w:rPr>
            </w:pPr>
            <w:r w:rsidRPr="00300E47">
              <w:rPr>
                <w:sz w:val="18"/>
                <w:lang w:val="fr-FR"/>
              </w:rPr>
              <w:t>Populations victimes de conflits</w:t>
            </w:r>
          </w:p>
        </w:tc>
        <w:tc>
          <w:tcPr>
            <w:tcW w:w="225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center"/>
              <w:rPr>
                <w:sz w:val="18"/>
                <w:lang w:val="fr-FR"/>
              </w:rPr>
            </w:pPr>
            <w:r w:rsidRPr="00300E47">
              <w:rPr>
                <w:sz w:val="18"/>
                <w:lang w:val="fr-FR"/>
              </w:rPr>
              <w:t>Catastrophes naturelles essentiellement</w:t>
            </w:r>
            <w:r>
              <w:rPr>
                <w:rStyle w:val="FootnoteReference"/>
                <w:sz w:val="18"/>
                <w:lang w:val="fr-FR"/>
              </w:rPr>
              <w:footnoteReference w:id="5"/>
            </w:r>
          </w:p>
        </w:tc>
        <w:bookmarkStart w:id="20" w:name="_GoBack"/>
        <w:bookmarkEnd w:id="20"/>
      </w:tr>
      <w:tr w:rsidR="00D82B53" w:rsidRPr="00300E47" w:rsidTr="00D82B53">
        <w:tc>
          <w:tcPr>
            <w:tcW w:w="5238"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left"/>
              <w:rPr>
                <w:sz w:val="18"/>
                <w:lang w:val="fr-FR"/>
              </w:rPr>
            </w:pPr>
            <w:r w:rsidRPr="00300E47">
              <w:rPr>
                <w:sz w:val="18"/>
                <w:lang w:val="fr-FR"/>
              </w:rPr>
              <w:t>Est tenu à des performances (réactivité, volume d’activité) rapporté dans un résultat dédié</w:t>
            </w:r>
          </w:p>
        </w:tc>
        <w:tc>
          <w:tcPr>
            <w:tcW w:w="180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center"/>
              <w:rPr>
                <w:sz w:val="18"/>
                <w:lang w:val="fr-FR"/>
              </w:rPr>
            </w:pPr>
            <w:r w:rsidRPr="00300E47">
              <w:rPr>
                <w:sz w:val="18"/>
                <w:lang w:val="fr-FR"/>
              </w:rPr>
              <w:t>Oui</w:t>
            </w:r>
          </w:p>
        </w:tc>
        <w:tc>
          <w:tcPr>
            <w:tcW w:w="225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center"/>
              <w:rPr>
                <w:sz w:val="18"/>
                <w:lang w:val="fr-FR"/>
              </w:rPr>
            </w:pPr>
            <w:r w:rsidRPr="00300E47">
              <w:rPr>
                <w:sz w:val="18"/>
                <w:lang w:val="fr-FR"/>
              </w:rPr>
              <w:t>Oui</w:t>
            </w:r>
          </w:p>
        </w:tc>
      </w:tr>
      <w:tr w:rsidR="00D82B53" w:rsidRPr="00300E47" w:rsidTr="00D82B53">
        <w:tc>
          <w:tcPr>
            <w:tcW w:w="5238"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left"/>
              <w:rPr>
                <w:sz w:val="18"/>
                <w:lang w:val="fr-FR"/>
              </w:rPr>
            </w:pPr>
            <w:r w:rsidRPr="00300E47">
              <w:rPr>
                <w:sz w:val="18"/>
                <w:lang w:val="fr-FR"/>
              </w:rPr>
              <w:t>Est tenu de suivre l’accès aux services mis en place</w:t>
            </w:r>
          </w:p>
        </w:tc>
        <w:tc>
          <w:tcPr>
            <w:tcW w:w="180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center"/>
              <w:rPr>
                <w:sz w:val="18"/>
                <w:lang w:val="fr-FR"/>
              </w:rPr>
            </w:pPr>
            <w:r w:rsidRPr="00300E47">
              <w:rPr>
                <w:sz w:val="18"/>
                <w:lang w:val="fr-FR"/>
              </w:rPr>
              <w:t>Oui</w:t>
            </w:r>
          </w:p>
        </w:tc>
        <w:tc>
          <w:tcPr>
            <w:tcW w:w="2250" w:type="dxa"/>
            <w:tcBorders>
              <w:top w:val="single" w:sz="4" w:space="0" w:color="auto"/>
              <w:left w:val="single" w:sz="4" w:space="0" w:color="auto"/>
              <w:bottom w:val="single" w:sz="4" w:space="0" w:color="auto"/>
              <w:right w:val="single" w:sz="4" w:space="0" w:color="auto"/>
            </w:tcBorders>
            <w:vAlign w:val="center"/>
          </w:tcPr>
          <w:p w:rsidR="00D82B53" w:rsidRPr="00300E47" w:rsidRDefault="00D82B53" w:rsidP="00D82B53">
            <w:pPr>
              <w:spacing w:after="0" w:line="240" w:lineRule="auto"/>
              <w:jc w:val="center"/>
              <w:rPr>
                <w:sz w:val="18"/>
                <w:lang w:val="fr-FR"/>
              </w:rPr>
            </w:pPr>
            <w:r w:rsidRPr="00300E47">
              <w:rPr>
                <w:sz w:val="18"/>
                <w:lang w:val="fr-FR"/>
              </w:rPr>
              <w:t>Oui</w:t>
            </w:r>
          </w:p>
        </w:tc>
      </w:tr>
    </w:tbl>
    <w:p w:rsidR="00613860" w:rsidRDefault="00613860" w:rsidP="00613860">
      <w:pPr>
        <w:spacing w:before="240"/>
        <w:jc w:val="both"/>
        <w:rPr>
          <w:lang w:val="fr-FR"/>
        </w:rPr>
      </w:pPr>
      <w:r>
        <w:rPr>
          <w:lang w:val="fr-FR"/>
        </w:rPr>
        <w:t>Enfin, les mécanismes de réponse rapides sont des outils particuliers. L’expérience de Diffa souligne que les intervenants n’étaient pas au départ familiarisés avec ce type d’intervention dont la réactivité est un des paramètres clefs dans l’évaluation de leur performance. Il ne serait pas inutile que les éléments clefs constituant un MRR soient regroupés et capitalisés dans le cadre d’un TIP afin de guider les Assistants Techniques Pays dans l’évaluation de requête de financement portant sur ce type de mécanismes.</w:t>
      </w:r>
    </w:p>
    <w:p w:rsidR="00405410" w:rsidRDefault="00405410" w:rsidP="00405410">
      <w:pPr>
        <w:pStyle w:val="Heading4"/>
        <w:numPr>
          <w:ilvl w:val="3"/>
          <w:numId w:val="47"/>
        </w:numPr>
      </w:pPr>
      <w:r>
        <w:t>Du mauvais usage des normes SPHERE  (Algérie, Nigeria, Niger, Cameroun)</w:t>
      </w:r>
    </w:p>
    <w:p w:rsidR="00405410" w:rsidRDefault="00405410" w:rsidP="00405410">
      <w:pPr>
        <w:jc w:val="both"/>
        <w:rPr>
          <w:lang w:val="fr-CA"/>
        </w:rPr>
      </w:pPr>
      <w:r>
        <w:rPr>
          <w:lang w:val="fr-CA"/>
        </w:rPr>
        <w:t xml:space="preserve">Une tendance de plus en plus grande a été observée d’utiliser les normes SPHERE comme outil de programmation de la réponse humanitaire. Notamment pour définir le nombre d’ouvrages nécessaire (nombre de points d’eau, de latrine, </w:t>
      </w:r>
      <w:proofErr w:type="spellStart"/>
      <w:r>
        <w:rPr>
          <w:lang w:val="fr-CA"/>
        </w:rPr>
        <w:t>etc</w:t>
      </w:r>
      <w:proofErr w:type="spellEnd"/>
      <w:r>
        <w:rPr>
          <w:lang w:val="fr-CA"/>
        </w:rPr>
        <w:t>).</w:t>
      </w:r>
    </w:p>
    <w:p w:rsidR="00405410" w:rsidRDefault="00405410" w:rsidP="00405410">
      <w:pPr>
        <w:jc w:val="both"/>
        <w:rPr>
          <w:lang w:val="fr-CA"/>
        </w:rPr>
      </w:pPr>
      <w:r>
        <w:rPr>
          <w:lang w:val="fr-CA"/>
        </w:rPr>
        <w:t xml:space="preserve">Or les standards SPHERE ne servent qu’à identifier un éventuel besoin et non à définir une réponse. Le fait d’avoir plus de 500 personnes autour d’une pompe à main souligne un déficit d’accès à l’eau potable. En revanche, concevoir une pompe à main pour 500 personnes consiste à imaginer un usage ininterrompu de la structure pendant 7 heures et </w:t>
      </w:r>
      <w:proofErr w:type="gramStart"/>
      <w:r>
        <w:rPr>
          <w:lang w:val="fr-CA"/>
        </w:rPr>
        <w:t>demie</w:t>
      </w:r>
      <w:proofErr w:type="gramEnd"/>
      <w:r>
        <w:rPr>
          <w:lang w:val="fr-CA"/>
        </w:rPr>
        <w:t xml:space="preserve"> tout en s’assurant que l’attente à la pompe ne dépasse pas 30 minutes</w:t>
      </w:r>
      <w:r>
        <w:rPr>
          <w:rStyle w:val="FootnoteReference"/>
          <w:lang w:val="fr-CA"/>
        </w:rPr>
        <w:footnoteReference w:id="6"/>
      </w:r>
      <w:r>
        <w:rPr>
          <w:lang w:val="fr-CA"/>
        </w:rPr>
        <w:t>. Ce qu’aucun partenaire ne peut mettre en place compte tenu des horaires fixes de puisage d’eau (le matin et le soir).</w:t>
      </w:r>
    </w:p>
    <w:p w:rsidR="00405410" w:rsidRDefault="00405410" w:rsidP="00405410">
      <w:pPr>
        <w:jc w:val="both"/>
        <w:rPr>
          <w:lang w:val="fr-CA"/>
        </w:rPr>
      </w:pPr>
      <w:r>
        <w:rPr>
          <w:lang w:val="fr-CA"/>
        </w:rPr>
        <w:t>Ainsi le dévoiement de l’usage des standards SPHERE comme outil de programmation conduit à la mise en place d’une réponse humanitaire de mauvaise qualité (ou du moins peu satisfaisante pour les usagers).</w:t>
      </w:r>
    </w:p>
    <w:p w:rsidR="001C7CFA" w:rsidRDefault="001C7CFA" w:rsidP="001C7CFA">
      <w:pPr>
        <w:pStyle w:val="Heading4"/>
      </w:pPr>
      <w:r>
        <w:t>De l’absence d’anticipation des besoins en matière de transition vers le développement, exemple du camp de M’Béra – Mauritanie</w:t>
      </w:r>
    </w:p>
    <w:p w:rsidR="001C7CFA" w:rsidRDefault="001C7CFA" w:rsidP="001C7CFA">
      <w:pPr>
        <w:jc w:val="both"/>
        <w:rPr>
          <w:lang w:val="fr-FR"/>
        </w:rPr>
      </w:pPr>
      <w:r>
        <w:rPr>
          <w:lang w:val="fr-FR"/>
        </w:rPr>
        <w:t xml:space="preserve">L’action d’ACF-Es  s’inscrit dans le cadre d’un soutien classique aux services EAH d’un camp de réfugiés dont la population est stabilisée et le contexte relativement pacifié. </w:t>
      </w:r>
    </w:p>
    <w:p w:rsidR="001C7CFA" w:rsidRDefault="001C7CFA" w:rsidP="001C7CFA">
      <w:pPr>
        <w:jc w:val="both"/>
        <w:rPr>
          <w:lang w:val="fr-FR"/>
        </w:rPr>
      </w:pPr>
      <w:r>
        <w:rPr>
          <w:lang w:val="fr-FR"/>
        </w:rPr>
        <w:t>L’intérêt de ce soutien est qu’il s’inscrit au début d’une phase de stabilité, là où l’aide humanitaire à l’opportunité de s’engager dans une réelle dynamique de transition vers une approche développementaliste ou de rester dans une dynamique d’assistanat complet, freinant l’autonomisation des populations avec le risque à terme du retrait de bailleurs de fonds d’urgence (ici ECHO) sans avoir été capable de susciter l’intérêt de ceux de développement.</w:t>
      </w:r>
    </w:p>
    <w:p w:rsidR="001C7CFA" w:rsidRDefault="001C7CFA" w:rsidP="001C7CFA">
      <w:pPr>
        <w:jc w:val="both"/>
        <w:rPr>
          <w:lang w:val="fr-FR"/>
        </w:rPr>
      </w:pPr>
      <w:r>
        <w:rPr>
          <w:lang w:val="fr-FR"/>
        </w:rPr>
        <w:t>Entre 2016 et 2017, le partenaire de mise en œuvre a su améliorer quelques-unes de ses performances mais il s’agissait avant tout de mesures réparatrices et non prospectives. ACF n’a pas anticipé les enjeux en matière de capitalisation et de documentations nécessaires à la facilitation de cette transition vers le développement.</w:t>
      </w:r>
    </w:p>
    <w:p w:rsidR="001C7CFA" w:rsidRDefault="001C7CFA" w:rsidP="001C7CFA">
      <w:pPr>
        <w:jc w:val="both"/>
        <w:rPr>
          <w:lang w:val="fr-FR"/>
        </w:rPr>
      </w:pPr>
      <w:r>
        <w:rPr>
          <w:lang w:val="fr-FR"/>
        </w:rPr>
        <w:t>Cet écueil souligne l’un des plus grands enjeux de cette phase de transition : l’incapacité qu’ont les partenaires, et même parmi eux, ceux qui dispose d’un appui institutionnel des plus solides, de basculer d’un mode de réponse avant tout réactif (la réponse d’urgence, nécessairement flexible pour répondre à des priorités changeantes) à un mode de réponse plus prospectif qui doit anticiper les enjeux à venir pour mieux adapter dès à présent les services dont il a la charge.</w:t>
      </w:r>
    </w:p>
    <w:p w:rsidR="001C7CFA" w:rsidRDefault="001C7CFA" w:rsidP="001C7CFA">
      <w:pPr>
        <w:jc w:val="both"/>
        <w:rPr>
          <w:lang w:val="fr-FR"/>
        </w:rPr>
      </w:pPr>
      <w:r>
        <w:rPr>
          <w:lang w:val="fr-FR"/>
        </w:rPr>
        <w:t xml:space="preserve">Passer cet écueil implique une programmation pluriannuelle que les partenaires d’ECHO ne savent que difficilement concevoir au-delà de leur visibilité financière. </w:t>
      </w:r>
    </w:p>
    <w:p w:rsidR="001C7CFA" w:rsidRDefault="001C7CFA" w:rsidP="001C7CFA">
      <w:pPr>
        <w:jc w:val="both"/>
        <w:rPr>
          <w:lang w:val="fr-FR"/>
        </w:rPr>
      </w:pPr>
      <w:r>
        <w:rPr>
          <w:lang w:val="fr-FR"/>
        </w:rPr>
        <w:t>Cet exercice ne doit pas être le corolaire d’une garantie d’un financement pluriannuel. Il peut et doit être mené de façon complètement indépendante pour permettre notamment une stratégie de plaidoyer en phase avec les différents mandats des bailleurs de fonds sollicités, qu’ils soient d’urgence ou de développement.</w:t>
      </w:r>
    </w:p>
    <w:p w:rsidR="00142DE3" w:rsidRPr="00142DE3" w:rsidRDefault="00142DE3" w:rsidP="00142DE3">
      <w:pPr>
        <w:pStyle w:val="Heading4"/>
        <w:numPr>
          <w:ilvl w:val="3"/>
          <w:numId w:val="41"/>
        </w:numPr>
      </w:pPr>
      <w:r w:rsidRPr="00142DE3">
        <w:t>Faiblesse des partenaires en matières d’hydraulique urbaine, Exemple de Maiduguri – Nigeria [Anglais]</w:t>
      </w:r>
    </w:p>
    <w:p w:rsidR="00142DE3" w:rsidRDefault="00142DE3" w:rsidP="00142DE3">
      <w:pPr>
        <w:jc w:val="both"/>
      </w:pPr>
      <w:r>
        <w:t xml:space="preserve">With now more than 550 000 IDPs scattered in the urban host community of </w:t>
      </w:r>
      <w:proofErr w:type="spellStart"/>
      <w:r>
        <w:t>Mauiduguri</w:t>
      </w:r>
      <w:proofErr w:type="spellEnd"/>
      <w:r>
        <w:t xml:space="preserve"> (</w:t>
      </w:r>
      <w:proofErr w:type="spellStart"/>
      <w:r>
        <w:t>Borno</w:t>
      </w:r>
      <w:proofErr w:type="spellEnd"/>
      <w:r>
        <w:t xml:space="preserve"> State), the technical response is challenging as it is out of the usual camp-type autonomous WASH service response. It requires mainly assessing the capacities of the existing network and key interventions which could improve its production improve and extend its distribution.</w:t>
      </w:r>
    </w:p>
    <w:p w:rsidR="00142DE3" w:rsidRDefault="00142DE3" w:rsidP="00142DE3">
      <w:pPr>
        <w:jc w:val="both"/>
      </w:pPr>
      <w:r>
        <w:t>Most of DG-ECHO WASH partners are institutionally reluctant to engage in such type of support as they do not have the internal knowledge to provide it. If some partner may have some of their expatriate experienced in WASH urban setting, one of the only institution for which this knowledge is institutionalized is ICRC or UNICEF to a lesser extent.</w:t>
      </w:r>
    </w:p>
    <w:p w:rsidR="00142DE3" w:rsidRDefault="00142DE3" w:rsidP="00142DE3">
      <w:pPr>
        <w:jc w:val="both"/>
      </w:pPr>
      <w:r>
        <w:t xml:space="preserve">Though the technique involved is not very different from usual camp type response (only the scale is changed), there is a gap to address this type of WASH intervention among the WASH actors. </w:t>
      </w:r>
    </w:p>
    <w:p w:rsidR="00142DE3" w:rsidRDefault="00142DE3" w:rsidP="00142DE3">
      <w:pPr>
        <w:jc w:val="both"/>
      </w:pPr>
      <w:r>
        <w:t>In the context of more and more populations in the third world living in urban areas, the strengthening of related technical knowledge will allow some pinball interventions (valve changing, supply of consumable, pipe replacement) which can be a game changer in terms of swift improvement of access to WASH services.</w:t>
      </w:r>
    </w:p>
    <w:p w:rsidR="001C7CFA" w:rsidRDefault="00524C36" w:rsidP="00524C36">
      <w:pPr>
        <w:pStyle w:val="Heading3"/>
      </w:pPr>
      <w:bookmarkStart w:id="21" w:name="_Toc502822670"/>
      <w:proofErr w:type="spellStart"/>
      <w:r>
        <w:t>Mise</w:t>
      </w:r>
      <w:proofErr w:type="spellEnd"/>
      <w:r>
        <w:t xml:space="preserve"> </w:t>
      </w:r>
      <w:proofErr w:type="spellStart"/>
      <w:r>
        <w:t>en</w:t>
      </w:r>
      <w:proofErr w:type="spellEnd"/>
      <w:r>
        <w:t xml:space="preserve"> </w:t>
      </w:r>
      <w:proofErr w:type="spellStart"/>
      <w:r>
        <w:t>œuvre</w:t>
      </w:r>
      <w:proofErr w:type="spellEnd"/>
      <w:r w:rsidR="001C7CFA">
        <w:t xml:space="preserve"> des services</w:t>
      </w:r>
      <w:bookmarkEnd w:id="21"/>
    </w:p>
    <w:p w:rsidR="001C7CFA" w:rsidRDefault="00524C36" w:rsidP="00524C36">
      <w:pPr>
        <w:pStyle w:val="Heading4"/>
      </w:pPr>
      <w:r>
        <w:t>Une délégation de marché de travaux sans supervision des prestations, Région de Diffa - Niger</w:t>
      </w:r>
    </w:p>
    <w:p w:rsidR="00524C36" w:rsidRDefault="00524C36" w:rsidP="00524C36">
      <w:pPr>
        <w:jc w:val="both"/>
        <w:rPr>
          <w:lang w:val="fr-FR"/>
        </w:rPr>
      </w:pPr>
      <w:r>
        <w:rPr>
          <w:lang w:val="fr-FR"/>
        </w:rPr>
        <w:t>La délégation des travaux de réalisation des infrastructures d’eau et assainissement s’accompagne d’une disparition du contrôle des travaux par le partenaire qui a pour résultat des ouvrages de qualité médiocres et peu durable.</w:t>
      </w:r>
    </w:p>
    <w:p w:rsidR="00524C36" w:rsidRDefault="00524C36" w:rsidP="00524C36">
      <w:pPr>
        <w:jc w:val="both"/>
        <w:rPr>
          <w:lang w:val="fr-FR"/>
        </w:rPr>
      </w:pPr>
      <w:r>
        <w:rPr>
          <w:lang w:val="fr-FR"/>
        </w:rPr>
        <w:t>L’emploi de ressources humaines nationales souvent peu expérimenté</w:t>
      </w:r>
      <w:r w:rsidR="00613860">
        <w:rPr>
          <w:lang w:val="fr-FR"/>
        </w:rPr>
        <w:t>e</w:t>
      </w:r>
      <w:r>
        <w:rPr>
          <w:lang w:val="fr-FR"/>
        </w:rPr>
        <w:t>s en matière de réponse d’urgence a pour résultat une mauvaise appréhension des priorités et une conception inadéquate de la réponse. Ce phénomène est amplifié par la délégation de travaux externe souvent considérée comme du ressort des départements logistiques</w:t>
      </w:r>
      <w:r w:rsidR="00613860">
        <w:rPr>
          <w:lang w:val="fr-FR"/>
        </w:rPr>
        <w:t xml:space="preserve"> (passation de marché)</w:t>
      </w:r>
      <w:r>
        <w:rPr>
          <w:lang w:val="fr-FR"/>
        </w:rPr>
        <w:t xml:space="preserve"> et dont la gestion se fait en l’absence d’expertise technique souvent écartée du projet dans une perspective d’économie budgétaire.</w:t>
      </w:r>
    </w:p>
    <w:p w:rsidR="00D82B53" w:rsidRDefault="00D82B53" w:rsidP="00D82B53">
      <w:pPr>
        <w:pStyle w:val="Heading4"/>
      </w:pPr>
      <w:r>
        <w:t>Un affaiblissement des capacités des partenaires à définir et mettre en œuvre  les solutions adéquatés, Exemple de la Centrafrique.</w:t>
      </w:r>
    </w:p>
    <w:p w:rsidR="00D82B53" w:rsidRDefault="00D82B53" w:rsidP="00D82B53">
      <w:pPr>
        <w:jc w:val="both"/>
        <w:rPr>
          <w:lang w:val="fr-FR"/>
        </w:rPr>
      </w:pPr>
      <w:r>
        <w:rPr>
          <w:lang w:val="fr-FR"/>
        </w:rPr>
        <w:t xml:space="preserve">Les modalités d’intervention d’ACF dans son action référencée </w:t>
      </w:r>
      <w:r w:rsidRPr="007A7700">
        <w:rPr>
          <w:lang w:val="fr-FR"/>
        </w:rPr>
        <w:t>2017/00042</w:t>
      </w:r>
      <w:r>
        <w:rPr>
          <w:lang w:val="fr-FR"/>
        </w:rPr>
        <w:t xml:space="preserve"> sont particulières dans la mesure où ACF intervient à la sollicitation du cluster EAH, du Mécanisme de Réponse Rapide, ou d’autres acteurs alertant ACF sur un besoin EAH spécifique. ACF réalise par la suite son propre diagnostic in situ pour dimensionner la réponse à apporter (s’il y a lieu).</w:t>
      </w:r>
    </w:p>
    <w:p w:rsidR="00D82B53" w:rsidRDefault="00D82B53" w:rsidP="00D82B53">
      <w:pPr>
        <w:jc w:val="both"/>
        <w:rPr>
          <w:lang w:val="fr-FR"/>
        </w:rPr>
      </w:pPr>
      <w:r>
        <w:rPr>
          <w:lang w:val="fr-FR"/>
        </w:rPr>
        <w:t>L’approche d’ACF est intéressante vis-à-vis du secteur EAH dans la réponse aux crises humanitaires :</w:t>
      </w:r>
    </w:p>
    <w:p w:rsidR="00D82B53" w:rsidRPr="00F57685" w:rsidRDefault="00D82B53" w:rsidP="00D82B53">
      <w:pPr>
        <w:pStyle w:val="ListParagraph"/>
        <w:widowControl w:val="0"/>
        <w:numPr>
          <w:ilvl w:val="0"/>
          <w:numId w:val="42"/>
        </w:numPr>
        <w:overflowPunct w:val="0"/>
        <w:adjustRightInd w:val="0"/>
        <w:spacing w:before="60" w:after="60" w:line="240" w:lineRule="auto"/>
        <w:jc w:val="both"/>
        <w:rPr>
          <w:lang w:val="fr-FR"/>
        </w:rPr>
      </w:pPr>
      <w:r w:rsidRPr="00F57685">
        <w:rPr>
          <w:lang w:val="fr-FR"/>
        </w:rPr>
        <w:t xml:space="preserve">Elle souligne le faible nombre de partenaires capable de mettre en œuvre par eux-mêmes des services EAH sans avoir recours à des entreprises locales ; et </w:t>
      </w:r>
    </w:p>
    <w:p w:rsidR="00D82B53" w:rsidRPr="00F57685" w:rsidRDefault="00D82B53" w:rsidP="00D82B53">
      <w:pPr>
        <w:pStyle w:val="ListParagraph"/>
        <w:widowControl w:val="0"/>
        <w:numPr>
          <w:ilvl w:val="0"/>
          <w:numId w:val="42"/>
        </w:numPr>
        <w:overflowPunct w:val="0"/>
        <w:adjustRightInd w:val="0"/>
        <w:spacing w:before="60" w:after="60" w:line="240" w:lineRule="auto"/>
        <w:jc w:val="both"/>
        <w:rPr>
          <w:lang w:val="fr-FR"/>
        </w:rPr>
      </w:pPr>
      <w:r w:rsidRPr="00F57685">
        <w:rPr>
          <w:lang w:val="fr-FR"/>
        </w:rPr>
        <w:t>Elle montre qu’il est possible de mutualiser les compétences d’un partenaire pour intervenir en appui aux partenaires qui n’ont pas cette capacité.</w:t>
      </w:r>
    </w:p>
    <w:p w:rsidR="00D82B53" w:rsidRDefault="00D82B53" w:rsidP="00D82B53">
      <w:pPr>
        <w:jc w:val="both"/>
        <w:rPr>
          <w:lang w:val="fr-FR"/>
        </w:rPr>
      </w:pPr>
      <w:r>
        <w:rPr>
          <w:lang w:val="fr-FR"/>
        </w:rPr>
        <w:t xml:space="preserve">Enfin, dans le cadre de son action référencée </w:t>
      </w:r>
      <w:r w:rsidRPr="00EB2467">
        <w:rPr>
          <w:lang w:val="fr-FR"/>
        </w:rPr>
        <w:t>2017/00058</w:t>
      </w:r>
      <w:r>
        <w:rPr>
          <w:lang w:val="fr-FR"/>
        </w:rPr>
        <w:t xml:space="preserve">, les limites techniques d’Intermón pour la réalisation de deux forages sont liées au fait que le seul prestataire externe en mesure d’intervenir sur leur site d’intervention (Bria) ne soit pas en mesure de forer avec un diamètre satisfaisant. L’étroitesse des diamètres forés ne permet pas d’équiper ces forages avec des pompes d’un diamètre supérieur à 3 pouces. Cette limite bride la capacité d’exploitation du forage, et nécessite la réalisation de forages supplémentaires pour satisfaire les besoins. La qualité de l’intervention d’Intermón est ainsi bridée par les compétences des entreprises locales disponibles. </w:t>
      </w:r>
    </w:p>
    <w:p w:rsidR="00D82B53" w:rsidRDefault="00D82B53" w:rsidP="00D82B53">
      <w:pPr>
        <w:jc w:val="both"/>
        <w:rPr>
          <w:lang w:val="fr-FR"/>
        </w:rPr>
      </w:pPr>
      <w:r>
        <w:rPr>
          <w:lang w:val="fr-FR"/>
        </w:rPr>
        <w:t>Si le recours à des prestataires externes pour la mise en œuvre des infrastructures EAH se traduit souvent par une perte d’expertise technique et un manque de suivi de la part des partenaires d’ECHO, il montre dans ce cas précis une fois de plus ses limites pour mettre en place les solutions les plus adaptées et à terme, les moins coûteuses.</w:t>
      </w:r>
    </w:p>
    <w:p w:rsidR="001C7CFA" w:rsidRDefault="001C7CFA" w:rsidP="001C7CFA">
      <w:pPr>
        <w:pStyle w:val="Heading3"/>
        <w:rPr>
          <w:lang w:val="fr-CA"/>
        </w:rPr>
      </w:pPr>
      <w:bookmarkStart w:id="22" w:name="_Toc502822671"/>
      <w:r w:rsidRPr="001C7CFA">
        <w:rPr>
          <w:lang w:val="fr-CA"/>
        </w:rPr>
        <w:t xml:space="preserve">Suivi des performances </w:t>
      </w:r>
      <w:r>
        <w:rPr>
          <w:lang w:val="fr-CA"/>
        </w:rPr>
        <w:t>des services</w:t>
      </w:r>
      <w:bookmarkEnd w:id="22"/>
    </w:p>
    <w:p w:rsidR="00417413" w:rsidRPr="001C7CFA" w:rsidRDefault="001C7CFA" w:rsidP="001C7CFA">
      <w:pPr>
        <w:pStyle w:val="Heading4"/>
      </w:pPr>
      <w:r w:rsidRPr="001C7CFA">
        <w:t xml:space="preserve">Indicateurs faussés; </w:t>
      </w:r>
      <w:r w:rsidR="00417413" w:rsidRPr="001C7CFA">
        <w:t>Exemple du camp de Minawao – Cameroun</w:t>
      </w:r>
    </w:p>
    <w:p w:rsidR="00417413" w:rsidRDefault="00417413" w:rsidP="001C7CFA">
      <w:pPr>
        <w:jc w:val="both"/>
        <w:rPr>
          <w:lang w:val="fr-CA"/>
        </w:rPr>
      </w:pPr>
      <w:r>
        <w:rPr>
          <w:lang w:val="fr-CA"/>
        </w:rPr>
        <w:t>Le HCR ne se base que sur des ratios entre services fournis (quantité d’eau pompé, nombre de latrines construites) et nombre tota</w:t>
      </w:r>
      <w:r w:rsidR="001C7CFA">
        <w:rPr>
          <w:lang w:val="fr-CA"/>
        </w:rPr>
        <w:t xml:space="preserve">l de personnes dans le camp. Cette analyse </w:t>
      </w:r>
      <w:r>
        <w:rPr>
          <w:lang w:val="fr-CA"/>
        </w:rPr>
        <w:t>ne traduit pas la disparité de l’accès à ces services au sein même de ses camps. Par exemple :</w:t>
      </w:r>
    </w:p>
    <w:p w:rsidR="00417413" w:rsidRPr="003B2699" w:rsidRDefault="00417413" w:rsidP="001C7CFA">
      <w:pPr>
        <w:pStyle w:val="ListParagraph"/>
        <w:widowControl w:val="0"/>
        <w:numPr>
          <w:ilvl w:val="0"/>
          <w:numId w:val="38"/>
        </w:numPr>
        <w:overflowPunct w:val="0"/>
        <w:adjustRightInd w:val="0"/>
        <w:spacing w:before="60" w:after="60" w:line="240" w:lineRule="auto"/>
        <w:jc w:val="both"/>
        <w:rPr>
          <w:lang w:val="fr-CA"/>
        </w:rPr>
      </w:pPr>
      <w:r w:rsidRPr="003B2699">
        <w:rPr>
          <w:lang w:val="fr-CA"/>
        </w:rPr>
        <w:t>Les premières latrines construites sont souvent les plus endommagées ou les moins fonctionnelles du fait qu’elles aient eu à subir un nombre d’usager</w:t>
      </w:r>
      <w:r w:rsidR="00613860">
        <w:rPr>
          <w:lang w:val="fr-CA"/>
        </w:rPr>
        <w:t>s</w:t>
      </w:r>
      <w:r w:rsidRPr="003B2699">
        <w:rPr>
          <w:lang w:val="fr-CA"/>
        </w:rPr>
        <w:t xml:space="preserve"> excédant les maximums requis au début de la mise en œuvre</w:t>
      </w:r>
      <w:r>
        <w:rPr>
          <w:lang w:val="fr-CA"/>
        </w:rPr>
        <w:t xml:space="preserve"> des activités; et</w:t>
      </w:r>
    </w:p>
    <w:p w:rsidR="00417413" w:rsidRPr="003B2699" w:rsidRDefault="00417413" w:rsidP="001C7CFA">
      <w:pPr>
        <w:pStyle w:val="ListParagraph"/>
        <w:widowControl w:val="0"/>
        <w:numPr>
          <w:ilvl w:val="0"/>
          <w:numId w:val="38"/>
        </w:numPr>
        <w:overflowPunct w:val="0"/>
        <w:adjustRightInd w:val="0"/>
        <w:spacing w:before="60" w:after="60" w:line="240" w:lineRule="auto"/>
        <w:jc w:val="both"/>
        <w:rPr>
          <w:lang w:val="fr-CA"/>
        </w:rPr>
      </w:pPr>
      <w:r w:rsidRPr="003B2699">
        <w:rPr>
          <w:lang w:val="fr-CA"/>
        </w:rPr>
        <w:t>Les bornes fontaines situées en bout de réseau</w:t>
      </w:r>
      <w:r>
        <w:rPr>
          <w:lang w:val="fr-CA"/>
        </w:rPr>
        <w:t>x</w:t>
      </w:r>
      <w:r w:rsidRPr="003B2699">
        <w:rPr>
          <w:lang w:val="fr-CA"/>
        </w:rPr>
        <w:t xml:space="preserve"> ou en hauteur sont les moins susceptibles de fournir les débits minimaux attendus.</w:t>
      </w:r>
    </w:p>
    <w:p w:rsidR="00417413" w:rsidRDefault="00417413" w:rsidP="001C7CFA">
      <w:pPr>
        <w:jc w:val="both"/>
        <w:rPr>
          <w:lang w:val="fr-CA"/>
        </w:rPr>
      </w:pPr>
      <w:r>
        <w:rPr>
          <w:lang w:val="fr-CA"/>
        </w:rPr>
        <w:t>Il faudrait pour garantir l’accès à ces services mettre en place un suivi à domicile (ou au niveau de l’accès à ces services : bornes fontaines, latrines) pour faire une analyse pertinente de la couverture des besoins réellement mise en place par les acteurs humanitaires.</w:t>
      </w:r>
    </w:p>
    <w:p w:rsidR="00417413" w:rsidRDefault="00417413" w:rsidP="001C7CFA">
      <w:pPr>
        <w:jc w:val="both"/>
        <w:rPr>
          <w:lang w:val="fr-CA"/>
        </w:rPr>
      </w:pPr>
      <w:r>
        <w:rPr>
          <w:lang w:val="fr-CA"/>
        </w:rPr>
        <w:t>Or le HCR se limite institutionnellement au seul suivi du nombre de structures mises en place ou des quantités d’intrants fournis mais ne s’intéresse pas à l’accès qui en résulte et l’usage qui en est fait. Ce manque de suivi se répercute auprès des partenaires de mise en œuvre, ceux-là mêmes qui sont parfois directement financés par ECHO pour offrir les services requis.</w:t>
      </w:r>
    </w:p>
    <w:p w:rsidR="00417413" w:rsidRDefault="00417413" w:rsidP="001C7CFA">
      <w:pPr>
        <w:jc w:val="both"/>
        <w:rPr>
          <w:lang w:val="fr-CA"/>
        </w:rPr>
      </w:pPr>
      <w:r>
        <w:rPr>
          <w:lang w:val="fr-CA"/>
        </w:rPr>
        <w:t>Si la notion de suivi des performances des services à domicile est implicitement mentionnée dans les sources de vérification des indicateurs clef du formulaire unique d’ECHO, elle est souvent négligée dans la conception et la mise en œuvre des activités (voire tout simplement effacée des sources de vérification) par les partenaires qui s’en tiennent aux exigences du HCR.</w:t>
      </w:r>
    </w:p>
    <w:p w:rsidR="00417413" w:rsidRDefault="00417413" w:rsidP="001C7CFA">
      <w:pPr>
        <w:jc w:val="both"/>
        <w:rPr>
          <w:lang w:val="fr-CA"/>
        </w:rPr>
      </w:pPr>
      <w:r>
        <w:rPr>
          <w:lang w:val="fr-CA"/>
        </w:rPr>
        <w:t xml:space="preserve">Il serait souhaitable que la DG-ECHO produise un document de référence soulignant que l’ensemble des services qui bénéficient d’un soutien de la part de l’Aide Humanitaire de la Commission devrait être mesuré à minima au point d’accès à ces services </w:t>
      </w:r>
      <w:r w:rsidR="00613860">
        <w:rPr>
          <w:lang w:val="fr-CA"/>
        </w:rPr>
        <w:t xml:space="preserve">(et, idéalement, à domicile </w:t>
      </w:r>
      <w:r>
        <w:rPr>
          <w:lang w:val="fr-CA"/>
        </w:rPr>
        <w:t>lorsque les conditions de sécurité le permettent).</w:t>
      </w:r>
    </w:p>
    <w:p w:rsidR="00417413" w:rsidRDefault="00142DE3" w:rsidP="00142DE3">
      <w:pPr>
        <w:pStyle w:val="Heading4"/>
      </w:pPr>
      <w:r>
        <w:t>Absence de contrôle qualité, exemple de Maiduguri – Nigeria [Anglais]</w:t>
      </w:r>
    </w:p>
    <w:p w:rsidR="00142DE3" w:rsidRDefault="00142DE3" w:rsidP="00142DE3">
      <w:pPr>
        <w:jc w:val="both"/>
        <w:rPr>
          <w:lang w:val="en-US"/>
        </w:rPr>
      </w:pPr>
      <w:r>
        <w:rPr>
          <w:lang w:val="en-US"/>
        </w:rPr>
        <w:t>The issue in the humanitarian sector is not the compliance to WASH ECHO policy since its content are quite general and focus on quality standards in the setting of strategies, targeting of populations, and programming of activities for which the skills of a generalist of the organization of the partners is enough to secure.</w:t>
      </w:r>
    </w:p>
    <w:p w:rsidR="00142DE3" w:rsidRDefault="00142DE3" w:rsidP="00142DE3">
      <w:pPr>
        <w:jc w:val="both"/>
        <w:rPr>
          <w:lang w:val="en-US"/>
        </w:rPr>
      </w:pPr>
      <w:r>
        <w:rPr>
          <w:lang w:val="en-US"/>
        </w:rPr>
        <w:t xml:space="preserve">The shortfall is that ECHO WASH policy does not have quality standards in terms of performances of the expected services and the requirements it involves in terms of supervision (while setting the service) and monitoring (once set). </w:t>
      </w:r>
    </w:p>
    <w:p w:rsidR="00142DE3" w:rsidRDefault="00142DE3" w:rsidP="00142DE3">
      <w:pPr>
        <w:jc w:val="both"/>
        <w:rPr>
          <w:lang w:val="en-US"/>
        </w:rPr>
      </w:pPr>
      <w:r>
        <w:rPr>
          <w:lang w:val="en-US"/>
        </w:rPr>
        <w:t>It is therefore extremely difficult to hold ECHO partners accountable for the quality of services the beneficiaries have, at the end of the line, access to.</w:t>
      </w:r>
    </w:p>
    <w:p w:rsidR="00142DE3" w:rsidRDefault="00142DE3" w:rsidP="00142DE3">
      <w:pPr>
        <w:jc w:val="both"/>
        <w:rPr>
          <w:lang w:val="en-US"/>
        </w:rPr>
      </w:pPr>
      <w:r>
        <w:rPr>
          <w:lang w:val="en-US"/>
        </w:rPr>
        <w:t xml:space="preserve">Such expertise used to be embedded within most partners until the year 2000 when most of the international staff started to build their experience with onsite direct implementation work, with close if not direct participation to the implementation of activities for which a technical added value was expected. </w:t>
      </w:r>
    </w:p>
    <w:p w:rsidR="00142DE3" w:rsidRDefault="00142DE3" w:rsidP="00142DE3">
      <w:pPr>
        <w:jc w:val="both"/>
        <w:rPr>
          <w:lang w:val="en-US"/>
        </w:rPr>
      </w:pPr>
      <w:r>
        <w:rPr>
          <w:lang w:val="en-US"/>
        </w:rPr>
        <w:t>Since the year 2000 and the professionalization of the humanitarian environment, newly recruited staffs start their career directly at management level with a master degree which allows them to fit quickly in the humanitarian architecture but with little if any skill in the technical requirement to achieve and monitor the services they are expected to provide to the beneficiaries. Those skills usually rely on the capacities of local counterparts who usually do not have the skills to process and monitor the outputs under the international standards ECHO partners claim to achieve.</w:t>
      </w:r>
    </w:p>
    <w:p w:rsidR="00142DE3" w:rsidRDefault="00142DE3" w:rsidP="00142DE3">
      <w:pPr>
        <w:jc w:val="both"/>
        <w:rPr>
          <w:lang w:val="en-US"/>
        </w:rPr>
      </w:pPr>
      <w:r>
        <w:rPr>
          <w:lang w:val="en-US"/>
        </w:rPr>
        <w:t xml:space="preserve">As long as the DG-ECHO will not institutionalize technical quality standards, there will be little margin to challenge the partner when sector experts highlights flaws based on their personal expertise. It is particularly accurate for the WASH and S&amp;S sector where no UN agencies are standards keepers as WHO is for the health sector. </w:t>
      </w:r>
    </w:p>
    <w:p w:rsidR="00142DE3" w:rsidRDefault="00142DE3" w:rsidP="00142DE3">
      <w:pPr>
        <w:jc w:val="both"/>
        <w:rPr>
          <w:lang w:val="en-US"/>
        </w:rPr>
      </w:pPr>
      <w:r>
        <w:rPr>
          <w:lang w:val="en-US"/>
        </w:rPr>
        <w:t xml:space="preserve">As long as experts’ statements will not be backed up by technical reference imbedded in ECHO, they have no legal basis and cannot be sustained against the partners on a contractual basis. The main issues which can be opposed to partners </w:t>
      </w:r>
      <w:proofErr w:type="gramStart"/>
      <w:r>
        <w:rPr>
          <w:lang w:val="en-US"/>
        </w:rPr>
        <w:t>is</w:t>
      </w:r>
      <w:proofErr w:type="gramEnd"/>
      <w:r>
        <w:rPr>
          <w:lang w:val="en-US"/>
        </w:rPr>
        <w:t xml:space="preserve"> either the absence of service or its delivery out of the needed timeframe. Its quality remained mostly unaccounted.</w:t>
      </w:r>
    </w:p>
    <w:p w:rsidR="00142DE3" w:rsidRDefault="00142DE3" w:rsidP="00142DE3">
      <w:pPr>
        <w:jc w:val="both"/>
        <w:rPr>
          <w:lang w:val="en-US"/>
        </w:rPr>
      </w:pPr>
      <w:r>
        <w:rPr>
          <w:lang w:val="en-US"/>
        </w:rPr>
        <w:t>Results is services delivered to the beneficiaries of poorer and poorer quality which not only challenge the legitimacy of the humanitarian actors towards the populations they are meant to support, and eventually, their security, but the role of ECHO as a reference donor in the WASH sector.</w:t>
      </w:r>
    </w:p>
    <w:p w:rsidR="00841E31" w:rsidRDefault="00C50EBC" w:rsidP="00081845">
      <w:pPr>
        <w:pStyle w:val="Heading1"/>
        <w:rPr>
          <w:lang w:val="fr-CA"/>
        </w:rPr>
      </w:pPr>
      <w:bookmarkStart w:id="23" w:name="_Toc502822672"/>
      <w:r w:rsidRPr="00081845">
        <w:rPr>
          <w:lang w:val="fr-CA"/>
        </w:rPr>
        <w:t>Rôle</w:t>
      </w:r>
      <w:r w:rsidR="00081845" w:rsidRPr="00081845">
        <w:rPr>
          <w:lang w:val="fr-CA"/>
        </w:rPr>
        <w:t xml:space="preserve"> de l’expert et priorités pour 2018</w:t>
      </w:r>
      <w:bookmarkEnd w:id="23"/>
    </w:p>
    <w:p w:rsidR="00247907" w:rsidRDefault="00247907" w:rsidP="00247907">
      <w:pPr>
        <w:spacing w:after="0"/>
        <w:jc w:val="both"/>
        <w:rPr>
          <w:color w:val="0070C0"/>
          <w:lang w:val="fr-CA"/>
        </w:rPr>
      </w:pPr>
      <w:r w:rsidRPr="00247907">
        <w:rPr>
          <w:color w:val="0070C0"/>
          <w:lang w:val="fr-CA"/>
        </w:rPr>
        <w:t xml:space="preserve">Appui en termes de programmation stratégique, d’appui opérationnel et de formations/entraînements. </w:t>
      </w:r>
    </w:p>
    <w:p w:rsidR="00247907" w:rsidRDefault="00247907" w:rsidP="008B3527">
      <w:pPr>
        <w:pStyle w:val="ListParagraph"/>
        <w:numPr>
          <w:ilvl w:val="0"/>
          <w:numId w:val="43"/>
        </w:numPr>
        <w:jc w:val="both"/>
        <w:rPr>
          <w:lang w:val="fr-CA"/>
        </w:rPr>
      </w:pPr>
      <w:r>
        <w:rPr>
          <w:lang w:val="fr-CA"/>
        </w:rPr>
        <w:t xml:space="preserve">Au mois de mai 2017, 114 projets ayant une composante EAH ou A&amp;H ont été revus dont 74 incluaient un résultat </w:t>
      </w:r>
      <w:r w:rsidR="00613860">
        <w:rPr>
          <w:lang w:val="fr-CA"/>
        </w:rPr>
        <w:t>sectoriel</w:t>
      </w:r>
      <w:r>
        <w:rPr>
          <w:lang w:val="fr-CA"/>
        </w:rPr>
        <w:t>. Sur ces 74, 39 ont été recommandés pour financements et 34 le furent effectivement.</w:t>
      </w:r>
    </w:p>
    <w:p w:rsidR="008B3527" w:rsidRPr="008B3527" w:rsidRDefault="008B3527" w:rsidP="008B3527">
      <w:pPr>
        <w:ind w:left="720"/>
        <w:jc w:val="both"/>
        <w:rPr>
          <w:lang w:val="fr-CA"/>
        </w:rPr>
      </w:pPr>
      <w:r>
        <w:rPr>
          <w:lang w:val="fr-CA"/>
        </w:rPr>
        <w:t xml:space="preserve">Le processus de révision des propositions de financements est rendu difficile compte tenu des modalités de financements des </w:t>
      </w:r>
      <w:proofErr w:type="spellStart"/>
      <w:r>
        <w:rPr>
          <w:lang w:val="fr-CA"/>
        </w:rPr>
        <w:t>HIPs</w:t>
      </w:r>
      <w:proofErr w:type="spellEnd"/>
      <w:r>
        <w:rPr>
          <w:lang w:val="fr-CA"/>
        </w:rPr>
        <w:t xml:space="preserve"> de la région couverte par l’expert. Si en début d’année, l’exercice de programmation est mené de façon relativement systématique, ce n’est plus le cas pour les propositions soumises</w:t>
      </w:r>
      <w:r w:rsidR="00613860">
        <w:rPr>
          <w:lang w:val="fr-CA"/>
        </w:rPr>
        <w:t xml:space="preserve"> par </w:t>
      </w:r>
      <w:r>
        <w:rPr>
          <w:lang w:val="fr-CA"/>
        </w:rPr>
        <w:t xml:space="preserve">la suite </w:t>
      </w:r>
      <w:r w:rsidR="00613860">
        <w:rPr>
          <w:lang w:val="fr-CA"/>
        </w:rPr>
        <w:t xml:space="preserve">lors </w:t>
      </w:r>
      <w:r>
        <w:rPr>
          <w:lang w:val="fr-CA"/>
        </w:rPr>
        <w:t>de compléments de financements (</w:t>
      </w:r>
      <w:proofErr w:type="spellStart"/>
      <w:r>
        <w:rPr>
          <w:lang w:val="fr-CA"/>
        </w:rPr>
        <w:t>Top-up</w:t>
      </w:r>
      <w:proofErr w:type="spellEnd"/>
      <w:r>
        <w:rPr>
          <w:lang w:val="fr-CA"/>
        </w:rPr>
        <w:t xml:space="preserve">) </w:t>
      </w:r>
      <w:r w:rsidR="002A5040">
        <w:rPr>
          <w:lang w:val="fr-CA"/>
        </w:rPr>
        <w:t>pour lesquels le processus de sélection mis en place en début d’année n’est plus autant respecté compte tenu de la disponibilité des différents experts et des échéances pour allouer ces fonds;</w:t>
      </w:r>
    </w:p>
    <w:p w:rsidR="00247907" w:rsidRDefault="00247907" w:rsidP="008B3527">
      <w:pPr>
        <w:pStyle w:val="ListParagraph"/>
        <w:numPr>
          <w:ilvl w:val="0"/>
          <w:numId w:val="43"/>
        </w:numPr>
        <w:jc w:val="both"/>
        <w:rPr>
          <w:lang w:val="fr-CA"/>
        </w:rPr>
      </w:pPr>
      <w:r>
        <w:rPr>
          <w:lang w:val="fr-CA"/>
        </w:rPr>
        <w:t>De septembre à décembre 2017, quatre missions ont été menées dans la région couvertes par l’expert (Nigeria, Tchad, Niger et Centrafrique).</w:t>
      </w:r>
      <w:r w:rsidR="008B3527">
        <w:rPr>
          <w:lang w:val="fr-CA"/>
        </w:rPr>
        <w:t xml:space="preserve"> A trois reprises lors de ces missions, le renforcement des capacités techniques des Assistants Programmes partici</w:t>
      </w:r>
      <w:r w:rsidR="002A5040">
        <w:rPr>
          <w:lang w:val="fr-CA"/>
        </w:rPr>
        <w:t>pant à la mission a été conduit</w:t>
      </w:r>
      <w:r w:rsidR="008B3527">
        <w:rPr>
          <w:lang w:val="fr-CA"/>
        </w:rPr>
        <w:t xml:space="preserve"> au gré des opportunités se présentant in situ (mesure de chlore r</w:t>
      </w:r>
      <w:r w:rsidR="002A5040">
        <w:rPr>
          <w:lang w:val="fr-CA"/>
        </w:rPr>
        <w:t>ésiduel libre, turbidité, etc.);</w:t>
      </w:r>
    </w:p>
    <w:p w:rsidR="00247907" w:rsidRDefault="00247907" w:rsidP="008B3527">
      <w:pPr>
        <w:pStyle w:val="ListParagraph"/>
        <w:numPr>
          <w:ilvl w:val="0"/>
          <w:numId w:val="43"/>
        </w:numPr>
        <w:jc w:val="both"/>
        <w:rPr>
          <w:lang w:val="fr-CA"/>
        </w:rPr>
      </w:pPr>
      <w:r>
        <w:rPr>
          <w:lang w:val="fr-CA"/>
        </w:rPr>
        <w:t>Un appui ponctuel au bureau du Niger consistant en la conduite de trois rapports de suivis (monitoring reports) a été mené pour palier au déficit en ressources humaines du bureau suite au dé</w:t>
      </w:r>
      <w:r w:rsidR="008B3527">
        <w:rPr>
          <w:lang w:val="fr-CA"/>
        </w:rPr>
        <w:t>part avancé</w:t>
      </w:r>
      <w:r w:rsidR="002A5040">
        <w:rPr>
          <w:lang w:val="fr-CA"/>
        </w:rPr>
        <w:t xml:space="preserve"> d’un des assistants techniques;</w:t>
      </w:r>
    </w:p>
    <w:p w:rsidR="005A614F" w:rsidRDefault="00C50EBC" w:rsidP="00C50EBC">
      <w:pPr>
        <w:pStyle w:val="ListParagraph"/>
        <w:numPr>
          <w:ilvl w:val="0"/>
          <w:numId w:val="43"/>
        </w:numPr>
        <w:jc w:val="both"/>
        <w:rPr>
          <w:lang w:val="fr-CA"/>
        </w:rPr>
      </w:pPr>
      <w:r>
        <w:rPr>
          <w:lang w:val="fr-CA"/>
        </w:rPr>
        <w:t xml:space="preserve">Intervention ponctuelle à l’atelier régional </w:t>
      </w:r>
      <w:r w:rsidR="005A614F">
        <w:rPr>
          <w:lang w:val="fr-CA"/>
        </w:rPr>
        <w:t xml:space="preserve">d’UNICEF </w:t>
      </w:r>
      <w:r w:rsidRPr="00C50EBC">
        <w:rPr>
          <w:lang w:val="fr-CA"/>
        </w:rPr>
        <w:t xml:space="preserve">WCAR </w:t>
      </w:r>
      <w:proofErr w:type="spellStart"/>
      <w:r w:rsidRPr="00C50EBC">
        <w:rPr>
          <w:lang w:val="fr-CA"/>
        </w:rPr>
        <w:t>WASHNet</w:t>
      </w:r>
      <w:proofErr w:type="spellEnd"/>
      <w:r w:rsidRPr="00C50EBC">
        <w:rPr>
          <w:lang w:val="fr-CA"/>
        </w:rPr>
        <w:t xml:space="preserve"> meeting</w:t>
      </w:r>
      <w:r>
        <w:rPr>
          <w:lang w:val="fr-CA"/>
        </w:rPr>
        <w:t xml:space="preserve"> le 28 septembre sur les enjeux opérationnels en matière de suivi des performances des services EAH pour faciliter la t</w:t>
      </w:r>
      <w:r w:rsidR="00613860">
        <w:rPr>
          <w:lang w:val="fr-CA"/>
        </w:rPr>
        <w:t>ransition vers le développement;</w:t>
      </w:r>
    </w:p>
    <w:p w:rsidR="002A5040" w:rsidRPr="008B3527" w:rsidRDefault="002A5040" w:rsidP="002A5040">
      <w:pPr>
        <w:pStyle w:val="ListParagraph"/>
        <w:numPr>
          <w:ilvl w:val="0"/>
          <w:numId w:val="43"/>
        </w:numPr>
        <w:jc w:val="both"/>
        <w:rPr>
          <w:lang w:val="fr-CA"/>
        </w:rPr>
      </w:pPr>
      <w:r>
        <w:rPr>
          <w:lang w:val="fr-CA"/>
        </w:rPr>
        <w:t xml:space="preserve">Le suivi du projet régional d’UNICEF d’appui à la Plateforme Régionale d’Afrique de l’Ouest de lutte contre le Choléra (Réf. Action : </w:t>
      </w:r>
      <w:r w:rsidRPr="002A5040">
        <w:rPr>
          <w:lang w:val="fr-CA"/>
        </w:rPr>
        <w:t>2016/012751</w:t>
      </w:r>
      <w:r>
        <w:rPr>
          <w:lang w:val="fr-CA"/>
        </w:rPr>
        <w:t>); et</w:t>
      </w:r>
    </w:p>
    <w:p w:rsidR="008B3527" w:rsidRDefault="008B3527" w:rsidP="008B3527">
      <w:pPr>
        <w:pStyle w:val="ListParagraph"/>
        <w:numPr>
          <w:ilvl w:val="0"/>
          <w:numId w:val="43"/>
        </w:numPr>
        <w:jc w:val="both"/>
        <w:rPr>
          <w:lang w:val="fr-CA"/>
        </w:rPr>
      </w:pPr>
      <w:r>
        <w:rPr>
          <w:lang w:val="fr-CA"/>
        </w:rPr>
        <w:t xml:space="preserve">L’expert a participé au travail habituel de préparation des </w:t>
      </w:r>
      <w:proofErr w:type="spellStart"/>
      <w:r>
        <w:rPr>
          <w:lang w:val="fr-CA"/>
        </w:rPr>
        <w:t>HIPs</w:t>
      </w:r>
      <w:proofErr w:type="spellEnd"/>
      <w:r>
        <w:rPr>
          <w:lang w:val="fr-CA"/>
        </w:rPr>
        <w:t xml:space="preserve"> Afrique de l’Ouest, Afrique Centrale et Afrique du Nord. Dans cet exercice, il a été point focal de l’axe 1 pour les recommandations opérationnelles des HIP Afrique de l’Ouest et Afrique Centrale.</w:t>
      </w:r>
    </w:p>
    <w:p w:rsidR="002A5040" w:rsidRDefault="002A5040" w:rsidP="002A5040">
      <w:pPr>
        <w:spacing w:after="0"/>
        <w:jc w:val="both"/>
        <w:rPr>
          <w:color w:val="0070C0"/>
          <w:lang w:val="fr-CA"/>
        </w:rPr>
      </w:pPr>
      <w:r>
        <w:rPr>
          <w:color w:val="0070C0"/>
          <w:lang w:val="fr-CA"/>
        </w:rPr>
        <w:t>Priorité pour le prochain semestre</w:t>
      </w:r>
    </w:p>
    <w:p w:rsidR="00247907" w:rsidRDefault="002A5040" w:rsidP="002A5040">
      <w:pPr>
        <w:pStyle w:val="ListParagraph"/>
        <w:numPr>
          <w:ilvl w:val="0"/>
          <w:numId w:val="44"/>
        </w:numPr>
        <w:spacing w:after="0"/>
        <w:ind w:left="720"/>
        <w:jc w:val="both"/>
        <w:rPr>
          <w:lang w:val="fr-CA"/>
        </w:rPr>
      </w:pPr>
      <w:r>
        <w:rPr>
          <w:lang w:val="fr-CA"/>
        </w:rPr>
        <w:t>Trois missions sont prévues au Tchad (février), au Niger (mars) et en Algérie (avril);</w:t>
      </w:r>
    </w:p>
    <w:p w:rsidR="002A5040" w:rsidRDefault="002A5040" w:rsidP="002A5040">
      <w:pPr>
        <w:pStyle w:val="ListParagraph"/>
        <w:numPr>
          <w:ilvl w:val="0"/>
          <w:numId w:val="44"/>
        </w:numPr>
        <w:spacing w:after="0"/>
        <w:ind w:left="720"/>
        <w:jc w:val="both"/>
        <w:rPr>
          <w:lang w:val="fr-CA"/>
        </w:rPr>
      </w:pPr>
      <w:r>
        <w:rPr>
          <w:lang w:val="fr-CA"/>
        </w:rPr>
        <w:t>Revue des propositions EAH &amp; A&amp;H pour l’ensemble des HIP Afrique du Nord, Afrique de l’Ouest et Afrique Centrale (janvier);</w:t>
      </w:r>
    </w:p>
    <w:p w:rsidR="002A5040" w:rsidRDefault="002A5040" w:rsidP="002A5040">
      <w:pPr>
        <w:pStyle w:val="ListParagraph"/>
        <w:numPr>
          <w:ilvl w:val="0"/>
          <w:numId w:val="44"/>
        </w:numPr>
        <w:spacing w:after="0"/>
        <w:ind w:left="720"/>
        <w:jc w:val="both"/>
        <w:rPr>
          <w:lang w:val="fr-CA"/>
        </w:rPr>
      </w:pPr>
      <w:r>
        <w:rPr>
          <w:lang w:val="fr-CA"/>
        </w:rPr>
        <w:t xml:space="preserve">Poursuite du suivi du projet régional d’UNICEF d’appui à la Plateforme Régionale d’Afrique de l’Ouest de lutte contre le Choléra (Réf. Action : </w:t>
      </w:r>
      <w:r w:rsidRPr="002A5040">
        <w:rPr>
          <w:lang w:val="fr-CA"/>
        </w:rPr>
        <w:t>2016/012751</w:t>
      </w:r>
      <w:r>
        <w:rPr>
          <w:lang w:val="fr-CA"/>
        </w:rPr>
        <w:t>);</w:t>
      </w:r>
    </w:p>
    <w:p w:rsidR="002A5040" w:rsidRDefault="002A5040" w:rsidP="002A5040">
      <w:pPr>
        <w:pStyle w:val="ListParagraph"/>
        <w:numPr>
          <w:ilvl w:val="0"/>
          <w:numId w:val="44"/>
        </w:numPr>
        <w:spacing w:after="0"/>
        <w:ind w:left="720"/>
        <w:jc w:val="both"/>
        <w:rPr>
          <w:lang w:val="fr-CA"/>
        </w:rPr>
      </w:pPr>
      <w:r>
        <w:rPr>
          <w:lang w:val="fr-CA"/>
        </w:rPr>
        <w:t>Contribution à la rédaction des plans de travail annuel (</w:t>
      </w:r>
      <w:r w:rsidR="005A614F">
        <w:rPr>
          <w:lang w:val="fr-CA"/>
        </w:rPr>
        <w:t>AWP);</w:t>
      </w:r>
      <w:r>
        <w:rPr>
          <w:lang w:val="fr-CA"/>
        </w:rPr>
        <w:t xml:space="preserve"> et</w:t>
      </w:r>
    </w:p>
    <w:p w:rsidR="002A5040" w:rsidRDefault="002A5040" w:rsidP="002A5040">
      <w:pPr>
        <w:pStyle w:val="ListParagraph"/>
        <w:numPr>
          <w:ilvl w:val="0"/>
          <w:numId w:val="44"/>
        </w:numPr>
        <w:spacing w:after="0"/>
        <w:ind w:left="720"/>
        <w:jc w:val="both"/>
        <w:rPr>
          <w:lang w:val="fr-CA"/>
        </w:rPr>
      </w:pPr>
      <w:r>
        <w:rPr>
          <w:lang w:val="fr-CA"/>
        </w:rPr>
        <w:t>Rédaction du rapport de fin de poste et préparation de la passation (mai-juin).</w:t>
      </w:r>
    </w:p>
    <w:p w:rsidR="005A614F" w:rsidRDefault="005A614F" w:rsidP="005A614F">
      <w:pPr>
        <w:spacing w:before="240" w:after="0"/>
        <w:jc w:val="both"/>
        <w:rPr>
          <w:color w:val="0070C0"/>
          <w:lang w:val="fr-CA"/>
        </w:rPr>
      </w:pPr>
      <w:r>
        <w:rPr>
          <w:color w:val="0070C0"/>
          <w:lang w:val="fr-CA"/>
        </w:rPr>
        <w:t>Coordination sectorielles et inte</w:t>
      </w:r>
      <w:r w:rsidR="00613860">
        <w:rPr>
          <w:color w:val="0070C0"/>
          <w:lang w:val="fr-CA"/>
        </w:rPr>
        <w:t>rsectorielles au niveau national</w:t>
      </w:r>
      <w:r>
        <w:rPr>
          <w:color w:val="0070C0"/>
          <w:lang w:val="fr-CA"/>
        </w:rPr>
        <w:t xml:space="preserve"> et plateforme régionale</w:t>
      </w:r>
    </w:p>
    <w:p w:rsidR="005A614F" w:rsidRDefault="005A614F" w:rsidP="005A614F">
      <w:pPr>
        <w:rPr>
          <w:lang w:val="fr-CA"/>
        </w:rPr>
      </w:pPr>
      <w:r>
        <w:rPr>
          <w:lang w:val="fr-CA"/>
        </w:rPr>
        <w:t>Dans la mesure du possible, toutes les missions dans les pays couverts inclus la participation aux plateformes de coordination au niveau national et/ou local ou des entretiens bilatéraux avec les représentants de ces plateformes. Cela a été le cas au cours des dernières missions :</w:t>
      </w:r>
    </w:p>
    <w:p w:rsidR="005A614F" w:rsidRPr="005A614F" w:rsidRDefault="005A614F" w:rsidP="005A614F">
      <w:pPr>
        <w:pStyle w:val="ListParagraph"/>
        <w:numPr>
          <w:ilvl w:val="0"/>
          <w:numId w:val="45"/>
        </w:numPr>
        <w:rPr>
          <w:lang w:val="fr-CA"/>
        </w:rPr>
      </w:pPr>
      <w:r w:rsidRPr="005A614F">
        <w:rPr>
          <w:lang w:val="fr-CA"/>
        </w:rPr>
        <w:t xml:space="preserve">Au Nigeria (Septembre) avec le cluster WASH de l’état de </w:t>
      </w:r>
      <w:proofErr w:type="spellStart"/>
      <w:r w:rsidRPr="005A614F">
        <w:rPr>
          <w:lang w:val="fr-CA"/>
        </w:rPr>
        <w:t>Borno</w:t>
      </w:r>
      <w:proofErr w:type="spellEnd"/>
      <w:r w:rsidRPr="005A614F">
        <w:rPr>
          <w:lang w:val="fr-CA"/>
        </w:rPr>
        <w:t>;</w:t>
      </w:r>
    </w:p>
    <w:p w:rsidR="005A614F" w:rsidRPr="005A614F" w:rsidRDefault="005A614F" w:rsidP="005A614F">
      <w:pPr>
        <w:pStyle w:val="ListParagraph"/>
        <w:numPr>
          <w:ilvl w:val="0"/>
          <w:numId w:val="45"/>
        </w:numPr>
        <w:rPr>
          <w:lang w:val="fr-CA"/>
        </w:rPr>
      </w:pPr>
      <w:r w:rsidRPr="005A614F">
        <w:rPr>
          <w:lang w:val="fr-CA"/>
        </w:rPr>
        <w:t xml:space="preserve">Au Tchad (Octobre) avec la cholera </w:t>
      </w:r>
      <w:proofErr w:type="spellStart"/>
      <w:r w:rsidRPr="005A614F">
        <w:rPr>
          <w:lang w:val="fr-CA"/>
        </w:rPr>
        <w:t>Task</w:t>
      </w:r>
      <w:proofErr w:type="spellEnd"/>
      <w:r w:rsidRPr="005A614F">
        <w:rPr>
          <w:lang w:val="fr-CA"/>
        </w:rPr>
        <w:t xml:space="preserve"> force en place à Am </w:t>
      </w:r>
      <w:proofErr w:type="spellStart"/>
      <w:r w:rsidRPr="005A614F">
        <w:rPr>
          <w:lang w:val="fr-CA"/>
        </w:rPr>
        <w:t>Timan</w:t>
      </w:r>
      <w:proofErr w:type="spellEnd"/>
      <w:r w:rsidRPr="005A614F">
        <w:rPr>
          <w:lang w:val="fr-CA"/>
        </w:rPr>
        <w:t xml:space="preserve">; </w:t>
      </w:r>
    </w:p>
    <w:p w:rsidR="005A614F" w:rsidRPr="005A614F" w:rsidRDefault="005A614F" w:rsidP="005A614F">
      <w:pPr>
        <w:pStyle w:val="ListParagraph"/>
        <w:numPr>
          <w:ilvl w:val="0"/>
          <w:numId w:val="45"/>
        </w:numPr>
        <w:rPr>
          <w:lang w:val="fr-CA"/>
        </w:rPr>
      </w:pPr>
      <w:r w:rsidRPr="005A614F">
        <w:rPr>
          <w:lang w:val="fr-CA"/>
        </w:rPr>
        <w:t>Au Niger (Novembre) avec le Cluster EAH de la région de Diffa et les acteurs EAH présents à Niamey; et</w:t>
      </w:r>
    </w:p>
    <w:p w:rsidR="005A614F" w:rsidRDefault="005A614F" w:rsidP="005A614F">
      <w:pPr>
        <w:pStyle w:val="ListParagraph"/>
        <w:numPr>
          <w:ilvl w:val="0"/>
          <w:numId w:val="45"/>
        </w:numPr>
        <w:rPr>
          <w:lang w:val="fr-CA"/>
        </w:rPr>
      </w:pPr>
      <w:r w:rsidRPr="005A614F">
        <w:rPr>
          <w:lang w:val="fr-CA"/>
        </w:rPr>
        <w:t>En Centrafrique avec la coordination intersectorielle d’OCHA à Bria.</w:t>
      </w:r>
    </w:p>
    <w:p w:rsidR="005A614F" w:rsidRDefault="005A614F" w:rsidP="005A614F">
      <w:pPr>
        <w:spacing w:before="240" w:after="0"/>
        <w:jc w:val="both"/>
        <w:rPr>
          <w:color w:val="0070C0"/>
          <w:lang w:val="fr-CA"/>
        </w:rPr>
      </w:pPr>
      <w:r>
        <w:rPr>
          <w:color w:val="0070C0"/>
          <w:lang w:val="fr-CA"/>
        </w:rPr>
        <w:t>Groupe technique de travail régional</w:t>
      </w:r>
    </w:p>
    <w:p w:rsidR="005A614F" w:rsidRPr="00C50EBC" w:rsidRDefault="005A614F" w:rsidP="00C50EBC">
      <w:pPr>
        <w:pStyle w:val="ListParagraph"/>
        <w:numPr>
          <w:ilvl w:val="0"/>
          <w:numId w:val="46"/>
        </w:numPr>
        <w:spacing w:after="0"/>
        <w:jc w:val="both"/>
        <w:rPr>
          <w:lang w:val="fr-CA"/>
        </w:rPr>
      </w:pPr>
      <w:r w:rsidRPr="00C50EBC">
        <w:rPr>
          <w:lang w:val="fr-CA"/>
        </w:rPr>
        <w:t>Participation régulière (lorsque présent au Sénégal) aux réunions du groupe sectoriel régional EAH organisé</w:t>
      </w:r>
      <w:r w:rsidR="00C50EBC" w:rsidRPr="00C50EBC">
        <w:rPr>
          <w:lang w:val="fr-CA"/>
        </w:rPr>
        <w:t>es</w:t>
      </w:r>
      <w:r w:rsidRPr="00C50EBC">
        <w:rPr>
          <w:lang w:val="fr-CA"/>
        </w:rPr>
        <w:t xml:space="preserve"> par le bureau régional d</w:t>
      </w:r>
      <w:r w:rsidR="00C50EBC" w:rsidRPr="00C50EBC">
        <w:rPr>
          <w:lang w:val="fr-CA"/>
        </w:rPr>
        <w:t>e l’UNICEF (m</w:t>
      </w:r>
      <w:r w:rsidR="00C50EBC">
        <w:rPr>
          <w:lang w:val="fr-CA"/>
        </w:rPr>
        <w:t>ensuel); et</w:t>
      </w:r>
    </w:p>
    <w:p w:rsidR="00C50EBC" w:rsidRPr="00C50EBC" w:rsidRDefault="00C50EBC" w:rsidP="00C50EBC">
      <w:pPr>
        <w:pStyle w:val="ListParagraph"/>
        <w:numPr>
          <w:ilvl w:val="0"/>
          <w:numId w:val="46"/>
        </w:numPr>
        <w:spacing w:after="0"/>
        <w:jc w:val="both"/>
        <w:rPr>
          <w:lang w:val="fr-CA"/>
        </w:rPr>
      </w:pPr>
      <w:r w:rsidRPr="00C50EBC">
        <w:rPr>
          <w:lang w:val="fr-CA"/>
        </w:rPr>
        <w:t>Participation régulière (lorsque présent au Sénégal) aux réunions de la Plateforme Choléra organisées par le bureau régional de l’UNICEF (mensuel).</w:t>
      </w:r>
    </w:p>
    <w:p w:rsidR="00C50EBC" w:rsidRDefault="00C50EBC" w:rsidP="00C50EBC">
      <w:pPr>
        <w:spacing w:before="240" w:after="0"/>
        <w:jc w:val="both"/>
        <w:rPr>
          <w:color w:val="0070C0"/>
          <w:lang w:val="fr-CA"/>
        </w:rPr>
      </w:pPr>
      <w:r>
        <w:rPr>
          <w:color w:val="0070C0"/>
          <w:lang w:val="fr-CA"/>
        </w:rPr>
        <w:t>Partenaires stratégiques</w:t>
      </w:r>
    </w:p>
    <w:p w:rsidR="00C50EBC" w:rsidRPr="00C50EBC" w:rsidRDefault="00C50EBC" w:rsidP="00841E31">
      <w:pPr>
        <w:spacing w:after="0"/>
        <w:jc w:val="both"/>
        <w:rPr>
          <w:lang w:val="fr-CA"/>
        </w:rPr>
      </w:pPr>
      <w:r w:rsidRPr="00C50EBC">
        <w:rPr>
          <w:lang w:val="fr-CA"/>
        </w:rPr>
        <w:t>Contacts réguliers formels et informels avec le Chef de secteur EAH du bureau régional de l’UNICEF à Daka</w:t>
      </w:r>
      <w:r>
        <w:rPr>
          <w:lang w:val="fr-CA"/>
        </w:rPr>
        <w:t>r dans le cadre d’appui ponctuels, du suivi d’actions financées par ECHO (cf. ci-dessus) et d’échanges sur les différents enjeux en matière de coordination (compte rendu avant/après mission terrain, etc..).</w:t>
      </w:r>
    </w:p>
    <w:sectPr w:rsidR="00C50EBC" w:rsidRPr="00C50EBC" w:rsidSect="00945A79">
      <w:headerReference w:type="default" r:id="rId17"/>
      <w:footerReference w:type="default" r:id="rId18"/>
      <w:pgSz w:w="11905" w:h="16838" w:code="9"/>
      <w:pgMar w:top="720" w:right="720" w:bottom="720" w:left="720" w:header="601" w:footer="1077"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860" w:rsidRDefault="00613860" w:rsidP="004E182C">
      <w:pPr>
        <w:spacing w:after="0"/>
      </w:pPr>
      <w:r>
        <w:separator/>
      </w:r>
    </w:p>
  </w:endnote>
  <w:endnote w:type="continuationSeparator" w:id="0">
    <w:p w:rsidR="00613860" w:rsidRDefault="00613860" w:rsidP="004E18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60" w:rsidRDefault="00613860" w:rsidP="002C6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3860" w:rsidRDefault="00613860" w:rsidP="008C5C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60" w:rsidRDefault="00613860" w:rsidP="002C6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6CD8">
      <w:rPr>
        <w:rStyle w:val="PageNumber"/>
        <w:noProof/>
      </w:rPr>
      <w:t>1</w:t>
    </w:r>
    <w:r>
      <w:rPr>
        <w:rStyle w:val="PageNumber"/>
      </w:rPr>
      <w:fldChar w:fldCharType="end"/>
    </w:r>
  </w:p>
  <w:p w:rsidR="00613860" w:rsidRDefault="00613860" w:rsidP="008F30C8">
    <w:pPr>
      <w:pStyle w:val="Footer"/>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60" w:rsidRDefault="00613860" w:rsidP="002C6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6CD8">
      <w:rPr>
        <w:rStyle w:val="PageNumber"/>
        <w:noProof/>
      </w:rPr>
      <w:t>4</w:t>
    </w:r>
    <w:r>
      <w:rPr>
        <w:rStyle w:val="PageNumber"/>
      </w:rPr>
      <w:fldChar w:fldCharType="end"/>
    </w:r>
  </w:p>
  <w:p w:rsidR="00613860" w:rsidRDefault="00613860" w:rsidP="008F30C8">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860" w:rsidRDefault="00613860" w:rsidP="004E182C">
      <w:pPr>
        <w:spacing w:after="0"/>
      </w:pPr>
      <w:r>
        <w:separator/>
      </w:r>
    </w:p>
  </w:footnote>
  <w:footnote w:type="continuationSeparator" w:id="0">
    <w:p w:rsidR="00613860" w:rsidRDefault="00613860" w:rsidP="004E182C">
      <w:pPr>
        <w:spacing w:after="0"/>
      </w:pPr>
      <w:r>
        <w:continuationSeparator/>
      </w:r>
    </w:p>
  </w:footnote>
  <w:footnote w:id="1">
    <w:p w:rsidR="00613860" w:rsidRPr="00945A79" w:rsidRDefault="00613860" w:rsidP="00945A79">
      <w:pPr>
        <w:pStyle w:val="FootnoteText"/>
        <w:rPr>
          <w:lang w:val="fr-CA"/>
        </w:rPr>
      </w:pPr>
      <w:r>
        <w:rPr>
          <w:rStyle w:val="FootnoteReference"/>
        </w:rPr>
        <w:footnoteRef/>
      </w:r>
      <w:r w:rsidRPr="00945A79">
        <w:rPr>
          <w:lang w:val="fr-CA"/>
        </w:rPr>
        <w:t xml:space="preserve"> </w:t>
      </w:r>
      <w:proofErr w:type="spellStart"/>
      <w:r w:rsidRPr="00945A79">
        <w:rPr>
          <w:lang w:val="fr-CA"/>
        </w:rPr>
        <w:t>WiN</w:t>
      </w:r>
      <w:proofErr w:type="spellEnd"/>
      <w:r w:rsidRPr="00945A79">
        <w:rPr>
          <w:lang w:val="fr-CA"/>
        </w:rPr>
        <w:t xml:space="preserve">: WASH in NUT, bien l’analyse inclus également les activités de type WASH in </w:t>
      </w:r>
      <w:proofErr w:type="spellStart"/>
      <w:r w:rsidRPr="00945A79">
        <w:rPr>
          <w:lang w:val="fr-CA"/>
        </w:rPr>
        <w:t>Health</w:t>
      </w:r>
      <w:proofErr w:type="spellEnd"/>
      <w:r w:rsidRPr="00945A79">
        <w:rPr>
          <w:lang w:val="fr-CA"/>
        </w:rPr>
        <w:t>.</w:t>
      </w:r>
    </w:p>
  </w:footnote>
  <w:footnote w:id="2">
    <w:p w:rsidR="00613860" w:rsidRPr="0069130B" w:rsidRDefault="00613860">
      <w:pPr>
        <w:pStyle w:val="FootnoteText"/>
        <w:rPr>
          <w:lang w:val="fr-CA"/>
        </w:rPr>
      </w:pPr>
      <w:r>
        <w:rPr>
          <w:rStyle w:val="FootnoteReference"/>
        </w:rPr>
        <w:footnoteRef/>
      </w:r>
      <w:r w:rsidRPr="0069130B">
        <w:rPr>
          <w:lang w:val="fr-CA"/>
        </w:rPr>
        <w:t xml:space="preserve"> Et respectivement par secteur EAH et A&amp;H</w:t>
      </w:r>
      <w:r>
        <w:rPr>
          <w:lang w:val="fr-CA"/>
        </w:rPr>
        <w:t xml:space="preserve"> 8M€ et 3.2 M€ contre 5M€ et 4.5M€</w:t>
      </w:r>
    </w:p>
  </w:footnote>
  <w:footnote w:id="3">
    <w:p w:rsidR="00613860" w:rsidRPr="000E6B7C" w:rsidRDefault="00613860" w:rsidP="00945A79">
      <w:pPr>
        <w:pStyle w:val="FootnoteText"/>
        <w:rPr>
          <w:lang w:val="fr-CA"/>
        </w:rPr>
      </w:pPr>
      <w:r>
        <w:rPr>
          <w:rStyle w:val="FootnoteReference"/>
        </w:rPr>
        <w:footnoteRef/>
      </w:r>
      <w:r w:rsidRPr="000E6B7C">
        <w:rPr>
          <w:lang w:val="fr-CA"/>
        </w:rPr>
        <w:t xml:space="preserve"> </w:t>
      </w:r>
      <w:proofErr w:type="spellStart"/>
      <w:r w:rsidRPr="000E6B7C">
        <w:rPr>
          <w:lang w:val="fr-CA"/>
        </w:rPr>
        <w:t>WiN</w:t>
      </w:r>
      <w:proofErr w:type="spellEnd"/>
      <w:r w:rsidRPr="000E6B7C">
        <w:rPr>
          <w:lang w:val="fr-CA"/>
        </w:rPr>
        <w:t xml:space="preserve">: WASH in NUT, bien l’analyse inclus également les activités de type WASH in </w:t>
      </w:r>
      <w:proofErr w:type="spellStart"/>
      <w:r w:rsidRPr="000E6B7C">
        <w:rPr>
          <w:lang w:val="fr-CA"/>
        </w:rPr>
        <w:t>Health</w:t>
      </w:r>
      <w:proofErr w:type="spellEnd"/>
      <w:r w:rsidRPr="000E6B7C">
        <w:rPr>
          <w:lang w:val="fr-CA"/>
        </w:rPr>
        <w:t>.</w:t>
      </w:r>
    </w:p>
  </w:footnote>
  <w:footnote w:id="4">
    <w:p w:rsidR="00613860" w:rsidRPr="00222928" w:rsidRDefault="00613860">
      <w:pPr>
        <w:pStyle w:val="FootnoteText"/>
        <w:rPr>
          <w:lang w:val="fr-CA"/>
        </w:rPr>
      </w:pPr>
      <w:r>
        <w:rPr>
          <w:rStyle w:val="FootnoteReference"/>
        </w:rPr>
        <w:footnoteRef/>
      </w:r>
      <w:r w:rsidRPr="00222928">
        <w:rPr>
          <w:lang w:val="fr-CA"/>
        </w:rPr>
        <w:t xml:space="preserve"> Ces chiffres sont à prendre avec précautions dans la mesure où le</w:t>
      </w:r>
      <w:r>
        <w:rPr>
          <w:lang w:val="fr-CA"/>
        </w:rPr>
        <w:t>s</w:t>
      </w:r>
      <w:r w:rsidRPr="00222928">
        <w:rPr>
          <w:lang w:val="fr-CA"/>
        </w:rPr>
        <w:t xml:space="preserve">  montants dédiés à chaque activité n’étant pas rapport</w:t>
      </w:r>
      <w:r>
        <w:rPr>
          <w:lang w:val="fr-CA"/>
        </w:rPr>
        <w:t>ée</w:t>
      </w:r>
      <w:r w:rsidRPr="00222928">
        <w:rPr>
          <w:lang w:val="fr-CA"/>
        </w:rPr>
        <w:t xml:space="preserve"> dans les formulaires uniques, il</w:t>
      </w:r>
      <w:r>
        <w:rPr>
          <w:lang w:val="fr-CA"/>
        </w:rPr>
        <w:t>s sont</w:t>
      </w:r>
      <w:r w:rsidRPr="00222928">
        <w:rPr>
          <w:lang w:val="fr-CA"/>
        </w:rPr>
        <w:t xml:space="preserve"> calculé</w:t>
      </w:r>
      <w:r>
        <w:rPr>
          <w:lang w:val="fr-CA"/>
        </w:rPr>
        <w:t>s</w:t>
      </w:r>
      <w:r w:rsidRPr="00222928">
        <w:rPr>
          <w:lang w:val="fr-CA"/>
        </w:rPr>
        <w:t xml:space="preserve"> </w:t>
      </w:r>
      <w:r>
        <w:rPr>
          <w:lang w:val="fr-CA"/>
        </w:rPr>
        <w:t xml:space="preserve">au </w:t>
      </w:r>
      <w:r w:rsidRPr="00222928">
        <w:rPr>
          <w:lang w:val="fr-CA"/>
        </w:rPr>
        <w:t>prorata du nombre d’activités dans le résultat (pour lequel le montant est fourni).</w:t>
      </w:r>
    </w:p>
  </w:footnote>
  <w:footnote w:id="5">
    <w:p w:rsidR="00613860" w:rsidRPr="00204960" w:rsidRDefault="00613860" w:rsidP="00D82B53">
      <w:pPr>
        <w:pStyle w:val="FootnoteText"/>
        <w:rPr>
          <w:lang w:val="fr-BE"/>
        </w:rPr>
      </w:pPr>
      <w:r>
        <w:rPr>
          <w:rStyle w:val="FootnoteReference"/>
        </w:rPr>
        <w:footnoteRef/>
      </w:r>
      <w:r w:rsidRPr="00204960">
        <w:rPr>
          <w:lang w:val="fr-BE"/>
        </w:rPr>
        <w:t xml:space="preserve"> E</w:t>
      </w:r>
      <w:r w:rsidRPr="00204960">
        <w:rPr>
          <w:sz w:val="18"/>
          <w:lang w:val="fr-BE"/>
        </w:rPr>
        <w:t>pidémies, inondations, tempêtes.</w:t>
      </w:r>
    </w:p>
  </w:footnote>
  <w:footnote w:id="6">
    <w:p w:rsidR="00613860" w:rsidRPr="00713D03" w:rsidRDefault="00613860" w:rsidP="00405410">
      <w:pPr>
        <w:pStyle w:val="FootnoteText"/>
        <w:rPr>
          <w:lang w:val="fr-CA"/>
        </w:rPr>
      </w:pPr>
      <w:r>
        <w:rPr>
          <w:rStyle w:val="FootnoteReference"/>
        </w:rPr>
        <w:footnoteRef/>
      </w:r>
      <w:r w:rsidRPr="00713D03">
        <w:rPr>
          <w:lang w:val="fr-CA"/>
        </w:rPr>
        <w:t xml:space="preserve"> </w:t>
      </w:r>
      <w:r>
        <w:rPr>
          <w:lang w:val="fr-CA"/>
        </w:rPr>
        <w:t>Respectivement  note d’orientation n°5, p 112 et 3</w:t>
      </w:r>
      <w:r w:rsidRPr="00713D03">
        <w:rPr>
          <w:vertAlign w:val="superscript"/>
          <w:lang w:val="fr-CA"/>
        </w:rPr>
        <w:t>ème</w:t>
      </w:r>
      <w:r>
        <w:rPr>
          <w:lang w:val="fr-CA"/>
        </w:rPr>
        <w:t xml:space="preserve">  Indicateur clef p110, § 3 Approvisionnement en eau des </w:t>
      </w:r>
      <w:r w:rsidRPr="003B2699">
        <w:rPr>
          <w:lang w:val="fr-CA"/>
        </w:rPr>
        <w:t xml:space="preserve">Standards Minimum </w:t>
      </w:r>
      <w:r>
        <w:rPr>
          <w:lang w:val="fr-CA"/>
        </w:rPr>
        <w:t xml:space="preserve">pour l’approvisionnement en eau </w:t>
      </w:r>
      <w:r w:rsidRPr="003B2699">
        <w:rPr>
          <w:lang w:val="fr-CA"/>
        </w:rPr>
        <w:t>[..</w:t>
      </w:r>
      <w:r>
        <w:rPr>
          <w:lang w:val="fr-CA"/>
        </w:rPr>
        <w:t>], le Projet SPHERE, 2011. Et sur la base d’une pompe à main d’un débit maximal de 1m</w:t>
      </w:r>
      <w:r w:rsidRPr="00713D03">
        <w:rPr>
          <w:vertAlign w:val="superscript"/>
          <w:lang w:val="fr-CA"/>
        </w:rPr>
        <w:t>3</w:t>
      </w:r>
      <w:r>
        <w:rPr>
          <w:lang w:val="fr-CA"/>
        </w:rPr>
        <w: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60" w:rsidRPr="00945A79" w:rsidRDefault="00613860" w:rsidP="00945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FFD"/>
    <w:multiLevelType w:val="hybridMultilevel"/>
    <w:tmpl w:val="7AB87F7A"/>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0573FD"/>
    <w:multiLevelType w:val="hybridMultilevel"/>
    <w:tmpl w:val="056E9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487CA9"/>
    <w:multiLevelType w:val="hybridMultilevel"/>
    <w:tmpl w:val="4E0E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C65702"/>
    <w:multiLevelType w:val="hybridMultilevel"/>
    <w:tmpl w:val="722C6998"/>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F6322C"/>
    <w:multiLevelType w:val="hybridMultilevel"/>
    <w:tmpl w:val="0B447912"/>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2B7B40"/>
    <w:multiLevelType w:val="multilevel"/>
    <w:tmpl w:val="6AB06E9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2566"/>
        </w:tabs>
        <w:ind w:left="2566" w:hanging="864"/>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146934F9"/>
    <w:multiLevelType w:val="hybridMultilevel"/>
    <w:tmpl w:val="C78A976C"/>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0C2D01"/>
    <w:multiLevelType w:val="hybridMultilevel"/>
    <w:tmpl w:val="57306286"/>
    <w:lvl w:ilvl="0" w:tplc="E1424098">
      <w:start w:val="1"/>
      <w:numFmt w:val="bullet"/>
      <w:lvlText w:val="Ä"/>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572101"/>
    <w:multiLevelType w:val="hybridMultilevel"/>
    <w:tmpl w:val="9BE8A96E"/>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ED175D"/>
    <w:multiLevelType w:val="hybridMultilevel"/>
    <w:tmpl w:val="49DC0AB0"/>
    <w:lvl w:ilvl="0" w:tplc="5E428206">
      <w:start w:val="1"/>
      <w:numFmt w:val="bullet"/>
      <w:pStyle w:val="Heading5"/>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0A3D6B"/>
    <w:multiLevelType w:val="hybridMultilevel"/>
    <w:tmpl w:val="C6B8F9C6"/>
    <w:lvl w:ilvl="0" w:tplc="6CC4FBC0">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nsid w:val="1DE17CEC"/>
    <w:multiLevelType w:val="hybridMultilevel"/>
    <w:tmpl w:val="812E46D2"/>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E8E71F4"/>
    <w:multiLevelType w:val="hybridMultilevel"/>
    <w:tmpl w:val="DF9042EC"/>
    <w:lvl w:ilvl="0" w:tplc="6CC4FBC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25335E2F"/>
    <w:multiLevelType w:val="hybridMultilevel"/>
    <w:tmpl w:val="0BB6A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A3713A"/>
    <w:multiLevelType w:val="hybridMultilevel"/>
    <w:tmpl w:val="0A000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132705"/>
    <w:multiLevelType w:val="hybridMultilevel"/>
    <w:tmpl w:val="98AA3F06"/>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B4477F1"/>
    <w:multiLevelType w:val="hybridMultilevel"/>
    <w:tmpl w:val="72F214A8"/>
    <w:lvl w:ilvl="0" w:tplc="6CC4FBC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3420716B"/>
    <w:multiLevelType w:val="hybridMultilevel"/>
    <w:tmpl w:val="C5EA203C"/>
    <w:lvl w:ilvl="0" w:tplc="E1424098">
      <w:start w:val="1"/>
      <w:numFmt w:val="bullet"/>
      <w:lvlText w:val="Ä"/>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60E6337"/>
    <w:multiLevelType w:val="hybridMultilevel"/>
    <w:tmpl w:val="E544E4DC"/>
    <w:lvl w:ilvl="0" w:tplc="E1424098">
      <w:start w:val="1"/>
      <w:numFmt w:val="bullet"/>
      <w:lvlText w:val="Ä"/>
      <w:lvlJc w:val="left"/>
      <w:pPr>
        <w:ind w:left="780" w:hanging="360"/>
      </w:pPr>
      <w:rPr>
        <w:rFonts w:ascii="Wingdings" w:hAnsi="Wingdings" w:hint="default"/>
        <w:sz w:val="16"/>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nsid w:val="38E579DF"/>
    <w:multiLevelType w:val="hybridMultilevel"/>
    <w:tmpl w:val="7C786FA2"/>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D02D73"/>
    <w:multiLevelType w:val="hybridMultilevel"/>
    <w:tmpl w:val="BC2EA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5054FD"/>
    <w:multiLevelType w:val="hybridMultilevel"/>
    <w:tmpl w:val="8660B0C2"/>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5BC0148"/>
    <w:multiLevelType w:val="hybridMultilevel"/>
    <w:tmpl w:val="99B07254"/>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8F05289"/>
    <w:multiLevelType w:val="hybridMultilevel"/>
    <w:tmpl w:val="455AEA12"/>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AB304DA"/>
    <w:multiLevelType w:val="hybridMultilevel"/>
    <w:tmpl w:val="BC080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1E6094"/>
    <w:multiLevelType w:val="hybridMultilevel"/>
    <w:tmpl w:val="B50AF0AE"/>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DDD5919"/>
    <w:multiLevelType w:val="hybridMultilevel"/>
    <w:tmpl w:val="B7CECD14"/>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0D70C9B"/>
    <w:multiLevelType w:val="hybridMultilevel"/>
    <w:tmpl w:val="844AA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DA57CA"/>
    <w:multiLevelType w:val="hybridMultilevel"/>
    <w:tmpl w:val="2FB0DAC8"/>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57F1EB8"/>
    <w:multiLevelType w:val="hybridMultilevel"/>
    <w:tmpl w:val="487063A2"/>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9C5278B"/>
    <w:multiLevelType w:val="hybridMultilevel"/>
    <w:tmpl w:val="C5CCC05E"/>
    <w:lvl w:ilvl="0" w:tplc="66F2E626">
      <w:start w:val="1"/>
      <w:numFmt w:val="decimal"/>
      <w:lvlText w:val="%1."/>
      <w:lvlJc w:val="left"/>
      <w:pPr>
        <w:ind w:left="360" w:hanging="360"/>
      </w:pPr>
    </w:lvl>
    <w:lvl w:ilvl="1" w:tplc="0336754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C3F2D7A"/>
    <w:multiLevelType w:val="hybridMultilevel"/>
    <w:tmpl w:val="D110E982"/>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D9B4C2A"/>
    <w:multiLevelType w:val="hybridMultilevel"/>
    <w:tmpl w:val="4862692C"/>
    <w:lvl w:ilvl="0" w:tplc="6CC4FBC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631A2977"/>
    <w:multiLevelType w:val="multilevel"/>
    <w:tmpl w:val="44E691F6"/>
    <w:lvl w:ilvl="0">
      <w:start w:val="1"/>
      <w:numFmt w:val="decimal"/>
      <w:lvlText w:val="%1"/>
      <w:lvlJc w:val="left"/>
      <w:pPr>
        <w:tabs>
          <w:tab w:val="num" w:pos="1112"/>
        </w:tabs>
        <w:ind w:left="1112" w:hanging="432"/>
      </w:pPr>
      <w:rPr>
        <w:rFonts w:hint="default"/>
      </w:rPr>
    </w:lvl>
    <w:lvl w:ilvl="1">
      <w:start w:val="1"/>
      <w:numFmt w:val="decimal"/>
      <w:pStyle w:val="StyleHeading2Bold"/>
      <w:lvlText w:val="%1.%2"/>
      <w:lvlJc w:val="left"/>
      <w:pPr>
        <w:tabs>
          <w:tab w:val="num" w:pos="1256"/>
        </w:tabs>
        <w:ind w:left="1256" w:hanging="576"/>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544"/>
        </w:tabs>
        <w:ind w:left="1544" w:hanging="8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4">
    <w:nsid w:val="655658B0"/>
    <w:multiLevelType w:val="hybridMultilevel"/>
    <w:tmpl w:val="60B6C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D5E0946"/>
    <w:multiLevelType w:val="hybridMultilevel"/>
    <w:tmpl w:val="FAC4F9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FFA1E3E"/>
    <w:multiLevelType w:val="hybridMultilevel"/>
    <w:tmpl w:val="747AC79C"/>
    <w:lvl w:ilvl="0" w:tplc="57249416">
      <w:start w:val="1"/>
      <w:numFmt w:val="decimal"/>
      <w:lvlText w:val="%1."/>
      <w:lvlJc w:val="left"/>
      <w:pPr>
        <w:ind w:left="360" w:hanging="360"/>
      </w:pPr>
    </w:lvl>
    <w:lvl w:ilvl="1" w:tplc="4F502276">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71470194"/>
    <w:multiLevelType w:val="hybridMultilevel"/>
    <w:tmpl w:val="829CF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7229725D"/>
    <w:multiLevelType w:val="hybridMultilevel"/>
    <w:tmpl w:val="4E06A27E"/>
    <w:lvl w:ilvl="0" w:tplc="6CC4FBC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nsid w:val="73240F47"/>
    <w:multiLevelType w:val="hybridMultilevel"/>
    <w:tmpl w:val="879E352E"/>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7F3748B"/>
    <w:multiLevelType w:val="hybridMultilevel"/>
    <w:tmpl w:val="7B2E3A62"/>
    <w:lvl w:ilvl="0" w:tplc="6CC4FBC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nsid w:val="78A23DB4"/>
    <w:multiLevelType w:val="hybridMultilevel"/>
    <w:tmpl w:val="EB025DC0"/>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F9D00AE"/>
    <w:multiLevelType w:val="hybridMultilevel"/>
    <w:tmpl w:val="A12E0D80"/>
    <w:lvl w:ilvl="0" w:tplc="E9E80B3E">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9"/>
  </w:num>
  <w:num w:numId="4">
    <w:abstractNumId w:val="11"/>
  </w:num>
  <w:num w:numId="5">
    <w:abstractNumId w:val="18"/>
  </w:num>
  <w:num w:numId="6">
    <w:abstractNumId w:val="7"/>
  </w:num>
  <w:num w:numId="7">
    <w:abstractNumId w:val="8"/>
  </w:num>
  <w:num w:numId="8">
    <w:abstractNumId w:val="41"/>
  </w:num>
  <w:num w:numId="9">
    <w:abstractNumId w:val="23"/>
  </w:num>
  <w:num w:numId="10">
    <w:abstractNumId w:val="42"/>
  </w:num>
  <w:num w:numId="11">
    <w:abstractNumId w:val="22"/>
  </w:num>
  <w:num w:numId="12">
    <w:abstractNumId w:val="3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9"/>
  </w:num>
  <w:num w:numId="16">
    <w:abstractNumId w:val="6"/>
  </w:num>
  <w:num w:numId="17">
    <w:abstractNumId w:val="4"/>
  </w:num>
  <w:num w:numId="18">
    <w:abstractNumId w:val="25"/>
  </w:num>
  <w:num w:numId="19">
    <w:abstractNumId w:val="39"/>
  </w:num>
  <w:num w:numId="20">
    <w:abstractNumId w:val="15"/>
  </w:num>
  <w:num w:numId="21">
    <w:abstractNumId w:val="21"/>
  </w:num>
  <w:num w:numId="22">
    <w:abstractNumId w:val="28"/>
  </w:num>
  <w:num w:numId="23">
    <w:abstractNumId w:val="0"/>
  </w:num>
  <w:num w:numId="24">
    <w:abstractNumId w:val="19"/>
  </w:num>
  <w:num w:numId="25">
    <w:abstractNumId w:val="35"/>
  </w:num>
  <w:num w:numId="26">
    <w:abstractNumId w:val="3"/>
  </w:num>
  <w:num w:numId="27">
    <w:abstractNumId w:val="30"/>
  </w:num>
  <w:num w:numId="28">
    <w:abstractNumId w:val="36"/>
  </w:num>
  <w:num w:numId="29">
    <w:abstractNumId w:val="2"/>
  </w:num>
  <w:num w:numId="30">
    <w:abstractNumId w:val="1"/>
  </w:num>
  <w:num w:numId="31">
    <w:abstractNumId w:val="14"/>
  </w:num>
  <w:num w:numId="32">
    <w:abstractNumId w:val="27"/>
  </w:num>
  <w:num w:numId="33">
    <w:abstractNumId w:val="34"/>
  </w:num>
  <w:num w:numId="34">
    <w:abstractNumId w:val="24"/>
  </w:num>
  <w:num w:numId="35">
    <w:abstractNumId w:val="37"/>
  </w:num>
  <w:num w:numId="36">
    <w:abstractNumId w:val="13"/>
  </w:num>
  <w:num w:numId="37">
    <w:abstractNumId w:val="20"/>
  </w:num>
  <w:num w:numId="38">
    <w:abstractNumId w:val="32"/>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16"/>
  </w:num>
  <w:num w:numId="44">
    <w:abstractNumId w:val="10"/>
  </w:num>
  <w:num w:numId="45">
    <w:abstractNumId w:val="38"/>
  </w:num>
  <w:num w:numId="46">
    <w:abstractNumId w:val="12"/>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revisionView w:markup="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841E31"/>
    <w:rsid w:val="0000171C"/>
    <w:rsid w:val="0000220F"/>
    <w:rsid w:val="0000327A"/>
    <w:rsid w:val="000036A4"/>
    <w:rsid w:val="0000697A"/>
    <w:rsid w:val="00007DC7"/>
    <w:rsid w:val="00017BE1"/>
    <w:rsid w:val="00036F76"/>
    <w:rsid w:val="00041313"/>
    <w:rsid w:val="00041949"/>
    <w:rsid w:val="00041AEC"/>
    <w:rsid w:val="0004248C"/>
    <w:rsid w:val="00044473"/>
    <w:rsid w:val="00063110"/>
    <w:rsid w:val="000636DF"/>
    <w:rsid w:val="000639A6"/>
    <w:rsid w:val="0006409F"/>
    <w:rsid w:val="00064CC5"/>
    <w:rsid w:val="000672CD"/>
    <w:rsid w:val="00071BE3"/>
    <w:rsid w:val="0007379B"/>
    <w:rsid w:val="00073CBB"/>
    <w:rsid w:val="00075DD8"/>
    <w:rsid w:val="00075E1F"/>
    <w:rsid w:val="00081845"/>
    <w:rsid w:val="000834E8"/>
    <w:rsid w:val="0008392D"/>
    <w:rsid w:val="00085357"/>
    <w:rsid w:val="0008552E"/>
    <w:rsid w:val="00091517"/>
    <w:rsid w:val="00096A01"/>
    <w:rsid w:val="000A1034"/>
    <w:rsid w:val="000A1DB6"/>
    <w:rsid w:val="000B02AF"/>
    <w:rsid w:val="000B1445"/>
    <w:rsid w:val="000B1A26"/>
    <w:rsid w:val="000B2F3A"/>
    <w:rsid w:val="000C327A"/>
    <w:rsid w:val="000C34C2"/>
    <w:rsid w:val="000C4439"/>
    <w:rsid w:val="000C771E"/>
    <w:rsid w:val="000E3B39"/>
    <w:rsid w:val="000E531F"/>
    <w:rsid w:val="000E6B7C"/>
    <w:rsid w:val="000F0708"/>
    <w:rsid w:val="000F28FC"/>
    <w:rsid w:val="000F3A59"/>
    <w:rsid w:val="000F3B73"/>
    <w:rsid w:val="000F7E7C"/>
    <w:rsid w:val="00100AC4"/>
    <w:rsid w:val="00104ABE"/>
    <w:rsid w:val="00104BFE"/>
    <w:rsid w:val="001055D1"/>
    <w:rsid w:val="00106124"/>
    <w:rsid w:val="00107C15"/>
    <w:rsid w:val="0011369D"/>
    <w:rsid w:val="00114C31"/>
    <w:rsid w:val="001160D8"/>
    <w:rsid w:val="00117A4E"/>
    <w:rsid w:val="00117E8E"/>
    <w:rsid w:val="00121F0A"/>
    <w:rsid w:val="00123F26"/>
    <w:rsid w:val="00123F61"/>
    <w:rsid w:val="001245F5"/>
    <w:rsid w:val="00127E86"/>
    <w:rsid w:val="0013106C"/>
    <w:rsid w:val="00131853"/>
    <w:rsid w:val="00142C26"/>
    <w:rsid w:val="00142DE3"/>
    <w:rsid w:val="0014341A"/>
    <w:rsid w:val="00145FBF"/>
    <w:rsid w:val="00146EB1"/>
    <w:rsid w:val="0015017B"/>
    <w:rsid w:val="00154DC2"/>
    <w:rsid w:val="00155CF2"/>
    <w:rsid w:val="00155DE6"/>
    <w:rsid w:val="0016164C"/>
    <w:rsid w:val="00161DB6"/>
    <w:rsid w:val="00162BEF"/>
    <w:rsid w:val="00164D1D"/>
    <w:rsid w:val="001651A1"/>
    <w:rsid w:val="001664C0"/>
    <w:rsid w:val="001676C9"/>
    <w:rsid w:val="00167DEE"/>
    <w:rsid w:val="00171AEB"/>
    <w:rsid w:val="00175513"/>
    <w:rsid w:val="00176C59"/>
    <w:rsid w:val="0017708C"/>
    <w:rsid w:val="001806B5"/>
    <w:rsid w:val="0018370C"/>
    <w:rsid w:val="00183E56"/>
    <w:rsid w:val="00185E4A"/>
    <w:rsid w:val="001972A4"/>
    <w:rsid w:val="00197645"/>
    <w:rsid w:val="001A1A3C"/>
    <w:rsid w:val="001A4598"/>
    <w:rsid w:val="001A65FA"/>
    <w:rsid w:val="001B7E12"/>
    <w:rsid w:val="001C1F18"/>
    <w:rsid w:val="001C27D2"/>
    <w:rsid w:val="001C3DA4"/>
    <w:rsid w:val="001C6792"/>
    <w:rsid w:val="001C6DEC"/>
    <w:rsid w:val="001C7CFA"/>
    <w:rsid w:val="001D1883"/>
    <w:rsid w:val="001D225B"/>
    <w:rsid w:val="001D4510"/>
    <w:rsid w:val="001D473F"/>
    <w:rsid w:val="001D5859"/>
    <w:rsid w:val="001E18E4"/>
    <w:rsid w:val="001E2153"/>
    <w:rsid w:val="001E7C1E"/>
    <w:rsid w:val="001F1F30"/>
    <w:rsid w:val="001F31F5"/>
    <w:rsid w:val="001F6249"/>
    <w:rsid w:val="001F70A4"/>
    <w:rsid w:val="001F7AB4"/>
    <w:rsid w:val="00203E45"/>
    <w:rsid w:val="00204960"/>
    <w:rsid w:val="002061E2"/>
    <w:rsid w:val="00207E2D"/>
    <w:rsid w:val="00213CF3"/>
    <w:rsid w:val="00222928"/>
    <w:rsid w:val="002244E5"/>
    <w:rsid w:val="00226739"/>
    <w:rsid w:val="00226D00"/>
    <w:rsid w:val="00226E99"/>
    <w:rsid w:val="00243122"/>
    <w:rsid w:val="00246FDD"/>
    <w:rsid w:val="002470C9"/>
    <w:rsid w:val="00247907"/>
    <w:rsid w:val="00250E57"/>
    <w:rsid w:val="00252C00"/>
    <w:rsid w:val="002566B7"/>
    <w:rsid w:val="00263F55"/>
    <w:rsid w:val="00266EE9"/>
    <w:rsid w:val="0026752C"/>
    <w:rsid w:val="002756DC"/>
    <w:rsid w:val="002826F2"/>
    <w:rsid w:val="0028507F"/>
    <w:rsid w:val="00286CC1"/>
    <w:rsid w:val="002905D6"/>
    <w:rsid w:val="00291AA3"/>
    <w:rsid w:val="0029405B"/>
    <w:rsid w:val="00294D03"/>
    <w:rsid w:val="00296614"/>
    <w:rsid w:val="00296EC8"/>
    <w:rsid w:val="002A4513"/>
    <w:rsid w:val="002A5040"/>
    <w:rsid w:val="002A5A03"/>
    <w:rsid w:val="002A6166"/>
    <w:rsid w:val="002A76D0"/>
    <w:rsid w:val="002B050D"/>
    <w:rsid w:val="002B14F8"/>
    <w:rsid w:val="002B2DBA"/>
    <w:rsid w:val="002B339A"/>
    <w:rsid w:val="002B4C24"/>
    <w:rsid w:val="002B5B2D"/>
    <w:rsid w:val="002C448A"/>
    <w:rsid w:val="002C6685"/>
    <w:rsid w:val="002D473B"/>
    <w:rsid w:val="002E0253"/>
    <w:rsid w:val="002E49B2"/>
    <w:rsid w:val="002E4D78"/>
    <w:rsid w:val="002E51B7"/>
    <w:rsid w:val="002E62EC"/>
    <w:rsid w:val="002E6B72"/>
    <w:rsid w:val="002F2737"/>
    <w:rsid w:val="002F4DCC"/>
    <w:rsid w:val="003005F6"/>
    <w:rsid w:val="00302535"/>
    <w:rsid w:val="00321069"/>
    <w:rsid w:val="00322404"/>
    <w:rsid w:val="003241A0"/>
    <w:rsid w:val="003256A8"/>
    <w:rsid w:val="00325EA8"/>
    <w:rsid w:val="00330ED9"/>
    <w:rsid w:val="00331589"/>
    <w:rsid w:val="003353D9"/>
    <w:rsid w:val="0033668C"/>
    <w:rsid w:val="0034024F"/>
    <w:rsid w:val="003416C6"/>
    <w:rsid w:val="00352BD7"/>
    <w:rsid w:val="00354067"/>
    <w:rsid w:val="003567E3"/>
    <w:rsid w:val="00356C69"/>
    <w:rsid w:val="00366560"/>
    <w:rsid w:val="0037323E"/>
    <w:rsid w:val="00373242"/>
    <w:rsid w:val="00373A8A"/>
    <w:rsid w:val="00380792"/>
    <w:rsid w:val="0038578D"/>
    <w:rsid w:val="0038608C"/>
    <w:rsid w:val="00390A40"/>
    <w:rsid w:val="00393461"/>
    <w:rsid w:val="003939F5"/>
    <w:rsid w:val="00395365"/>
    <w:rsid w:val="00396C02"/>
    <w:rsid w:val="00396C1A"/>
    <w:rsid w:val="003A188D"/>
    <w:rsid w:val="003A41AB"/>
    <w:rsid w:val="003A6B17"/>
    <w:rsid w:val="003A753F"/>
    <w:rsid w:val="003B0AE4"/>
    <w:rsid w:val="003B5E00"/>
    <w:rsid w:val="003C1434"/>
    <w:rsid w:val="003C1858"/>
    <w:rsid w:val="003C3D4F"/>
    <w:rsid w:val="003D572D"/>
    <w:rsid w:val="003D58EC"/>
    <w:rsid w:val="003D6076"/>
    <w:rsid w:val="003E1C8D"/>
    <w:rsid w:val="003E3073"/>
    <w:rsid w:val="003F0C5A"/>
    <w:rsid w:val="003F2347"/>
    <w:rsid w:val="003F2991"/>
    <w:rsid w:val="003F3F56"/>
    <w:rsid w:val="003F51A1"/>
    <w:rsid w:val="003F6E60"/>
    <w:rsid w:val="00401978"/>
    <w:rsid w:val="0040222E"/>
    <w:rsid w:val="00405410"/>
    <w:rsid w:val="0041214A"/>
    <w:rsid w:val="00413061"/>
    <w:rsid w:val="00417413"/>
    <w:rsid w:val="00420152"/>
    <w:rsid w:val="00420466"/>
    <w:rsid w:val="004221A8"/>
    <w:rsid w:val="00423A91"/>
    <w:rsid w:val="00425AB6"/>
    <w:rsid w:val="00427C55"/>
    <w:rsid w:val="00431366"/>
    <w:rsid w:val="004336F9"/>
    <w:rsid w:val="00434BA6"/>
    <w:rsid w:val="00435E04"/>
    <w:rsid w:val="00446C33"/>
    <w:rsid w:val="004541C2"/>
    <w:rsid w:val="00462A8F"/>
    <w:rsid w:val="0046356C"/>
    <w:rsid w:val="00465694"/>
    <w:rsid w:val="00466CA5"/>
    <w:rsid w:val="00475691"/>
    <w:rsid w:val="00476A4C"/>
    <w:rsid w:val="004840F3"/>
    <w:rsid w:val="004942E7"/>
    <w:rsid w:val="00497F25"/>
    <w:rsid w:val="004A122D"/>
    <w:rsid w:val="004A15B2"/>
    <w:rsid w:val="004A28E4"/>
    <w:rsid w:val="004A32EB"/>
    <w:rsid w:val="004A4D8B"/>
    <w:rsid w:val="004A7885"/>
    <w:rsid w:val="004B0F73"/>
    <w:rsid w:val="004B2F8E"/>
    <w:rsid w:val="004B4A17"/>
    <w:rsid w:val="004B6A81"/>
    <w:rsid w:val="004B7D19"/>
    <w:rsid w:val="004B7FD8"/>
    <w:rsid w:val="004C2C1D"/>
    <w:rsid w:val="004C4A34"/>
    <w:rsid w:val="004C7D44"/>
    <w:rsid w:val="004D0F9C"/>
    <w:rsid w:val="004D3ABD"/>
    <w:rsid w:val="004E01E7"/>
    <w:rsid w:val="004E1126"/>
    <w:rsid w:val="004E178D"/>
    <w:rsid w:val="004E182C"/>
    <w:rsid w:val="004F0506"/>
    <w:rsid w:val="004F0E12"/>
    <w:rsid w:val="004F1C42"/>
    <w:rsid w:val="004F2084"/>
    <w:rsid w:val="004F404F"/>
    <w:rsid w:val="004F524B"/>
    <w:rsid w:val="004F6CD8"/>
    <w:rsid w:val="004F6E66"/>
    <w:rsid w:val="004F73C6"/>
    <w:rsid w:val="004F7FBF"/>
    <w:rsid w:val="00501261"/>
    <w:rsid w:val="00510C25"/>
    <w:rsid w:val="00515897"/>
    <w:rsid w:val="00520133"/>
    <w:rsid w:val="00520461"/>
    <w:rsid w:val="00520E96"/>
    <w:rsid w:val="00524C36"/>
    <w:rsid w:val="00525458"/>
    <w:rsid w:val="00531C64"/>
    <w:rsid w:val="00536EFD"/>
    <w:rsid w:val="005377A2"/>
    <w:rsid w:val="005404B0"/>
    <w:rsid w:val="0054058E"/>
    <w:rsid w:val="00542A1D"/>
    <w:rsid w:val="0054463F"/>
    <w:rsid w:val="00545562"/>
    <w:rsid w:val="005464A6"/>
    <w:rsid w:val="0054720B"/>
    <w:rsid w:val="0054749B"/>
    <w:rsid w:val="00547F2C"/>
    <w:rsid w:val="005500F4"/>
    <w:rsid w:val="00554968"/>
    <w:rsid w:val="00554B55"/>
    <w:rsid w:val="0055650E"/>
    <w:rsid w:val="00556D84"/>
    <w:rsid w:val="0056106A"/>
    <w:rsid w:val="00562175"/>
    <w:rsid w:val="005625F7"/>
    <w:rsid w:val="005646B9"/>
    <w:rsid w:val="00571436"/>
    <w:rsid w:val="005722D6"/>
    <w:rsid w:val="005723F2"/>
    <w:rsid w:val="00576117"/>
    <w:rsid w:val="00583611"/>
    <w:rsid w:val="00583F78"/>
    <w:rsid w:val="005867A9"/>
    <w:rsid w:val="005877F7"/>
    <w:rsid w:val="00587C99"/>
    <w:rsid w:val="005918D5"/>
    <w:rsid w:val="00593E41"/>
    <w:rsid w:val="00593F73"/>
    <w:rsid w:val="005956C2"/>
    <w:rsid w:val="00596232"/>
    <w:rsid w:val="00596733"/>
    <w:rsid w:val="00596F55"/>
    <w:rsid w:val="00597CD3"/>
    <w:rsid w:val="005A1981"/>
    <w:rsid w:val="005A360A"/>
    <w:rsid w:val="005A421F"/>
    <w:rsid w:val="005A614F"/>
    <w:rsid w:val="005A644F"/>
    <w:rsid w:val="005B1194"/>
    <w:rsid w:val="005B683C"/>
    <w:rsid w:val="005B7B81"/>
    <w:rsid w:val="005C34A3"/>
    <w:rsid w:val="005C41B5"/>
    <w:rsid w:val="005D0D05"/>
    <w:rsid w:val="005D46E6"/>
    <w:rsid w:val="005D750F"/>
    <w:rsid w:val="005E0CA9"/>
    <w:rsid w:val="005E41E7"/>
    <w:rsid w:val="005E6185"/>
    <w:rsid w:val="005E63F8"/>
    <w:rsid w:val="005F1C3C"/>
    <w:rsid w:val="005F1C7F"/>
    <w:rsid w:val="00604F4C"/>
    <w:rsid w:val="00613860"/>
    <w:rsid w:val="00614406"/>
    <w:rsid w:val="00615792"/>
    <w:rsid w:val="00622B88"/>
    <w:rsid w:val="0062318A"/>
    <w:rsid w:val="00623E49"/>
    <w:rsid w:val="00624988"/>
    <w:rsid w:val="00626E4E"/>
    <w:rsid w:val="006333AE"/>
    <w:rsid w:val="00634049"/>
    <w:rsid w:val="00635454"/>
    <w:rsid w:val="00636FAB"/>
    <w:rsid w:val="00637FB3"/>
    <w:rsid w:val="00647981"/>
    <w:rsid w:val="00650F99"/>
    <w:rsid w:val="00653CCB"/>
    <w:rsid w:val="006555DD"/>
    <w:rsid w:val="00655724"/>
    <w:rsid w:val="00657A66"/>
    <w:rsid w:val="00665471"/>
    <w:rsid w:val="006708BA"/>
    <w:rsid w:val="0068124A"/>
    <w:rsid w:val="006856C1"/>
    <w:rsid w:val="0069130B"/>
    <w:rsid w:val="006934A4"/>
    <w:rsid w:val="006A09A0"/>
    <w:rsid w:val="006A316C"/>
    <w:rsid w:val="006A6677"/>
    <w:rsid w:val="006B0C93"/>
    <w:rsid w:val="006B51A0"/>
    <w:rsid w:val="006C05AF"/>
    <w:rsid w:val="006C0DAE"/>
    <w:rsid w:val="006C0F2E"/>
    <w:rsid w:val="006C313B"/>
    <w:rsid w:val="006C3ADB"/>
    <w:rsid w:val="006C47B6"/>
    <w:rsid w:val="006C48CA"/>
    <w:rsid w:val="006D112A"/>
    <w:rsid w:val="006D19B3"/>
    <w:rsid w:val="006D3B32"/>
    <w:rsid w:val="006D5980"/>
    <w:rsid w:val="006D6C13"/>
    <w:rsid w:val="006E0A9F"/>
    <w:rsid w:val="006E1558"/>
    <w:rsid w:val="006F107E"/>
    <w:rsid w:val="006F2B73"/>
    <w:rsid w:val="006F4094"/>
    <w:rsid w:val="006F608F"/>
    <w:rsid w:val="006F7A9A"/>
    <w:rsid w:val="00700035"/>
    <w:rsid w:val="007015CE"/>
    <w:rsid w:val="00702515"/>
    <w:rsid w:val="0070253B"/>
    <w:rsid w:val="007030F9"/>
    <w:rsid w:val="0070390D"/>
    <w:rsid w:val="007043E3"/>
    <w:rsid w:val="0070513D"/>
    <w:rsid w:val="00710CE3"/>
    <w:rsid w:val="00711413"/>
    <w:rsid w:val="00717800"/>
    <w:rsid w:val="007218C5"/>
    <w:rsid w:val="007266A6"/>
    <w:rsid w:val="00727BC6"/>
    <w:rsid w:val="00732C0B"/>
    <w:rsid w:val="00735DB2"/>
    <w:rsid w:val="00736B01"/>
    <w:rsid w:val="007427DB"/>
    <w:rsid w:val="00742F50"/>
    <w:rsid w:val="00751665"/>
    <w:rsid w:val="00751E67"/>
    <w:rsid w:val="007524E1"/>
    <w:rsid w:val="007526B7"/>
    <w:rsid w:val="00754148"/>
    <w:rsid w:val="0075670E"/>
    <w:rsid w:val="00760A81"/>
    <w:rsid w:val="007655CD"/>
    <w:rsid w:val="00776662"/>
    <w:rsid w:val="00783305"/>
    <w:rsid w:val="007866A3"/>
    <w:rsid w:val="00787C3C"/>
    <w:rsid w:val="00792329"/>
    <w:rsid w:val="00794221"/>
    <w:rsid w:val="00795419"/>
    <w:rsid w:val="007978CA"/>
    <w:rsid w:val="00797917"/>
    <w:rsid w:val="007A1DEE"/>
    <w:rsid w:val="007A436E"/>
    <w:rsid w:val="007B0E50"/>
    <w:rsid w:val="007B112D"/>
    <w:rsid w:val="007B27ED"/>
    <w:rsid w:val="007B4A67"/>
    <w:rsid w:val="007B73C7"/>
    <w:rsid w:val="007B74F6"/>
    <w:rsid w:val="007B787D"/>
    <w:rsid w:val="007B7CEF"/>
    <w:rsid w:val="007C53D1"/>
    <w:rsid w:val="007C56C3"/>
    <w:rsid w:val="007C56FC"/>
    <w:rsid w:val="007C688E"/>
    <w:rsid w:val="007D090B"/>
    <w:rsid w:val="007D2081"/>
    <w:rsid w:val="007D72C6"/>
    <w:rsid w:val="007E10E9"/>
    <w:rsid w:val="007E1B4E"/>
    <w:rsid w:val="007E1C17"/>
    <w:rsid w:val="007E346D"/>
    <w:rsid w:val="007E5802"/>
    <w:rsid w:val="007E668E"/>
    <w:rsid w:val="007F539D"/>
    <w:rsid w:val="007F5683"/>
    <w:rsid w:val="007F700F"/>
    <w:rsid w:val="008060BC"/>
    <w:rsid w:val="008147EB"/>
    <w:rsid w:val="00820A0B"/>
    <w:rsid w:val="00823350"/>
    <w:rsid w:val="00825C1B"/>
    <w:rsid w:val="00827A29"/>
    <w:rsid w:val="00831CC8"/>
    <w:rsid w:val="00841E31"/>
    <w:rsid w:val="00843106"/>
    <w:rsid w:val="0084377B"/>
    <w:rsid w:val="00851327"/>
    <w:rsid w:val="00851C7C"/>
    <w:rsid w:val="00852601"/>
    <w:rsid w:val="00854C91"/>
    <w:rsid w:val="0085541F"/>
    <w:rsid w:val="008566E1"/>
    <w:rsid w:val="00856828"/>
    <w:rsid w:val="00862F2A"/>
    <w:rsid w:val="00865855"/>
    <w:rsid w:val="00876064"/>
    <w:rsid w:val="00876914"/>
    <w:rsid w:val="008777D0"/>
    <w:rsid w:val="008811DE"/>
    <w:rsid w:val="00892DD9"/>
    <w:rsid w:val="00893E6A"/>
    <w:rsid w:val="0089700E"/>
    <w:rsid w:val="00897043"/>
    <w:rsid w:val="008A3371"/>
    <w:rsid w:val="008A5772"/>
    <w:rsid w:val="008B01C6"/>
    <w:rsid w:val="008B23B3"/>
    <w:rsid w:val="008B3527"/>
    <w:rsid w:val="008B3B8C"/>
    <w:rsid w:val="008B5DC4"/>
    <w:rsid w:val="008B75D9"/>
    <w:rsid w:val="008C20A4"/>
    <w:rsid w:val="008C2114"/>
    <w:rsid w:val="008C5C6E"/>
    <w:rsid w:val="008E1145"/>
    <w:rsid w:val="008E5D6C"/>
    <w:rsid w:val="008F30C8"/>
    <w:rsid w:val="008F5170"/>
    <w:rsid w:val="008F7027"/>
    <w:rsid w:val="0090127F"/>
    <w:rsid w:val="0090528A"/>
    <w:rsid w:val="00905711"/>
    <w:rsid w:val="00906CA5"/>
    <w:rsid w:val="0091168F"/>
    <w:rsid w:val="0091282F"/>
    <w:rsid w:val="009173B5"/>
    <w:rsid w:val="009174DA"/>
    <w:rsid w:val="0092048E"/>
    <w:rsid w:val="00921290"/>
    <w:rsid w:val="00924409"/>
    <w:rsid w:val="00924533"/>
    <w:rsid w:val="009329FF"/>
    <w:rsid w:val="00932FC1"/>
    <w:rsid w:val="0093400B"/>
    <w:rsid w:val="0094127D"/>
    <w:rsid w:val="0094433B"/>
    <w:rsid w:val="00945A79"/>
    <w:rsid w:val="00951216"/>
    <w:rsid w:val="00951A36"/>
    <w:rsid w:val="00961779"/>
    <w:rsid w:val="00962A16"/>
    <w:rsid w:val="00964AB0"/>
    <w:rsid w:val="00965989"/>
    <w:rsid w:val="00970136"/>
    <w:rsid w:val="00973A07"/>
    <w:rsid w:val="00973F2A"/>
    <w:rsid w:val="0097676E"/>
    <w:rsid w:val="00986BC2"/>
    <w:rsid w:val="009912EB"/>
    <w:rsid w:val="00991524"/>
    <w:rsid w:val="009938E5"/>
    <w:rsid w:val="009949F4"/>
    <w:rsid w:val="009A15C2"/>
    <w:rsid w:val="009A4C6C"/>
    <w:rsid w:val="009B4368"/>
    <w:rsid w:val="009B436A"/>
    <w:rsid w:val="009B51B0"/>
    <w:rsid w:val="009B6DD8"/>
    <w:rsid w:val="009C10CA"/>
    <w:rsid w:val="009C2B33"/>
    <w:rsid w:val="009C3584"/>
    <w:rsid w:val="009C4F2F"/>
    <w:rsid w:val="009C63D8"/>
    <w:rsid w:val="009D0D7E"/>
    <w:rsid w:val="009D1295"/>
    <w:rsid w:val="009D379E"/>
    <w:rsid w:val="009F08F2"/>
    <w:rsid w:val="009F0CA6"/>
    <w:rsid w:val="009F16CD"/>
    <w:rsid w:val="009F1B42"/>
    <w:rsid w:val="009F2FF5"/>
    <w:rsid w:val="009F4E7B"/>
    <w:rsid w:val="009F65F8"/>
    <w:rsid w:val="009F683B"/>
    <w:rsid w:val="009F7318"/>
    <w:rsid w:val="00A030F6"/>
    <w:rsid w:val="00A0428F"/>
    <w:rsid w:val="00A067F9"/>
    <w:rsid w:val="00A147A5"/>
    <w:rsid w:val="00A148D7"/>
    <w:rsid w:val="00A15B9E"/>
    <w:rsid w:val="00A175D3"/>
    <w:rsid w:val="00A2148B"/>
    <w:rsid w:val="00A25A08"/>
    <w:rsid w:val="00A262EC"/>
    <w:rsid w:val="00A30286"/>
    <w:rsid w:val="00A31C1D"/>
    <w:rsid w:val="00A345B5"/>
    <w:rsid w:val="00A360E1"/>
    <w:rsid w:val="00A36CB3"/>
    <w:rsid w:val="00A4526B"/>
    <w:rsid w:val="00A4650C"/>
    <w:rsid w:val="00A4704F"/>
    <w:rsid w:val="00A47DB9"/>
    <w:rsid w:val="00A5159B"/>
    <w:rsid w:val="00A55C36"/>
    <w:rsid w:val="00A7122B"/>
    <w:rsid w:val="00A738D3"/>
    <w:rsid w:val="00A741FD"/>
    <w:rsid w:val="00A76FC6"/>
    <w:rsid w:val="00A772B1"/>
    <w:rsid w:val="00A84611"/>
    <w:rsid w:val="00A85617"/>
    <w:rsid w:val="00A91E5D"/>
    <w:rsid w:val="00A91FAC"/>
    <w:rsid w:val="00A931F3"/>
    <w:rsid w:val="00A96512"/>
    <w:rsid w:val="00A96821"/>
    <w:rsid w:val="00AA015F"/>
    <w:rsid w:val="00AA2BEA"/>
    <w:rsid w:val="00AA4DCB"/>
    <w:rsid w:val="00AA60E0"/>
    <w:rsid w:val="00AA7A23"/>
    <w:rsid w:val="00AB03D0"/>
    <w:rsid w:val="00AB38D1"/>
    <w:rsid w:val="00AB43C2"/>
    <w:rsid w:val="00AB4B14"/>
    <w:rsid w:val="00AB61DA"/>
    <w:rsid w:val="00AC01D5"/>
    <w:rsid w:val="00AD49F6"/>
    <w:rsid w:val="00AE0CA6"/>
    <w:rsid w:val="00AE41FE"/>
    <w:rsid w:val="00AE43D3"/>
    <w:rsid w:val="00AE6D5F"/>
    <w:rsid w:val="00AE6E2E"/>
    <w:rsid w:val="00AE7839"/>
    <w:rsid w:val="00AF33DB"/>
    <w:rsid w:val="00AF37FD"/>
    <w:rsid w:val="00AF5075"/>
    <w:rsid w:val="00AF56F8"/>
    <w:rsid w:val="00AF6080"/>
    <w:rsid w:val="00B00FA7"/>
    <w:rsid w:val="00B03447"/>
    <w:rsid w:val="00B0669B"/>
    <w:rsid w:val="00B07D0A"/>
    <w:rsid w:val="00B12853"/>
    <w:rsid w:val="00B177B8"/>
    <w:rsid w:val="00B17813"/>
    <w:rsid w:val="00B214DB"/>
    <w:rsid w:val="00B31B4D"/>
    <w:rsid w:val="00B34391"/>
    <w:rsid w:val="00B35700"/>
    <w:rsid w:val="00B35C96"/>
    <w:rsid w:val="00B35E92"/>
    <w:rsid w:val="00B40ADA"/>
    <w:rsid w:val="00B42608"/>
    <w:rsid w:val="00B43155"/>
    <w:rsid w:val="00B46EA4"/>
    <w:rsid w:val="00B522E2"/>
    <w:rsid w:val="00B548E2"/>
    <w:rsid w:val="00B54B90"/>
    <w:rsid w:val="00B5752C"/>
    <w:rsid w:val="00B6171D"/>
    <w:rsid w:val="00B618F3"/>
    <w:rsid w:val="00B62E55"/>
    <w:rsid w:val="00B6394D"/>
    <w:rsid w:val="00B66534"/>
    <w:rsid w:val="00B67CC5"/>
    <w:rsid w:val="00B700CC"/>
    <w:rsid w:val="00B702B5"/>
    <w:rsid w:val="00B70902"/>
    <w:rsid w:val="00B727BA"/>
    <w:rsid w:val="00B73111"/>
    <w:rsid w:val="00B7380D"/>
    <w:rsid w:val="00B75CB9"/>
    <w:rsid w:val="00B75FB7"/>
    <w:rsid w:val="00B8307D"/>
    <w:rsid w:val="00B83427"/>
    <w:rsid w:val="00B87763"/>
    <w:rsid w:val="00B92603"/>
    <w:rsid w:val="00B93B6C"/>
    <w:rsid w:val="00B9683E"/>
    <w:rsid w:val="00B96E7E"/>
    <w:rsid w:val="00BA2F3E"/>
    <w:rsid w:val="00BA5427"/>
    <w:rsid w:val="00BA5650"/>
    <w:rsid w:val="00BA77F0"/>
    <w:rsid w:val="00BB4FF1"/>
    <w:rsid w:val="00BB72DC"/>
    <w:rsid w:val="00BC0C42"/>
    <w:rsid w:val="00BC4608"/>
    <w:rsid w:val="00BC77C2"/>
    <w:rsid w:val="00BD1551"/>
    <w:rsid w:val="00BD57A5"/>
    <w:rsid w:val="00BD71A6"/>
    <w:rsid w:val="00BD7857"/>
    <w:rsid w:val="00BE51C6"/>
    <w:rsid w:val="00BE72A2"/>
    <w:rsid w:val="00BF7027"/>
    <w:rsid w:val="00C01F72"/>
    <w:rsid w:val="00C02D07"/>
    <w:rsid w:val="00C03DAF"/>
    <w:rsid w:val="00C07BEE"/>
    <w:rsid w:val="00C1034C"/>
    <w:rsid w:val="00C42E84"/>
    <w:rsid w:val="00C43AF0"/>
    <w:rsid w:val="00C43FCA"/>
    <w:rsid w:val="00C470EE"/>
    <w:rsid w:val="00C507C8"/>
    <w:rsid w:val="00C50EBC"/>
    <w:rsid w:val="00C51757"/>
    <w:rsid w:val="00C52FEF"/>
    <w:rsid w:val="00C615C0"/>
    <w:rsid w:val="00C655B6"/>
    <w:rsid w:val="00C6602B"/>
    <w:rsid w:val="00C73517"/>
    <w:rsid w:val="00C77776"/>
    <w:rsid w:val="00C77A17"/>
    <w:rsid w:val="00C81208"/>
    <w:rsid w:val="00C81A48"/>
    <w:rsid w:val="00C858F9"/>
    <w:rsid w:val="00C86449"/>
    <w:rsid w:val="00C870AC"/>
    <w:rsid w:val="00C91DB7"/>
    <w:rsid w:val="00C965D0"/>
    <w:rsid w:val="00CA2DC6"/>
    <w:rsid w:val="00CA305E"/>
    <w:rsid w:val="00CA4ADD"/>
    <w:rsid w:val="00CB572A"/>
    <w:rsid w:val="00CB7506"/>
    <w:rsid w:val="00CC1626"/>
    <w:rsid w:val="00CC33E6"/>
    <w:rsid w:val="00CC39D9"/>
    <w:rsid w:val="00CC409C"/>
    <w:rsid w:val="00CC4710"/>
    <w:rsid w:val="00CC73C4"/>
    <w:rsid w:val="00CD060D"/>
    <w:rsid w:val="00CD0CD0"/>
    <w:rsid w:val="00CD213E"/>
    <w:rsid w:val="00CD593C"/>
    <w:rsid w:val="00CE2D01"/>
    <w:rsid w:val="00CE2F6C"/>
    <w:rsid w:val="00CE33B9"/>
    <w:rsid w:val="00CF05A7"/>
    <w:rsid w:val="00CF36A7"/>
    <w:rsid w:val="00CF4775"/>
    <w:rsid w:val="00D024ED"/>
    <w:rsid w:val="00D03458"/>
    <w:rsid w:val="00D0384D"/>
    <w:rsid w:val="00D03DC0"/>
    <w:rsid w:val="00D04DC7"/>
    <w:rsid w:val="00D050A0"/>
    <w:rsid w:val="00D05311"/>
    <w:rsid w:val="00D06B3B"/>
    <w:rsid w:val="00D118CC"/>
    <w:rsid w:val="00D1285E"/>
    <w:rsid w:val="00D30022"/>
    <w:rsid w:val="00D34378"/>
    <w:rsid w:val="00D37A8D"/>
    <w:rsid w:val="00D40E9B"/>
    <w:rsid w:val="00D41688"/>
    <w:rsid w:val="00D62A0A"/>
    <w:rsid w:val="00D63609"/>
    <w:rsid w:val="00D6494E"/>
    <w:rsid w:val="00D71E43"/>
    <w:rsid w:val="00D77CFF"/>
    <w:rsid w:val="00D81710"/>
    <w:rsid w:val="00D825D6"/>
    <w:rsid w:val="00D82B53"/>
    <w:rsid w:val="00D91B28"/>
    <w:rsid w:val="00D93545"/>
    <w:rsid w:val="00DA7909"/>
    <w:rsid w:val="00DB0826"/>
    <w:rsid w:val="00DB3518"/>
    <w:rsid w:val="00DB3777"/>
    <w:rsid w:val="00DB736A"/>
    <w:rsid w:val="00DC2386"/>
    <w:rsid w:val="00DC6CCC"/>
    <w:rsid w:val="00DE2538"/>
    <w:rsid w:val="00DE78ED"/>
    <w:rsid w:val="00DE7EE5"/>
    <w:rsid w:val="00DF2027"/>
    <w:rsid w:val="00DF294C"/>
    <w:rsid w:val="00DF48DA"/>
    <w:rsid w:val="00DF79B9"/>
    <w:rsid w:val="00DF79C0"/>
    <w:rsid w:val="00DF7D9E"/>
    <w:rsid w:val="00E12BA9"/>
    <w:rsid w:val="00E13216"/>
    <w:rsid w:val="00E202EC"/>
    <w:rsid w:val="00E350EE"/>
    <w:rsid w:val="00E37648"/>
    <w:rsid w:val="00E37AE3"/>
    <w:rsid w:val="00E4609B"/>
    <w:rsid w:val="00E4693D"/>
    <w:rsid w:val="00E55661"/>
    <w:rsid w:val="00E55917"/>
    <w:rsid w:val="00E559AC"/>
    <w:rsid w:val="00E612CD"/>
    <w:rsid w:val="00E632C3"/>
    <w:rsid w:val="00E64BEF"/>
    <w:rsid w:val="00E66ED7"/>
    <w:rsid w:val="00E76CEF"/>
    <w:rsid w:val="00E8420E"/>
    <w:rsid w:val="00E842E2"/>
    <w:rsid w:val="00E87004"/>
    <w:rsid w:val="00E928CE"/>
    <w:rsid w:val="00E92DE7"/>
    <w:rsid w:val="00E954FD"/>
    <w:rsid w:val="00E95B30"/>
    <w:rsid w:val="00E96E1F"/>
    <w:rsid w:val="00EA762C"/>
    <w:rsid w:val="00EB005C"/>
    <w:rsid w:val="00EB301F"/>
    <w:rsid w:val="00EB7917"/>
    <w:rsid w:val="00EC0101"/>
    <w:rsid w:val="00EC2A49"/>
    <w:rsid w:val="00EC7669"/>
    <w:rsid w:val="00ED17A1"/>
    <w:rsid w:val="00ED2E6C"/>
    <w:rsid w:val="00ED336A"/>
    <w:rsid w:val="00ED47F9"/>
    <w:rsid w:val="00ED637B"/>
    <w:rsid w:val="00EE164E"/>
    <w:rsid w:val="00EE2CC4"/>
    <w:rsid w:val="00EE6D4B"/>
    <w:rsid w:val="00EE74FC"/>
    <w:rsid w:val="00EF0DBE"/>
    <w:rsid w:val="00EF158C"/>
    <w:rsid w:val="00EF1C34"/>
    <w:rsid w:val="00EF7C6D"/>
    <w:rsid w:val="00F00644"/>
    <w:rsid w:val="00F061A6"/>
    <w:rsid w:val="00F11F7B"/>
    <w:rsid w:val="00F15889"/>
    <w:rsid w:val="00F17D5F"/>
    <w:rsid w:val="00F17DF1"/>
    <w:rsid w:val="00F20A26"/>
    <w:rsid w:val="00F2571F"/>
    <w:rsid w:val="00F441AF"/>
    <w:rsid w:val="00F51999"/>
    <w:rsid w:val="00F53BED"/>
    <w:rsid w:val="00F54BDC"/>
    <w:rsid w:val="00F54D71"/>
    <w:rsid w:val="00F55B1F"/>
    <w:rsid w:val="00F61227"/>
    <w:rsid w:val="00F656B6"/>
    <w:rsid w:val="00F71824"/>
    <w:rsid w:val="00F71952"/>
    <w:rsid w:val="00F738FE"/>
    <w:rsid w:val="00F77932"/>
    <w:rsid w:val="00F85C1F"/>
    <w:rsid w:val="00F87872"/>
    <w:rsid w:val="00F90C31"/>
    <w:rsid w:val="00F938C4"/>
    <w:rsid w:val="00FA2A1E"/>
    <w:rsid w:val="00FA463B"/>
    <w:rsid w:val="00FA6177"/>
    <w:rsid w:val="00FA6CAC"/>
    <w:rsid w:val="00FB0788"/>
    <w:rsid w:val="00FB2614"/>
    <w:rsid w:val="00FB4AA6"/>
    <w:rsid w:val="00FB537A"/>
    <w:rsid w:val="00FB622D"/>
    <w:rsid w:val="00FB63C6"/>
    <w:rsid w:val="00FB719A"/>
    <w:rsid w:val="00FB7DB3"/>
    <w:rsid w:val="00FC036E"/>
    <w:rsid w:val="00FC4BFB"/>
    <w:rsid w:val="00FC7E0C"/>
    <w:rsid w:val="00FE6869"/>
    <w:rsid w:val="00FF0D2D"/>
    <w:rsid w:val="00FF599B"/>
    <w:rsid w:val="00FF5D6F"/>
    <w:rsid w:val="00FF6607"/>
    <w:rsid w:val="00FF7B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C59"/>
    <w:pPr>
      <w:spacing w:after="120" w:line="276" w:lineRule="auto"/>
    </w:pPr>
    <w:rPr>
      <w:rFonts w:eastAsia="Calibri"/>
      <w:sz w:val="22"/>
      <w:szCs w:val="22"/>
      <w:lang w:val="en-GB" w:eastAsia="en-US"/>
    </w:rPr>
  </w:style>
  <w:style w:type="paragraph" w:styleId="Heading1">
    <w:name w:val="heading 1"/>
    <w:basedOn w:val="Normal"/>
    <w:next w:val="Normal"/>
    <w:link w:val="Heading1Char"/>
    <w:autoRedefine/>
    <w:qFormat/>
    <w:rsid w:val="00B93B6C"/>
    <w:pPr>
      <w:keepNext/>
      <w:keepLines/>
      <w:numPr>
        <w:numId w:val="2"/>
      </w:numPr>
      <w:spacing w:before="240"/>
      <w:ind w:left="431" w:hanging="431"/>
      <w:outlineLvl w:val="0"/>
    </w:pPr>
    <w:rPr>
      <w:rFonts w:cs="Arial"/>
      <w:b/>
      <w:bCs/>
      <w:color w:val="002060"/>
      <w:kern w:val="32"/>
      <w:sz w:val="28"/>
      <w:szCs w:val="32"/>
      <w:lang w:val="en-US"/>
    </w:rPr>
  </w:style>
  <w:style w:type="paragraph" w:styleId="Heading2">
    <w:name w:val="heading 2"/>
    <w:basedOn w:val="Normal"/>
    <w:next w:val="Normal"/>
    <w:link w:val="Heading2Char"/>
    <w:autoRedefine/>
    <w:qFormat/>
    <w:rsid w:val="00B66534"/>
    <w:pPr>
      <w:keepNext/>
      <w:keepLines/>
      <w:numPr>
        <w:ilvl w:val="1"/>
        <w:numId w:val="2"/>
      </w:numPr>
      <w:spacing w:before="120"/>
      <w:ind w:left="975" w:hanging="578"/>
      <w:outlineLvl w:val="1"/>
    </w:pPr>
    <w:rPr>
      <w:rFonts w:cs="Arial"/>
      <w:bCs/>
      <w:iCs/>
      <w:color w:val="1F497D"/>
      <w:sz w:val="24"/>
      <w:szCs w:val="28"/>
      <w:u w:val="single"/>
    </w:rPr>
  </w:style>
  <w:style w:type="paragraph" w:styleId="Heading3">
    <w:name w:val="heading 3"/>
    <w:basedOn w:val="Normal"/>
    <w:next w:val="Normal"/>
    <w:link w:val="Heading3Char"/>
    <w:autoRedefine/>
    <w:qFormat/>
    <w:rsid w:val="00B177B8"/>
    <w:pPr>
      <w:keepNext/>
      <w:keepLines/>
      <w:numPr>
        <w:ilvl w:val="2"/>
        <w:numId w:val="2"/>
      </w:numPr>
      <w:spacing w:before="120"/>
      <w:ind w:left="1684"/>
      <w:outlineLvl w:val="2"/>
    </w:pPr>
    <w:rPr>
      <w:rFonts w:cs="Arial"/>
      <w:b/>
      <w:bCs/>
      <w:i/>
      <w:color w:val="548DD4"/>
      <w:szCs w:val="26"/>
      <w:lang w:val="en-US"/>
    </w:rPr>
  </w:style>
  <w:style w:type="paragraph" w:styleId="Heading4">
    <w:name w:val="heading 4"/>
    <w:basedOn w:val="Normal"/>
    <w:next w:val="Normal"/>
    <w:link w:val="Heading4Char"/>
    <w:autoRedefine/>
    <w:qFormat/>
    <w:rsid w:val="004A32EB"/>
    <w:pPr>
      <w:keepNext/>
      <w:keepLines/>
      <w:numPr>
        <w:ilvl w:val="3"/>
        <w:numId w:val="2"/>
      </w:numPr>
      <w:spacing w:before="120"/>
      <w:outlineLvl w:val="3"/>
    </w:pPr>
    <w:rPr>
      <w:rFonts w:ascii="Times New Roman" w:hAnsi="Times New Roman"/>
      <w:b/>
      <w:bCs/>
      <w:caps/>
      <w:color w:val="548DD4"/>
      <w:sz w:val="16"/>
      <w:szCs w:val="28"/>
      <w:lang w:val="fr-FR"/>
    </w:rPr>
  </w:style>
  <w:style w:type="paragraph" w:styleId="Heading5">
    <w:name w:val="heading 5"/>
    <w:basedOn w:val="Normal"/>
    <w:next w:val="Normal"/>
    <w:link w:val="Heading5Char"/>
    <w:autoRedefine/>
    <w:qFormat/>
    <w:rsid w:val="00E612CD"/>
    <w:pPr>
      <w:keepNext/>
      <w:keepLines/>
      <w:numPr>
        <w:numId w:val="3"/>
      </w:numPr>
      <w:spacing w:before="240"/>
      <w:ind w:left="425" w:hanging="357"/>
      <w:outlineLvl w:val="4"/>
    </w:pPr>
    <w:rPr>
      <w:bCs/>
      <w:i/>
      <w:iCs/>
      <w:color w:val="548DD4"/>
      <w:sz w:val="20"/>
      <w:szCs w:val="20"/>
      <w:lang w:val="en-US"/>
    </w:rPr>
  </w:style>
  <w:style w:type="paragraph" w:styleId="Heading6">
    <w:name w:val="heading 6"/>
    <w:basedOn w:val="Normal"/>
    <w:next w:val="Normal"/>
    <w:qFormat/>
    <w:rsid w:val="00BD71A6"/>
    <w:pPr>
      <w:numPr>
        <w:ilvl w:val="5"/>
        <w:numId w:val="2"/>
      </w:numPr>
      <w:spacing w:before="240"/>
      <w:outlineLvl w:val="5"/>
    </w:pPr>
    <w:rPr>
      <w:rFonts w:ascii="Times New Roman" w:hAnsi="Times New Roman"/>
      <w:b/>
      <w:bCs/>
    </w:rPr>
  </w:style>
  <w:style w:type="paragraph" w:styleId="Heading7">
    <w:name w:val="heading 7"/>
    <w:basedOn w:val="Normal"/>
    <w:next w:val="Normal"/>
    <w:qFormat/>
    <w:rsid w:val="00BD71A6"/>
    <w:pPr>
      <w:numPr>
        <w:ilvl w:val="6"/>
        <w:numId w:val="2"/>
      </w:numPr>
      <w:spacing w:before="240"/>
      <w:outlineLvl w:val="6"/>
    </w:pPr>
    <w:rPr>
      <w:rFonts w:ascii="Times New Roman" w:hAnsi="Times New Roman"/>
      <w:sz w:val="24"/>
    </w:rPr>
  </w:style>
  <w:style w:type="paragraph" w:styleId="Heading8">
    <w:name w:val="heading 8"/>
    <w:basedOn w:val="Normal"/>
    <w:next w:val="Normal"/>
    <w:qFormat/>
    <w:rsid w:val="00BD71A6"/>
    <w:pPr>
      <w:numPr>
        <w:ilvl w:val="7"/>
        <w:numId w:val="2"/>
      </w:numPr>
      <w:spacing w:before="240"/>
      <w:outlineLvl w:val="7"/>
    </w:pPr>
    <w:rPr>
      <w:rFonts w:ascii="Times New Roman" w:hAnsi="Times New Roman"/>
      <w:i/>
      <w:iCs/>
      <w:sz w:val="24"/>
    </w:rPr>
  </w:style>
  <w:style w:type="paragraph" w:styleId="Heading9">
    <w:name w:val="heading 9"/>
    <w:basedOn w:val="Normal"/>
    <w:next w:val="Normal"/>
    <w:qFormat/>
    <w:rsid w:val="00BD71A6"/>
    <w:pPr>
      <w:numPr>
        <w:ilvl w:val="8"/>
        <w:numId w:val="2"/>
      </w:numPr>
      <w:spacing w:before="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qFormat/>
    <w:rsid w:val="00510C25"/>
    <w:pPr>
      <w:spacing w:after="0"/>
    </w:pPr>
    <w:rPr>
      <w:sz w:val="16"/>
      <w:szCs w:val="20"/>
    </w:rPr>
  </w:style>
  <w:style w:type="character" w:customStyle="1" w:styleId="FootnoteTextChar">
    <w:name w:val="Footnote Text Char"/>
    <w:link w:val="FootnoteText"/>
    <w:uiPriority w:val="99"/>
    <w:semiHidden/>
    <w:rsid w:val="00510C25"/>
    <w:rPr>
      <w:rFonts w:ascii="Arial" w:hAnsi="Arial"/>
      <w:kern w:val="28"/>
      <w:sz w:val="16"/>
      <w:lang w:val="en-GB"/>
    </w:rPr>
  </w:style>
  <w:style w:type="character" w:styleId="FootnoteReference">
    <w:name w:val="footnote reference"/>
    <w:uiPriority w:val="99"/>
    <w:unhideWhenUsed/>
    <w:rsid w:val="0026752C"/>
    <w:rPr>
      <w:vertAlign w:val="superscript"/>
    </w:rPr>
  </w:style>
  <w:style w:type="paragraph" w:styleId="Header">
    <w:name w:val="header"/>
    <w:basedOn w:val="Normal"/>
    <w:rsid w:val="00F17D5F"/>
    <w:pPr>
      <w:tabs>
        <w:tab w:val="center" w:pos="4153"/>
        <w:tab w:val="right" w:pos="8306"/>
      </w:tabs>
    </w:pPr>
  </w:style>
  <w:style w:type="paragraph" w:styleId="Footer">
    <w:name w:val="footer"/>
    <w:basedOn w:val="Normal"/>
    <w:rsid w:val="00F17D5F"/>
    <w:pPr>
      <w:tabs>
        <w:tab w:val="center" w:pos="4153"/>
        <w:tab w:val="right" w:pos="8306"/>
      </w:tabs>
    </w:pPr>
  </w:style>
  <w:style w:type="paragraph" w:customStyle="1" w:styleId="StyleHeading2Bold">
    <w:name w:val="Style Heading 2 + Bold"/>
    <w:basedOn w:val="Heading2"/>
    <w:rsid w:val="004F6E66"/>
    <w:pPr>
      <w:numPr>
        <w:numId w:val="1"/>
      </w:numPr>
    </w:pPr>
    <w:rPr>
      <w:iCs w:val="0"/>
    </w:rPr>
  </w:style>
  <w:style w:type="character" w:styleId="PageNumber">
    <w:name w:val="page number"/>
    <w:basedOn w:val="DefaultParagraphFont"/>
    <w:rsid w:val="008C5C6E"/>
  </w:style>
  <w:style w:type="table" w:styleId="TableGrid">
    <w:name w:val="Table Grid"/>
    <w:basedOn w:val="TableNormal"/>
    <w:uiPriority w:val="39"/>
    <w:rsid w:val="008C5C6E"/>
    <w:pPr>
      <w:widowControl w:val="0"/>
      <w:overflowPunct w:val="0"/>
      <w:adjustRightInd w:val="0"/>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rsid w:val="00175513"/>
    <w:rPr>
      <w:rFonts w:ascii="Courier New" w:eastAsia="Times New Roman" w:hAnsi="Courier New" w:cs="Courier New"/>
      <w:sz w:val="20"/>
      <w:szCs w:val="20"/>
    </w:rPr>
  </w:style>
  <w:style w:type="character" w:styleId="Hyperlink">
    <w:name w:val="Hyperlink"/>
    <w:uiPriority w:val="99"/>
    <w:rsid w:val="00F2571F"/>
    <w:rPr>
      <w:color w:val="0000FF"/>
      <w:u w:val="single"/>
    </w:rPr>
  </w:style>
  <w:style w:type="paragraph" w:styleId="TOC1">
    <w:name w:val="toc 1"/>
    <w:basedOn w:val="Normal"/>
    <w:next w:val="Normal"/>
    <w:autoRedefine/>
    <w:uiPriority w:val="39"/>
    <w:qFormat/>
    <w:rsid w:val="00C81A48"/>
  </w:style>
  <w:style w:type="paragraph" w:styleId="TOC2">
    <w:name w:val="toc 2"/>
    <w:basedOn w:val="Normal"/>
    <w:next w:val="Normal"/>
    <w:autoRedefine/>
    <w:uiPriority w:val="39"/>
    <w:qFormat/>
    <w:rsid w:val="00C81A48"/>
    <w:pPr>
      <w:ind w:left="220"/>
    </w:pPr>
  </w:style>
  <w:style w:type="paragraph" w:styleId="TOC3">
    <w:name w:val="toc 3"/>
    <w:basedOn w:val="Normal"/>
    <w:next w:val="Normal"/>
    <w:autoRedefine/>
    <w:uiPriority w:val="39"/>
    <w:qFormat/>
    <w:rsid w:val="00C81A48"/>
    <w:pPr>
      <w:ind w:left="440"/>
    </w:pPr>
  </w:style>
  <w:style w:type="paragraph" w:styleId="Title">
    <w:name w:val="Title"/>
    <w:basedOn w:val="Normal"/>
    <w:next w:val="Normal"/>
    <w:link w:val="TitleChar"/>
    <w:uiPriority w:val="10"/>
    <w:qFormat/>
    <w:rsid w:val="00B92603"/>
    <w:pPr>
      <w:pBdr>
        <w:bottom w:val="single" w:sz="8" w:space="4" w:color="4F81BD"/>
      </w:pBdr>
      <w:spacing w:after="300"/>
      <w:contextualSpacing/>
    </w:pPr>
    <w:rPr>
      <w:rFonts w:ascii="Cambria" w:hAnsi="Cambria"/>
      <w:color w:val="17365D"/>
      <w:spacing w:val="5"/>
      <w:sz w:val="52"/>
      <w:szCs w:val="52"/>
    </w:rPr>
  </w:style>
  <w:style w:type="character" w:customStyle="1" w:styleId="TitleChar">
    <w:name w:val="Title Char"/>
    <w:link w:val="Title"/>
    <w:uiPriority w:val="10"/>
    <w:rsid w:val="00B92603"/>
    <w:rPr>
      <w:rFonts w:ascii="Cambria" w:eastAsia="Times New Roman" w:hAnsi="Cambria" w:cs="Times New Roman"/>
      <w:color w:val="17365D"/>
      <w:spacing w:val="5"/>
      <w:kern w:val="28"/>
      <w:sz w:val="52"/>
      <w:szCs w:val="52"/>
      <w:lang w:val="en-GB"/>
    </w:rPr>
  </w:style>
  <w:style w:type="paragraph" w:customStyle="1" w:styleId="Paragraphedeliste">
    <w:name w:val="Paragraphe de liste"/>
    <w:basedOn w:val="Normal"/>
    <w:uiPriority w:val="34"/>
    <w:qFormat/>
    <w:rsid w:val="00525458"/>
    <w:pPr>
      <w:ind w:left="720"/>
      <w:contextualSpacing/>
    </w:pPr>
  </w:style>
  <w:style w:type="paragraph" w:styleId="BalloonText">
    <w:name w:val="Balloon Text"/>
    <w:basedOn w:val="Normal"/>
    <w:link w:val="BalloonTextChar"/>
    <w:uiPriority w:val="99"/>
    <w:semiHidden/>
    <w:unhideWhenUsed/>
    <w:rsid w:val="00CF05A7"/>
    <w:pPr>
      <w:spacing w:after="0"/>
    </w:pPr>
    <w:rPr>
      <w:rFonts w:ascii="Tahoma" w:hAnsi="Tahoma" w:cs="Tahoma"/>
      <w:sz w:val="16"/>
      <w:szCs w:val="16"/>
    </w:rPr>
  </w:style>
  <w:style w:type="character" w:customStyle="1" w:styleId="BalloonTextChar">
    <w:name w:val="Balloon Text Char"/>
    <w:link w:val="BalloonText"/>
    <w:uiPriority w:val="99"/>
    <w:semiHidden/>
    <w:rsid w:val="00CF05A7"/>
    <w:rPr>
      <w:rFonts w:ascii="Tahoma" w:hAnsi="Tahoma" w:cs="Tahoma"/>
      <w:kern w:val="28"/>
      <w:sz w:val="16"/>
      <w:szCs w:val="16"/>
      <w:lang w:val="en-GB"/>
    </w:rPr>
  </w:style>
  <w:style w:type="character" w:styleId="CommentReference">
    <w:name w:val="annotation reference"/>
    <w:uiPriority w:val="99"/>
    <w:semiHidden/>
    <w:unhideWhenUsed/>
    <w:rsid w:val="00AE43D3"/>
    <w:rPr>
      <w:sz w:val="16"/>
      <w:szCs w:val="16"/>
    </w:rPr>
  </w:style>
  <w:style w:type="paragraph" w:styleId="CommentText">
    <w:name w:val="annotation text"/>
    <w:basedOn w:val="Normal"/>
    <w:link w:val="CommentTextChar"/>
    <w:uiPriority w:val="99"/>
    <w:semiHidden/>
    <w:unhideWhenUsed/>
    <w:rsid w:val="00AE43D3"/>
    <w:rPr>
      <w:sz w:val="20"/>
      <w:szCs w:val="20"/>
    </w:rPr>
  </w:style>
  <w:style w:type="character" w:customStyle="1" w:styleId="CommentTextChar">
    <w:name w:val="Comment Text Char"/>
    <w:link w:val="CommentText"/>
    <w:uiPriority w:val="99"/>
    <w:semiHidden/>
    <w:rsid w:val="00AE43D3"/>
    <w:rPr>
      <w:rFonts w:ascii="Arial" w:hAnsi="Arial"/>
      <w:kern w:val="28"/>
      <w:lang w:val="en-GB"/>
    </w:rPr>
  </w:style>
  <w:style w:type="paragraph" w:styleId="CommentSubject">
    <w:name w:val="annotation subject"/>
    <w:basedOn w:val="CommentText"/>
    <w:next w:val="CommentText"/>
    <w:link w:val="CommentSubjectChar"/>
    <w:uiPriority w:val="99"/>
    <w:semiHidden/>
    <w:unhideWhenUsed/>
    <w:rsid w:val="00AE43D3"/>
    <w:rPr>
      <w:b/>
      <w:bCs/>
    </w:rPr>
  </w:style>
  <w:style w:type="character" w:customStyle="1" w:styleId="CommentSubjectChar">
    <w:name w:val="Comment Subject Char"/>
    <w:link w:val="CommentSubject"/>
    <w:uiPriority w:val="99"/>
    <w:semiHidden/>
    <w:rsid w:val="00AE43D3"/>
    <w:rPr>
      <w:rFonts w:ascii="Arial" w:hAnsi="Arial"/>
      <w:b/>
      <w:bCs/>
      <w:kern w:val="28"/>
      <w:lang w:val="en-GB"/>
    </w:rPr>
  </w:style>
  <w:style w:type="paragraph" w:styleId="ListParagraph">
    <w:name w:val="List Paragraph"/>
    <w:aliases w:val="Liste 1"/>
    <w:basedOn w:val="Normal"/>
    <w:link w:val="ListParagraphChar"/>
    <w:uiPriority w:val="34"/>
    <w:qFormat/>
    <w:rsid w:val="00AB43C2"/>
    <w:pPr>
      <w:ind w:left="720"/>
      <w:contextualSpacing/>
    </w:pPr>
  </w:style>
  <w:style w:type="paragraph" w:customStyle="1" w:styleId="Default">
    <w:name w:val="Default"/>
    <w:rsid w:val="00BD57A5"/>
    <w:pPr>
      <w:autoSpaceDE w:val="0"/>
      <w:autoSpaceDN w:val="0"/>
      <w:adjustRightInd w:val="0"/>
    </w:pPr>
    <w:rPr>
      <w:rFonts w:ascii="Arial" w:hAnsi="Arial" w:cs="Arial"/>
      <w:color w:val="000000"/>
      <w:sz w:val="24"/>
      <w:szCs w:val="24"/>
      <w:lang w:val="fr-FR" w:eastAsia="fr-FR"/>
    </w:rPr>
  </w:style>
  <w:style w:type="character" w:customStyle="1" w:styleId="Heading3Char">
    <w:name w:val="Heading 3 Char"/>
    <w:link w:val="Heading3"/>
    <w:rsid w:val="006333AE"/>
    <w:rPr>
      <w:rFonts w:ascii="Arial" w:hAnsi="Arial" w:cs="Arial"/>
      <w:b/>
      <w:bCs/>
      <w:i/>
      <w:color w:val="548DD4"/>
      <w:kern w:val="28"/>
      <w:sz w:val="22"/>
      <w:szCs w:val="26"/>
      <w:lang w:val="en-US"/>
    </w:rPr>
  </w:style>
  <w:style w:type="character" w:customStyle="1" w:styleId="Heading4Char">
    <w:name w:val="Heading 4 Char"/>
    <w:link w:val="Heading4"/>
    <w:rsid w:val="006333AE"/>
    <w:rPr>
      <w:rFonts w:ascii="Times New Roman" w:hAnsi="Times New Roman"/>
      <w:b/>
      <w:bCs/>
      <w:caps/>
      <w:color w:val="548DD4"/>
      <w:kern w:val="28"/>
      <w:sz w:val="16"/>
      <w:szCs w:val="28"/>
    </w:rPr>
  </w:style>
  <w:style w:type="character" w:customStyle="1" w:styleId="Heading5Char">
    <w:name w:val="Heading 5 Char"/>
    <w:link w:val="Heading5"/>
    <w:rsid w:val="00E612CD"/>
    <w:rPr>
      <w:rFonts w:ascii="Arial" w:hAnsi="Arial"/>
      <w:bCs/>
      <w:i/>
      <w:iCs/>
      <w:color w:val="548DD4"/>
      <w:kern w:val="28"/>
      <w:lang w:val="en-US"/>
    </w:rPr>
  </w:style>
  <w:style w:type="paragraph" w:styleId="Subtitle">
    <w:name w:val="Subtitle"/>
    <w:basedOn w:val="Normal"/>
    <w:next w:val="Normal"/>
    <w:link w:val="SubtitleChar"/>
    <w:uiPriority w:val="11"/>
    <w:qFormat/>
    <w:rsid w:val="00841E31"/>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841E31"/>
    <w:rPr>
      <w:rFonts w:ascii="Cambria" w:hAnsi="Cambria"/>
      <w:sz w:val="24"/>
      <w:szCs w:val="24"/>
      <w:lang w:val="en-GB" w:eastAsia="en-US"/>
    </w:rPr>
  </w:style>
  <w:style w:type="character" w:customStyle="1" w:styleId="Heading2Char">
    <w:name w:val="Heading 2 Char"/>
    <w:link w:val="Heading2"/>
    <w:uiPriority w:val="9"/>
    <w:rsid w:val="00841E31"/>
    <w:rPr>
      <w:rFonts w:ascii="Arial" w:hAnsi="Arial" w:cs="Arial"/>
      <w:bCs/>
      <w:iCs/>
      <w:color w:val="1F497D"/>
      <w:kern w:val="28"/>
      <w:sz w:val="24"/>
      <w:szCs w:val="28"/>
      <w:u w:val="single"/>
      <w:lang w:val="en-GB" w:eastAsia="fr-FR"/>
    </w:rPr>
  </w:style>
  <w:style w:type="character" w:customStyle="1" w:styleId="Heading1Char">
    <w:name w:val="Heading 1 Char"/>
    <w:link w:val="Heading1"/>
    <w:uiPriority w:val="9"/>
    <w:rsid w:val="00841E31"/>
    <w:rPr>
      <w:rFonts w:ascii="Arial" w:hAnsi="Arial" w:cs="Arial"/>
      <w:b/>
      <w:bCs/>
      <w:color w:val="002060"/>
      <w:kern w:val="32"/>
      <w:sz w:val="28"/>
      <w:szCs w:val="32"/>
      <w:lang w:val="en-US" w:eastAsia="fr-FR"/>
    </w:rPr>
  </w:style>
  <w:style w:type="character" w:customStyle="1" w:styleId="ListParagraphChar">
    <w:name w:val="List Paragraph Char"/>
    <w:aliases w:val="Liste 1 Char"/>
    <w:basedOn w:val="DefaultParagraphFont"/>
    <w:link w:val="ListParagraph"/>
    <w:uiPriority w:val="34"/>
    <w:rsid w:val="00417413"/>
    <w:rPr>
      <w:rFonts w:eastAsia="Calibri"/>
      <w:sz w:val="22"/>
      <w:szCs w:val="22"/>
      <w:lang w:val="en-GB" w:eastAsia="en-US"/>
    </w:rPr>
  </w:style>
  <w:style w:type="paragraph" w:styleId="TOCHeading">
    <w:name w:val="TOC Heading"/>
    <w:basedOn w:val="Heading1"/>
    <w:next w:val="Normal"/>
    <w:uiPriority w:val="39"/>
    <w:semiHidden/>
    <w:unhideWhenUsed/>
    <w:qFormat/>
    <w:rsid w:val="00C50EBC"/>
    <w:pPr>
      <w:numPr>
        <w:numId w:val="0"/>
      </w:numPr>
      <w:spacing w:before="480" w:after="0"/>
      <w:outlineLvl w:val="9"/>
    </w:pPr>
    <w:rPr>
      <w:rFonts w:asciiTheme="majorHAnsi" w:eastAsiaTheme="majorEastAsia" w:hAnsiTheme="majorHAnsi" w:cstheme="majorBidi"/>
      <w:color w:val="365F91" w:themeColor="accent1" w:themeShade="BF"/>
      <w:kern w:val="0"/>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C59"/>
    <w:pPr>
      <w:spacing w:after="120" w:line="276" w:lineRule="auto"/>
    </w:pPr>
    <w:rPr>
      <w:rFonts w:eastAsia="Calibri"/>
      <w:sz w:val="22"/>
      <w:szCs w:val="22"/>
      <w:lang w:val="en-GB" w:eastAsia="en-US"/>
    </w:rPr>
  </w:style>
  <w:style w:type="paragraph" w:styleId="Heading1">
    <w:name w:val="heading 1"/>
    <w:basedOn w:val="Normal"/>
    <w:next w:val="Normal"/>
    <w:link w:val="Heading1Char"/>
    <w:autoRedefine/>
    <w:qFormat/>
    <w:rsid w:val="00B93B6C"/>
    <w:pPr>
      <w:keepNext/>
      <w:keepLines/>
      <w:numPr>
        <w:numId w:val="2"/>
      </w:numPr>
      <w:spacing w:before="240"/>
      <w:ind w:left="431" w:hanging="431"/>
      <w:outlineLvl w:val="0"/>
    </w:pPr>
    <w:rPr>
      <w:rFonts w:cs="Arial"/>
      <w:b/>
      <w:bCs/>
      <w:color w:val="002060"/>
      <w:kern w:val="32"/>
      <w:sz w:val="28"/>
      <w:szCs w:val="32"/>
      <w:lang w:val="en-US"/>
    </w:rPr>
  </w:style>
  <w:style w:type="paragraph" w:styleId="Heading2">
    <w:name w:val="heading 2"/>
    <w:basedOn w:val="Normal"/>
    <w:next w:val="Normal"/>
    <w:link w:val="Heading2Char"/>
    <w:autoRedefine/>
    <w:qFormat/>
    <w:rsid w:val="00B66534"/>
    <w:pPr>
      <w:keepNext/>
      <w:keepLines/>
      <w:numPr>
        <w:ilvl w:val="1"/>
        <w:numId w:val="2"/>
      </w:numPr>
      <w:spacing w:before="120"/>
      <w:ind w:left="975" w:hanging="578"/>
      <w:outlineLvl w:val="1"/>
    </w:pPr>
    <w:rPr>
      <w:rFonts w:cs="Arial"/>
      <w:bCs/>
      <w:iCs/>
      <w:color w:val="1F497D"/>
      <w:sz w:val="24"/>
      <w:szCs w:val="28"/>
      <w:u w:val="single"/>
    </w:rPr>
  </w:style>
  <w:style w:type="paragraph" w:styleId="Heading3">
    <w:name w:val="heading 3"/>
    <w:basedOn w:val="Normal"/>
    <w:next w:val="Normal"/>
    <w:link w:val="Heading3Char"/>
    <w:autoRedefine/>
    <w:qFormat/>
    <w:rsid w:val="00B177B8"/>
    <w:pPr>
      <w:keepNext/>
      <w:keepLines/>
      <w:numPr>
        <w:ilvl w:val="2"/>
        <w:numId w:val="2"/>
      </w:numPr>
      <w:spacing w:before="120"/>
      <w:ind w:left="1684"/>
      <w:outlineLvl w:val="2"/>
    </w:pPr>
    <w:rPr>
      <w:rFonts w:cs="Arial"/>
      <w:b/>
      <w:bCs/>
      <w:i/>
      <w:color w:val="548DD4"/>
      <w:szCs w:val="26"/>
      <w:lang w:val="en-US"/>
    </w:rPr>
  </w:style>
  <w:style w:type="paragraph" w:styleId="Heading4">
    <w:name w:val="heading 4"/>
    <w:basedOn w:val="Normal"/>
    <w:next w:val="Normal"/>
    <w:link w:val="Heading4Char"/>
    <w:autoRedefine/>
    <w:qFormat/>
    <w:rsid w:val="004A32EB"/>
    <w:pPr>
      <w:keepNext/>
      <w:keepLines/>
      <w:numPr>
        <w:ilvl w:val="3"/>
        <w:numId w:val="2"/>
      </w:numPr>
      <w:spacing w:before="120"/>
      <w:outlineLvl w:val="3"/>
    </w:pPr>
    <w:rPr>
      <w:rFonts w:ascii="Times New Roman" w:hAnsi="Times New Roman"/>
      <w:b/>
      <w:bCs/>
      <w:caps/>
      <w:color w:val="548DD4"/>
      <w:sz w:val="16"/>
      <w:szCs w:val="28"/>
      <w:lang w:val="fr-FR"/>
    </w:rPr>
  </w:style>
  <w:style w:type="paragraph" w:styleId="Heading5">
    <w:name w:val="heading 5"/>
    <w:basedOn w:val="Normal"/>
    <w:next w:val="Normal"/>
    <w:link w:val="Heading5Char"/>
    <w:autoRedefine/>
    <w:qFormat/>
    <w:rsid w:val="00E612CD"/>
    <w:pPr>
      <w:keepNext/>
      <w:keepLines/>
      <w:numPr>
        <w:numId w:val="3"/>
      </w:numPr>
      <w:spacing w:before="240"/>
      <w:ind w:left="425" w:hanging="357"/>
      <w:outlineLvl w:val="4"/>
    </w:pPr>
    <w:rPr>
      <w:bCs/>
      <w:i/>
      <w:iCs/>
      <w:color w:val="548DD4"/>
      <w:sz w:val="20"/>
      <w:szCs w:val="20"/>
      <w:lang w:val="en-US"/>
    </w:rPr>
  </w:style>
  <w:style w:type="paragraph" w:styleId="Heading6">
    <w:name w:val="heading 6"/>
    <w:basedOn w:val="Normal"/>
    <w:next w:val="Normal"/>
    <w:qFormat/>
    <w:rsid w:val="00BD71A6"/>
    <w:pPr>
      <w:numPr>
        <w:ilvl w:val="5"/>
        <w:numId w:val="2"/>
      </w:numPr>
      <w:spacing w:before="240"/>
      <w:outlineLvl w:val="5"/>
    </w:pPr>
    <w:rPr>
      <w:rFonts w:ascii="Times New Roman" w:hAnsi="Times New Roman"/>
      <w:b/>
      <w:bCs/>
    </w:rPr>
  </w:style>
  <w:style w:type="paragraph" w:styleId="Heading7">
    <w:name w:val="heading 7"/>
    <w:basedOn w:val="Normal"/>
    <w:next w:val="Normal"/>
    <w:qFormat/>
    <w:rsid w:val="00BD71A6"/>
    <w:pPr>
      <w:numPr>
        <w:ilvl w:val="6"/>
        <w:numId w:val="2"/>
      </w:numPr>
      <w:spacing w:before="240"/>
      <w:outlineLvl w:val="6"/>
    </w:pPr>
    <w:rPr>
      <w:rFonts w:ascii="Times New Roman" w:hAnsi="Times New Roman"/>
      <w:sz w:val="24"/>
    </w:rPr>
  </w:style>
  <w:style w:type="paragraph" w:styleId="Heading8">
    <w:name w:val="heading 8"/>
    <w:basedOn w:val="Normal"/>
    <w:next w:val="Normal"/>
    <w:qFormat/>
    <w:rsid w:val="00BD71A6"/>
    <w:pPr>
      <w:numPr>
        <w:ilvl w:val="7"/>
        <w:numId w:val="2"/>
      </w:numPr>
      <w:spacing w:before="240"/>
      <w:outlineLvl w:val="7"/>
    </w:pPr>
    <w:rPr>
      <w:rFonts w:ascii="Times New Roman" w:hAnsi="Times New Roman"/>
      <w:i/>
      <w:iCs/>
      <w:sz w:val="24"/>
    </w:rPr>
  </w:style>
  <w:style w:type="paragraph" w:styleId="Heading9">
    <w:name w:val="heading 9"/>
    <w:basedOn w:val="Normal"/>
    <w:next w:val="Normal"/>
    <w:qFormat/>
    <w:rsid w:val="00BD71A6"/>
    <w:pPr>
      <w:numPr>
        <w:ilvl w:val="8"/>
        <w:numId w:val="2"/>
      </w:numPr>
      <w:spacing w:before="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qFormat/>
    <w:rsid w:val="00510C25"/>
    <w:pPr>
      <w:spacing w:after="0"/>
    </w:pPr>
    <w:rPr>
      <w:sz w:val="16"/>
      <w:szCs w:val="20"/>
    </w:rPr>
  </w:style>
  <w:style w:type="character" w:customStyle="1" w:styleId="FootnoteTextChar">
    <w:name w:val="Footnote Text Char"/>
    <w:link w:val="FootnoteText"/>
    <w:uiPriority w:val="99"/>
    <w:semiHidden/>
    <w:rsid w:val="00510C25"/>
    <w:rPr>
      <w:rFonts w:ascii="Arial" w:hAnsi="Arial"/>
      <w:kern w:val="28"/>
      <w:sz w:val="16"/>
      <w:lang w:val="en-GB"/>
    </w:rPr>
  </w:style>
  <w:style w:type="character" w:styleId="FootnoteReference">
    <w:name w:val="footnote reference"/>
    <w:uiPriority w:val="99"/>
    <w:unhideWhenUsed/>
    <w:rsid w:val="0026752C"/>
    <w:rPr>
      <w:vertAlign w:val="superscript"/>
    </w:rPr>
  </w:style>
  <w:style w:type="paragraph" w:styleId="Header">
    <w:name w:val="header"/>
    <w:basedOn w:val="Normal"/>
    <w:rsid w:val="00F17D5F"/>
    <w:pPr>
      <w:tabs>
        <w:tab w:val="center" w:pos="4153"/>
        <w:tab w:val="right" w:pos="8306"/>
      </w:tabs>
    </w:pPr>
  </w:style>
  <w:style w:type="paragraph" w:styleId="Footer">
    <w:name w:val="footer"/>
    <w:basedOn w:val="Normal"/>
    <w:rsid w:val="00F17D5F"/>
    <w:pPr>
      <w:tabs>
        <w:tab w:val="center" w:pos="4153"/>
        <w:tab w:val="right" w:pos="8306"/>
      </w:tabs>
    </w:pPr>
  </w:style>
  <w:style w:type="paragraph" w:customStyle="1" w:styleId="StyleHeading2Bold">
    <w:name w:val="Style Heading 2 + Bold"/>
    <w:basedOn w:val="Heading2"/>
    <w:rsid w:val="004F6E66"/>
    <w:pPr>
      <w:numPr>
        <w:numId w:val="1"/>
      </w:numPr>
    </w:pPr>
    <w:rPr>
      <w:iCs w:val="0"/>
    </w:rPr>
  </w:style>
  <w:style w:type="character" w:styleId="PageNumber">
    <w:name w:val="page number"/>
    <w:basedOn w:val="DefaultParagraphFont"/>
    <w:rsid w:val="008C5C6E"/>
  </w:style>
  <w:style w:type="table" w:styleId="TableGrid">
    <w:name w:val="Table Grid"/>
    <w:basedOn w:val="TableNormal"/>
    <w:uiPriority w:val="39"/>
    <w:rsid w:val="008C5C6E"/>
    <w:pPr>
      <w:widowControl w:val="0"/>
      <w:overflowPunct w:val="0"/>
      <w:adjustRightInd w:val="0"/>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rsid w:val="00175513"/>
    <w:rPr>
      <w:rFonts w:ascii="Courier New" w:eastAsia="Times New Roman" w:hAnsi="Courier New" w:cs="Courier New"/>
      <w:sz w:val="20"/>
      <w:szCs w:val="20"/>
    </w:rPr>
  </w:style>
  <w:style w:type="character" w:styleId="Hyperlink">
    <w:name w:val="Hyperlink"/>
    <w:uiPriority w:val="99"/>
    <w:rsid w:val="00F2571F"/>
    <w:rPr>
      <w:color w:val="0000FF"/>
      <w:u w:val="single"/>
    </w:rPr>
  </w:style>
  <w:style w:type="paragraph" w:styleId="TOC1">
    <w:name w:val="toc 1"/>
    <w:basedOn w:val="Normal"/>
    <w:next w:val="Normal"/>
    <w:autoRedefine/>
    <w:uiPriority w:val="39"/>
    <w:qFormat/>
    <w:rsid w:val="00C81A48"/>
  </w:style>
  <w:style w:type="paragraph" w:styleId="TOC2">
    <w:name w:val="toc 2"/>
    <w:basedOn w:val="Normal"/>
    <w:next w:val="Normal"/>
    <w:autoRedefine/>
    <w:uiPriority w:val="39"/>
    <w:qFormat/>
    <w:rsid w:val="00C81A48"/>
    <w:pPr>
      <w:ind w:left="220"/>
    </w:pPr>
  </w:style>
  <w:style w:type="paragraph" w:styleId="TOC3">
    <w:name w:val="toc 3"/>
    <w:basedOn w:val="Normal"/>
    <w:next w:val="Normal"/>
    <w:autoRedefine/>
    <w:uiPriority w:val="39"/>
    <w:qFormat/>
    <w:rsid w:val="00C81A48"/>
    <w:pPr>
      <w:ind w:left="440"/>
    </w:pPr>
  </w:style>
  <w:style w:type="paragraph" w:styleId="Title">
    <w:name w:val="Title"/>
    <w:basedOn w:val="Normal"/>
    <w:next w:val="Normal"/>
    <w:link w:val="TitleChar"/>
    <w:uiPriority w:val="10"/>
    <w:qFormat/>
    <w:rsid w:val="00B92603"/>
    <w:pPr>
      <w:pBdr>
        <w:bottom w:val="single" w:sz="8" w:space="4" w:color="4F81BD"/>
      </w:pBdr>
      <w:spacing w:after="300"/>
      <w:contextualSpacing/>
    </w:pPr>
    <w:rPr>
      <w:rFonts w:ascii="Cambria" w:hAnsi="Cambria"/>
      <w:color w:val="17365D"/>
      <w:spacing w:val="5"/>
      <w:sz w:val="52"/>
      <w:szCs w:val="52"/>
    </w:rPr>
  </w:style>
  <w:style w:type="character" w:customStyle="1" w:styleId="TitleChar">
    <w:name w:val="Title Char"/>
    <w:link w:val="Title"/>
    <w:uiPriority w:val="10"/>
    <w:rsid w:val="00B92603"/>
    <w:rPr>
      <w:rFonts w:ascii="Cambria" w:eastAsia="Times New Roman" w:hAnsi="Cambria" w:cs="Times New Roman"/>
      <w:color w:val="17365D"/>
      <w:spacing w:val="5"/>
      <w:kern w:val="28"/>
      <w:sz w:val="52"/>
      <w:szCs w:val="52"/>
      <w:lang w:val="en-GB"/>
    </w:rPr>
  </w:style>
  <w:style w:type="paragraph" w:customStyle="1" w:styleId="Paragraphedeliste">
    <w:name w:val="Paragraphe de liste"/>
    <w:basedOn w:val="Normal"/>
    <w:uiPriority w:val="34"/>
    <w:qFormat/>
    <w:rsid w:val="00525458"/>
    <w:pPr>
      <w:ind w:left="720"/>
      <w:contextualSpacing/>
    </w:pPr>
  </w:style>
  <w:style w:type="paragraph" w:styleId="BalloonText">
    <w:name w:val="Balloon Text"/>
    <w:basedOn w:val="Normal"/>
    <w:link w:val="BalloonTextChar"/>
    <w:uiPriority w:val="99"/>
    <w:semiHidden/>
    <w:unhideWhenUsed/>
    <w:rsid w:val="00CF05A7"/>
    <w:pPr>
      <w:spacing w:after="0"/>
    </w:pPr>
    <w:rPr>
      <w:rFonts w:ascii="Tahoma" w:hAnsi="Tahoma" w:cs="Tahoma"/>
      <w:sz w:val="16"/>
      <w:szCs w:val="16"/>
    </w:rPr>
  </w:style>
  <w:style w:type="character" w:customStyle="1" w:styleId="BalloonTextChar">
    <w:name w:val="Balloon Text Char"/>
    <w:link w:val="BalloonText"/>
    <w:uiPriority w:val="99"/>
    <w:semiHidden/>
    <w:rsid w:val="00CF05A7"/>
    <w:rPr>
      <w:rFonts w:ascii="Tahoma" w:hAnsi="Tahoma" w:cs="Tahoma"/>
      <w:kern w:val="28"/>
      <w:sz w:val="16"/>
      <w:szCs w:val="16"/>
      <w:lang w:val="en-GB"/>
    </w:rPr>
  </w:style>
  <w:style w:type="character" w:styleId="CommentReference">
    <w:name w:val="annotation reference"/>
    <w:uiPriority w:val="99"/>
    <w:semiHidden/>
    <w:unhideWhenUsed/>
    <w:rsid w:val="00AE43D3"/>
    <w:rPr>
      <w:sz w:val="16"/>
      <w:szCs w:val="16"/>
    </w:rPr>
  </w:style>
  <w:style w:type="paragraph" w:styleId="CommentText">
    <w:name w:val="annotation text"/>
    <w:basedOn w:val="Normal"/>
    <w:link w:val="CommentTextChar"/>
    <w:uiPriority w:val="99"/>
    <w:semiHidden/>
    <w:unhideWhenUsed/>
    <w:rsid w:val="00AE43D3"/>
    <w:rPr>
      <w:sz w:val="20"/>
      <w:szCs w:val="20"/>
    </w:rPr>
  </w:style>
  <w:style w:type="character" w:customStyle="1" w:styleId="CommentTextChar">
    <w:name w:val="Comment Text Char"/>
    <w:link w:val="CommentText"/>
    <w:uiPriority w:val="99"/>
    <w:semiHidden/>
    <w:rsid w:val="00AE43D3"/>
    <w:rPr>
      <w:rFonts w:ascii="Arial" w:hAnsi="Arial"/>
      <w:kern w:val="28"/>
      <w:lang w:val="en-GB"/>
    </w:rPr>
  </w:style>
  <w:style w:type="paragraph" w:styleId="CommentSubject">
    <w:name w:val="annotation subject"/>
    <w:basedOn w:val="CommentText"/>
    <w:next w:val="CommentText"/>
    <w:link w:val="CommentSubjectChar"/>
    <w:uiPriority w:val="99"/>
    <w:semiHidden/>
    <w:unhideWhenUsed/>
    <w:rsid w:val="00AE43D3"/>
    <w:rPr>
      <w:b/>
      <w:bCs/>
    </w:rPr>
  </w:style>
  <w:style w:type="character" w:customStyle="1" w:styleId="CommentSubjectChar">
    <w:name w:val="Comment Subject Char"/>
    <w:link w:val="CommentSubject"/>
    <w:uiPriority w:val="99"/>
    <w:semiHidden/>
    <w:rsid w:val="00AE43D3"/>
    <w:rPr>
      <w:rFonts w:ascii="Arial" w:hAnsi="Arial"/>
      <w:b/>
      <w:bCs/>
      <w:kern w:val="28"/>
      <w:lang w:val="en-GB"/>
    </w:rPr>
  </w:style>
  <w:style w:type="paragraph" w:styleId="ListParagraph">
    <w:name w:val="List Paragraph"/>
    <w:aliases w:val="Liste 1"/>
    <w:basedOn w:val="Normal"/>
    <w:link w:val="ListParagraphChar"/>
    <w:uiPriority w:val="34"/>
    <w:qFormat/>
    <w:rsid w:val="00AB43C2"/>
    <w:pPr>
      <w:ind w:left="720"/>
      <w:contextualSpacing/>
    </w:pPr>
  </w:style>
  <w:style w:type="paragraph" w:customStyle="1" w:styleId="Default">
    <w:name w:val="Default"/>
    <w:rsid w:val="00BD57A5"/>
    <w:pPr>
      <w:autoSpaceDE w:val="0"/>
      <w:autoSpaceDN w:val="0"/>
      <w:adjustRightInd w:val="0"/>
    </w:pPr>
    <w:rPr>
      <w:rFonts w:ascii="Arial" w:hAnsi="Arial" w:cs="Arial"/>
      <w:color w:val="000000"/>
      <w:sz w:val="24"/>
      <w:szCs w:val="24"/>
      <w:lang w:val="fr-FR" w:eastAsia="fr-FR"/>
    </w:rPr>
  </w:style>
  <w:style w:type="character" w:customStyle="1" w:styleId="Heading3Char">
    <w:name w:val="Heading 3 Char"/>
    <w:link w:val="Heading3"/>
    <w:rsid w:val="006333AE"/>
    <w:rPr>
      <w:rFonts w:ascii="Arial" w:hAnsi="Arial" w:cs="Arial"/>
      <w:b/>
      <w:bCs/>
      <w:i/>
      <w:color w:val="548DD4"/>
      <w:kern w:val="28"/>
      <w:sz w:val="22"/>
      <w:szCs w:val="26"/>
      <w:lang w:val="en-US"/>
    </w:rPr>
  </w:style>
  <w:style w:type="character" w:customStyle="1" w:styleId="Heading4Char">
    <w:name w:val="Heading 4 Char"/>
    <w:link w:val="Heading4"/>
    <w:rsid w:val="006333AE"/>
    <w:rPr>
      <w:rFonts w:ascii="Times New Roman" w:hAnsi="Times New Roman"/>
      <w:b/>
      <w:bCs/>
      <w:caps/>
      <w:color w:val="548DD4"/>
      <w:kern w:val="28"/>
      <w:sz w:val="16"/>
      <w:szCs w:val="28"/>
    </w:rPr>
  </w:style>
  <w:style w:type="character" w:customStyle="1" w:styleId="Heading5Char">
    <w:name w:val="Heading 5 Char"/>
    <w:link w:val="Heading5"/>
    <w:rsid w:val="00E612CD"/>
    <w:rPr>
      <w:rFonts w:ascii="Arial" w:hAnsi="Arial"/>
      <w:bCs/>
      <w:i/>
      <w:iCs/>
      <w:color w:val="548DD4"/>
      <w:kern w:val="28"/>
      <w:lang w:val="en-US"/>
    </w:rPr>
  </w:style>
  <w:style w:type="paragraph" w:styleId="Subtitle">
    <w:name w:val="Subtitle"/>
    <w:basedOn w:val="Normal"/>
    <w:next w:val="Normal"/>
    <w:link w:val="SubtitleChar"/>
    <w:uiPriority w:val="11"/>
    <w:qFormat/>
    <w:rsid w:val="00841E31"/>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841E31"/>
    <w:rPr>
      <w:rFonts w:ascii="Cambria" w:hAnsi="Cambria"/>
      <w:sz w:val="24"/>
      <w:szCs w:val="24"/>
      <w:lang w:val="en-GB" w:eastAsia="en-US"/>
    </w:rPr>
  </w:style>
  <w:style w:type="character" w:customStyle="1" w:styleId="Heading2Char">
    <w:name w:val="Heading 2 Char"/>
    <w:link w:val="Heading2"/>
    <w:uiPriority w:val="9"/>
    <w:rsid w:val="00841E31"/>
    <w:rPr>
      <w:rFonts w:ascii="Arial" w:hAnsi="Arial" w:cs="Arial"/>
      <w:bCs/>
      <w:iCs/>
      <w:color w:val="1F497D"/>
      <w:kern w:val="28"/>
      <w:sz w:val="24"/>
      <w:szCs w:val="28"/>
      <w:u w:val="single"/>
      <w:lang w:val="en-GB" w:eastAsia="fr-FR"/>
    </w:rPr>
  </w:style>
  <w:style w:type="character" w:customStyle="1" w:styleId="Heading1Char">
    <w:name w:val="Heading 1 Char"/>
    <w:link w:val="Heading1"/>
    <w:uiPriority w:val="9"/>
    <w:rsid w:val="00841E31"/>
    <w:rPr>
      <w:rFonts w:ascii="Arial" w:hAnsi="Arial" w:cs="Arial"/>
      <w:b/>
      <w:bCs/>
      <w:color w:val="002060"/>
      <w:kern w:val="32"/>
      <w:sz w:val="28"/>
      <w:szCs w:val="32"/>
      <w:lang w:val="en-US" w:eastAsia="fr-FR"/>
    </w:rPr>
  </w:style>
  <w:style w:type="character" w:customStyle="1" w:styleId="ListParagraphChar">
    <w:name w:val="List Paragraph Char"/>
    <w:aliases w:val="Liste 1 Char"/>
    <w:basedOn w:val="DefaultParagraphFont"/>
    <w:link w:val="ListParagraph"/>
    <w:uiPriority w:val="34"/>
    <w:rsid w:val="00417413"/>
    <w:rPr>
      <w:rFonts w:eastAsia="Calibri"/>
      <w:sz w:val="22"/>
      <w:szCs w:val="22"/>
      <w:lang w:val="en-GB" w:eastAsia="en-US"/>
    </w:rPr>
  </w:style>
  <w:style w:type="paragraph" w:styleId="TOCHeading">
    <w:name w:val="TOC Heading"/>
    <w:basedOn w:val="Heading1"/>
    <w:next w:val="Normal"/>
    <w:uiPriority w:val="39"/>
    <w:semiHidden/>
    <w:unhideWhenUsed/>
    <w:qFormat/>
    <w:rsid w:val="00C50EBC"/>
    <w:pPr>
      <w:numPr>
        <w:numId w:val="0"/>
      </w:numPr>
      <w:spacing w:before="480" w:after="0"/>
      <w:outlineLvl w:val="9"/>
    </w:pPr>
    <w:rPr>
      <w:rFonts w:asciiTheme="majorHAnsi" w:eastAsiaTheme="majorEastAsia" w:hAnsiTheme="majorHAnsi" w:cstheme="majorBidi"/>
      <w:color w:val="365F91" w:themeColor="accent1" w:themeShade="BF"/>
      <w:kern w:val="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579">
      <w:bodyDiv w:val="1"/>
      <w:marLeft w:val="0"/>
      <w:marRight w:val="0"/>
      <w:marTop w:val="0"/>
      <w:marBottom w:val="0"/>
      <w:divBdr>
        <w:top w:val="none" w:sz="0" w:space="0" w:color="auto"/>
        <w:left w:val="none" w:sz="0" w:space="0" w:color="auto"/>
        <w:bottom w:val="none" w:sz="0" w:space="0" w:color="auto"/>
        <w:right w:val="none" w:sz="0" w:space="0" w:color="auto"/>
      </w:divBdr>
    </w:div>
    <w:div w:id="265768309">
      <w:bodyDiv w:val="1"/>
      <w:marLeft w:val="0"/>
      <w:marRight w:val="0"/>
      <w:marTop w:val="0"/>
      <w:marBottom w:val="0"/>
      <w:divBdr>
        <w:top w:val="none" w:sz="0" w:space="0" w:color="auto"/>
        <w:left w:val="none" w:sz="0" w:space="0" w:color="auto"/>
        <w:bottom w:val="none" w:sz="0" w:space="0" w:color="auto"/>
        <w:right w:val="none" w:sz="0" w:space="0" w:color="auto"/>
      </w:divBdr>
    </w:div>
    <w:div w:id="622156512">
      <w:bodyDiv w:val="1"/>
      <w:marLeft w:val="0"/>
      <w:marRight w:val="0"/>
      <w:marTop w:val="0"/>
      <w:marBottom w:val="0"/>
      <w:divBdr>
        <w:top w:val="none" w:sz="0" w:space="0" w:color="auto"/>
        <w:left w:val="none" w:sz="0" w:space="0" w:color="auto"/>
        <w:bottom w:val="none" w:sz="0" w:space="0" w:color="auto"/>
        <w:right w:val="none" w:sz="0" w:space="0" w:color="auto"/>
      </w:divBdr>
    </w:div>
    <w:div w:id="667753241">
      <w:bodyDiv w:val="1"/>
      <w:marLeft w:val="0"/>
      <w:marRight w:val="0"/>
      <w:marTop w:val="0"/>
      <w:marBottom w:val="0"/>
      <w:divBdr>
        <w:top w:val="none" w:sz="0" w:space="0" w:color="auto"/>
        <w:left w:val="none" w:sz="0" w:space="0" w:color="auto"/>
        <w:bottom w:val="none" w:sz="0" w:space="0" w:color="auto"/>
        <w:right w:val="none" w:sz="0" w:space="0" w:color="auto"/>
      </w:divBdr>
    </w:div>
    <w:div w:id="736130646">
      <w:bodyDiv w:val="1"/>
      <w:marLeft w:val="0"/>
      <w:marRight w:val="0"/>
      <w:marTop w:val="0"/>
      <w:marBottom w:val="0"/>
      <w:divBdr>
        <w:top w:val="none" w:sz="0" w:space="0" w:color="auto"/>
        <w:left w:val="none" w:sz="0" w:space="0" w:color="auto"/>
        <w:bottom w:val="none" w:sz="0" w:space="0" w:color="auto"/>
        <w:right w:val="none" w:sz="0" w:space="0" w:color="auto"/>
      </w:divBdr>
      <w:divsChild>
        <w:div w:id="193541699">
          <w:marLeft w:val="0"/>
          <w:marRight w:val="0"/>
          <w:marTop w:val="0"/>
          <w:marBottom w:val="0"/>
          <w:divBdr>
            <w:top w:val="none" w:sz="0" w:space="0" w:color="auto"/>
            <w:left w:val="none" w:sz="0" w:space="0" w:color="auto"/>
            <w:bottom w:val="none" w:sz="0" w:space="0" w:color="auto"/>
            <w:right w:val="none" w:sz="0" w:space="0" w:color="auto"/>
          </w:divBdr>
        </w:div>
        <w:div w:id="451284852">
          <w:marLeft w:val="0"/>
          <w:marRight w:val="0"/>
          <w:marTop w:val="0"/>
          <w:marBottom w:val="0"/>
          <w:divBdr>
            <w:top w:val="none" w:sz="0" w:space="0" w:color="auto"/>
            <w:left w:val="none" w:sz="0" w:space="0" w:color="auto"/>
            <w:bottom w:val="none" w:sz="0" w:space="0" w:color="auto"/>
            <w:right w:val="none" w:sz="0" w:space="0" w:color="auto"/>
          </w:divBdr>
        </w:div>
        <w:div w:id="938606619">
          <w:marLeft w:val="0"/>
          <w:marRight w:val="0"/>
          <w:marTop w:val="0"/>
          <w:marBottom w:val="0"/>
          <w:divBdr>
            <w:top w:val="none" w:sz="0" w:space="0" w:color="auto"/>
            <w:left w:val="none" w:sz="0" w:space="0" w:color="auto"/>
            <w:bottom w:val="none" w:sz="0" w:space="0" w:color="auto"/>
            <w:right w:val="none" w:sz="0" w:space="0" w:color="auto"/>
          </w:divBdr>
        </w:div>
        <w:div w:id="1558854758">
          <w:marLeft w:val="0"/>
          <w:marRight w:val="0"/>
          <w:marTop w:val="0"/>
          <w:marBottom w:val="0"/>
          <w:divBdr>
            <w:top w:val="none" w:sz="0" w:space="0" w:color="auto"/>
            <w:left w:val="none" w:sz="0" w:space="0" w:color="auto"/>
            <w:bottom w:val="none" w:sz="0" w:space="0" w:color="auto"/>
            <w:right w:val="none" w:sz="0" w:space="0" w:color="auto"/>
          </w:divBdr>
        </w:div>
      </w:divsChild>
    </w:div>
    <w:div w:id="1150826537">
      <w:bodyDiv w:val="1"/>
      <w:marLeft w:val="0"/>
      <w:marRight w:val="0"/>
      <w:marTop w:val="0"/>
      <w:marBottom w:val="0"/>
      <w:divBdr>
        <w:top w:val="none" w:sz="0" w:space="0" w:color="auto"/>
        <w:left w:val="none" w:sz="0" w:space="0" w:color="auto"/>
        <w:bottom w:val="none" w:sz="0" w:space="0" w:color="auto"/>
        <w:right w:val="none" w:sz="0" w:space="0" w:color="auto"/>
      </w:divBdr>
    </w:div>
    <w:div w:id="1273123388">
      <w:bodyDiv w:val="1"/>
      <w:marLeft w:val="0"/>
      <w:marRight w:val="0"/>
      <w:marTop w:val="0"/>
      <w:marBottom w:val="0"/>
      <w:divBdr>
        <w:top w:val="none" w:sz="0" w:space="0" w:color="auto"/>
        <w:left w:val="none" w:sz="0" w:space="0" w:color="auto"/>
        <w:bottom w:val="none" w:sz="0" w:space="0" w:color="auto"/>
        <w:right w:val="none" w:sz="0" w:space="0" w:color="auto"/>
      </w:divBdr>
    </w:div>
    <w:div w:id="1283226361">
      <w:bodyDiv w:val="1"/>
      <w:marLeft w:val="0"/>
      <w:marRight w:val="0"/>
      <w:marTop w:val="0"/>
      <w:marBottom w:val="0"/>
      <w:divBdr>
        <w:top w:val="none" w:sz="0" w:space="0" w:color="auto"/>
        <w:left w:val="none" w:sz="0" w:space="0" w:color="auto"/>
        <w:bottom w:val="none" w:sz="0" w:space="0" w:color="auto"/>
        <w:right w:val="none" w:sz="0" w:space="0" w:color="auto"/>
      </w:divBdr>
    </w:div>
    <w:div w:id="1681543401">
      <w:bodyDiv w:val="1"/>
      <w:marLeft w:val="0"/>
      <w:marRight w:val="0"/>
      <w:marTop w:val="0"/>
      <w:marBottom w:val="0"/>
      <w:divBdr>
        <w:top w:val="none" w:sz="0" w:space="0" w:color="auto"/>
        <w:left w:val="none" w:sz="0" w:space="0" w:color="auto"/>
        <w:bottom w:val="none" w:sz="0" w:space="0" w:color="auto"/>
        <w:right w:val="none" w:sz="0" w:space="0" w:color="auto"/>
      </w:divBdr>
    </w:div>
    <w:div w:id="1806459640">
      <w:bodyDiv w:val="1"/>
      <w:marLeft w:val="0"/>
      <w:marRight w:val="0"/>
      <w:marTop w:val="0"/>
      <w:marBottom w:val="0"/>
      <w:divBdr>
        <w:top w:val="none" w:sz="0" w:space="0" w:color="auto"/>
        <w:left w:val="none" w:sz="0" w:space="0" w:color="auto"/>
        <w:bottom w:val="none" w:sz="0" w:space="0" w:color="auto"/>
        <w:right w:val="none" w:sz="0" w:space="0" w:color="auto"/>
      </w:divBdr>
      <w:divsChild>
        <w:div w:id="122232424">
          <w:marLeft w:val="0"/>
          <w:marRight w:val="0"/>
          <w:marTop w:val="0"/>
          <w:marBottom w:val="0"/>
          <w:divBdr>
            <w:top w:val="none" w:sz="0" w:space="0" w:color="auto"/>
            <w:left w:val="none" w:sz="0" w:space="0" w:color="auto"/>
            <w:bottom w:val="none" w:sz="0" w:space="0" w:color="auto"/>
            <w:right w:val="none" w:sz="0" w:space="0" w:color="auto"/>
          </w:divBdr>
        </w:div>
        <w:div w:id="462357814">
          <w:marLeft w:val="0"/>
          <w:marRight w:val="0"/>
          <w:marTop w:val="0"/>
          <w:marBottom w:val="0"/>
          <w:divBdr>
            <w:top w:val="none" w:sz="0" w:space="0" w:color="auto"/>
            <w:left w:val="none" w:sz="0" w:space="0" w:color="auto"/>
            <w:bottom w:val="none" w:sz="0" w:space="0" w:color="auto"/>
            <w:right w:val="none" w:sz="0" w:space="0" w:color="auto"/>
          </w:divBdr>
        </w:div>
        <w:div w:id="1338267864">
          <w:marLeft w:val="0"/>
          <w:marRight w:val="0"/>
          <w:marTop w:val="0"/>
          <w:marBottom w:val="0"/>
          <w:divBdr>
            <w:top w:val="none" w:sz="0" w:space="0" w:color="auto"/>
            <w:left w:val="none" w:sz="0" w:space="0" w:color="auto"/>
            <w:bottom w:val="none" w:sz="0" w:space="0" w:color="auto"/>
            <w:right w:val="none" w:sz="0" w:space="0" w:color="auto"/>
          </w:divBdr>
        </w:div>
        <w:div w:id="1444224998">
          <w:marLeft w:val="0"/>
          <w:marRight w:val="0"/>
          <w:marTop w:val="0"/>
          <w:marBottom w:val="0"/>
          <w:divBdr>
            <w:top w:val="none" w:sz="0" w:space="0" w:color="auto"/>
            <w:left w:val="none" w:sz="0" w:space="0" w:color="auto"/>
            <w:bottom w:val="none" w:sz="0" w:space="0" w:color="auto"/>
            <w:right w:val="none" w:sz="0" w:space="0" w:color="auto"/>
          </w:divBdr>
        </w:div>
        <w:div w:id="1872912243">
          <w:marLeft w:val="0"/>
          <w:marRight w:val="0"/>
          <w:marTop w:val="0"/>
          <w:marBottom w:val="0"/>
          <w:divBdr>
            <w:top w:val="none" w:sz="0" w:space="0" w:color="auto"/>
            <w:left w:val="none" w:sz="0" w:space="0" w:color="auto"/>
            <w:bottom w:val="none" w:sz="0" w:space="0" w:color="auto"/>
            <w:right w:val="none" w:sz="0" w:space="0" w:color="auto"/>
          </w:divBdr>
        </w:div>
        <w:div w:id="207481483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EDF2-A2F2-4967-9BC5-16998130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4273</Words>
  <Characters>23469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 Damien</dc:creator>
  <cp:lastModifiedBy>MICHOT Aysha (ECHO-EXT)</cp:lastModifiedBy>
  <cp:revision>4</cp:revision>
  <cp:lastPrinted>2010-09-08T16:01:00Z</cp:lastPrinted>
  <dcterms:created xsi:type="dcterms:W3CDTF">2018-02-12T16:35:00Z</dcterms:created>
  <dcterms:modified xsi:type="dcterms:W3CDTF">2018-05-29T11:48:00Z</dcterms:modified>
</cp:coreProperties>
</file>