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A8F" w:rsidRDefault="00584A8F" w:rsidP="003F7991">
      <w:pPr>
        <w:jc w:val="both"/>
      </w:pPr>
    </w:p>
    <w:tbl>
      <w:tblPr>
        <w:tblW w:w="9398" w:type="dxa"/>
        <w:tblLayout w:type="fixed"/>
        <w:tblCellMar>
          <w:left w:w="0" w:type="dxa"/>
          <w:right w:w="0" w:type="dxa"/>
        </w:tblCellMar>
        <w:tblLook w:val="0000" w:firstRow="0" w:lastRow="0" w:firstColumn="0" w:lastColumn="0" w:noHBand="0" w:noVBand="0"/>
      </w:tblPr>
      <w:tblGrid>
        <w:gridCol w:w="2363"/>
        <w:gridCol w:w="7035"/>
      </w:tblGrid>
      <w:tr w:rsidR="00584A8F" w:rsidRPr="00CC4A51" w:rsidTr="009C203B">
        <w:trPr>
          <w:trHeight w:val="727"/>
        </w:trPr>
        <w:tc>
          <w:tcPr>
            <w:tcW w:w="2363" w:type="dxa"/>
          </w:tcPr>
          <w:p w:rsidR="00584A8F" w:rsidRPr="00584A8F" w:rsidRDefault="00584A8F" w:rsidP="00584A8F">
            <w:pPr>
              <w:widowControl w:val="0"/>
              <w:spacing w:before="60" w:after="60" w:line="240" w:lineRule="auto"/>
              <w:ind w:right="85"/>
              <w:jc w:val="both"/>
              <w:rPr>
                <w:rFonts w:ascii="Calibri" w:eastAsia="Times New Roman" w:hAnsi="Calibri" w:cs="Times New Roman"/>
                <w:snapToGrid w:val="0"/>
                <w:sz w:val="24"/>
                <w:szCs w:val="20"/>
                <w:lang w:val="en-GB"/>
              </w:rPr>
            </w:pPr>
            <w:r>
              <w:rPr>
                <w:rFonts w:ascii="Calibri" w:eastAsia="Times New Roman" w:hAnsi="Calibri" w:cs="Times New Roman"/>
                <w:noProof/>
                <w:sz w:val="20"/>
                <w:szCs w:val="20"/>
                <w:lang w:eastAsia="fr-FR"/>
              </w:rPr>
              <w:drawing>
                <wp:inline distT="0" distB="0" distL="0" distR="0">
                  <wp:extent cx="1371600" cy="67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7035" w:type="dxa"/>
          </w:tcPr>
          <w:p w:rsidR="00584A8F" w:rsidRPr="00584A8F" w:rsidRDefault="00584A8F" w:rsidP="00584A8F">
            <w:pPr>
              <w:widowControl w:val="0"/>
              <w:spacing w:before="60" w:after="60" w:line="240" w:lineRule="auto"/>
              <w:ind w:right="85"/>
              <w:jc w:val="both"/>
              <w:rPr>
                <w:rFonts w:ascii="Arial" w:eastAsia="Times New Roman" w:hAnsi="Arial" w:cs="Arial"/>
                <w:snapToGrid w:val="0"/>
                <w:sz w:val="24"/>
                <w:szCs w:val="20"/>
                <w:lang w:val="en-GB"/>
              </w:rPr>
            </w:pPr>
            <w:r w:rsidRPr="00584A8F">
              <w:rPr>
                <w:rFonts w:ascii="Arial" w:eastAsia="Times New Roman" w:hAnsi="Arial" w:cs="Arial"/>
                <w:snapToGrid w:val="0"/>
                <w:sz w:val="24"/>
                <w:szCs w:val="20"/>
                <w:lang w:val="en-GB"/>
              </w:rPr>
              <w:t>EUROPEAN COMMISSION</w:t>
            </w:r>
          </w:p>
          <w:p w:rsidR="00584A8F" w:rsidRPr="00584A8F" w:rsidRDefault="00584A8F" w:rsidP="00584A8F">
            <w:pPr>
              <w:widowControl w:val="0"/>
              <w:spacing w:before="60" w:after="60" w:line="240" w:lineRule="auto"/>
              <w:ind w:right="86"/>
              <w:rPr>
                <w:rFonts w:ascii="Arial" w:eastAsia="Times New Roman" w:hAnsi="Arial" w:cs="Arial"/>
                <w:snapToGrid w:val="0"/>
                <w:sz w:val="16"/>
                <w:szCs w:val="20"/>
                <w:lang w:val="en-GB"/>
              </w:rPr>
            </w:pPr>
            <w:r w:rsidRPr="00584A8F">
              <w:rPr>
                <w:rFonts w:ascii="Arial" w:eastAsia="Times New Roman" w:hAnsi="Arial" w:cs="Arial"/>
                <w:snapToGrid w:val="0"/>
                <w:sz w:val="16"/>
                <w:szCs w:val="20"/>
                <w:lang w:val="en-GB"/>
              </w:rPr>
              <w:t xml:space="preserve">Directorate-General for European Civil Protection And Humanitarian Aid Operations (ECHO) </w:t>
            </w:r>
          </w:p>
          <w:p w:rsidR="00584A8F" w:rsidRPr="00584A8F" w:rsidRDefault="00584A8F" w:rsidP="00584A8F">
            <w:pPr>
              <w:widowControl w:val="0"/>
              <w:spacing w:before="60" w:after="60" w:line="240" w:lineRule="auto"/>
              <w:ind w:right="86"/>
              <w:rPr>
                <w:rFonts w:ascii="Arial" w:eastAsia="Times New Roman" w:hAnsi="Arial" w:cs="Arial"/>
                <w:snapToGrid w:val="0"/>
                <w:sz w:val="16"/>
                <w:szCs w:val="20"/>
                <w:lang w:val="en-GB"/>
              </w:rPr>
            </w:pPr>
            <w:r w:rsidRPr="00584A8F">
              <w:rPr>
                <w:rFonts w:ascii="Arial" w:eastAsia="Times New Roman" w:hAnsi="Arial" w:cs="Arial"/>
                <w:snapToGrid w:val="0"/>
                <w:sz w:val="16"/>
                <w:szCs w:val="20"/>
                <w:lang w:val="en-GB"/>
              </w:rPr>
              <w:t>Unit C/3</w:t>
            </w:r>
          </w:p>
          <w:p w:rsidR="00584A8F" w:rsidRPr="00584A8F" w:rsidRDefault="00584A8F" w:rsidP="00584A8F">
            <w:pPr>
              <w:widowControl w:val="0"/>
              <w:spacing w:before="60" w:after="60" w:line="240" w:lineRule="auto"/>
              <w:ind w:right="86"/>
              <w:rPr>
                <w:rFonts w:ascii="Arial" w:eastAsia="Times New Roman" w:hAnsi="Arial" w:cs="Arial"/>
                <w:snapToGrid w:val="0"/>
                <w:sz w:val="16"/>
                <w:szCs w:val="20"/>
                <w:lang w:val="en-GB"/>
              </w:rPr>
            </w:pPr>
            <w:r w:rsidRPr="00584A8F">
              <w:rPr>
                <w:rFonts w:ascii="Arial" w:eastAsia="Times New Roman" w:hAnsi="Arial" w:cs="Arial"/>
                <w:snapToGrid w:val="0"/>
                <w:sz w:val="16"/>
                <w:szCs w:val="20"/>
                <w:lang w:val="en-GB"/>
              </w:rPr>
              <w:t>Regional Office for the Great Lakes</w:t>
            </w:r>
          </w:p>
          <w:p w:rsidR="00584A8F" w:rsidRPr="00584A8F" w:rsidRDefault="00584A8F" w:rsidP="00584A8F">
            <w:pPr>
              <w:widowControl w:val="0"/>
              <w:spacing w:before="60" w:after="60" w:line="240" w:lineRule="auto"/>
              <w:ind w:right="86"/>
              <w:rPr>
                <w:rFonts w:ascii="Calibri" w:eastAsia="Times New Roman" w:hAnsi="Calibri" w:cs="Times New Roman"/>
                <w:snapToGrid w:val="0"/>
                <w:sz w:val="16"/>
                <w:szCs w:val="20"/>
                <w:lang w:val="en-GB"/>
              </w:rPr>
            </w:pPr>
          </w:p>
        </w:tc>
      </w:tr>
    </w:tbl>
    <w:p w:rsidR="00584A8F" w:rsidRPr="00584A8F" w:rsidRDefault="00584A8F" w:rsidP="00584A8F">
      <w:pPr>
        <w:spacing w:before="60" w:after="60" w:line="240" w:lineRule="auto"/>
        <w:jc w:val="center"/>
        <w:rPr>
          <w:rFonts w:ascii="Calibri" w:eastAsia="Times New Roman" w:hAnsi="Calibri" w:cs="Arial"/>
          <w:sz w:val="20"/>
          <w:szCs w:val="20"/>
          <w:lang w:val="en-US"/>
        </w:rPr>
      </w:pPr>
      <w:r w:rsidRPr="00584A8F">
        <w:rPr>
          <w:rFonts w:ascii="Calibri" w:eastAsia="Times New Roman" w:hAnsi="Calibri" w:cs="Times New Roman"/>
          <w:b/>
          <w:caps/>
          <w:sz w:val="24"/>
          <w:szCs w:val="24"/>
          <w:u w:val="single"/>
          <w:lang w:val="en-US" w:eastAsia="fr-FR"/>
        </w:rPr>
        <w:t>Mission Report</w:t>
      </w:r>
    </w:p>
    <w:p w:rsidR="00584A8F" w:rsidRPr="00584A8F" w:rsidRDefault="00584A8F" w:rsidP="00584A8F">
      <w:pPr>
        <w:spacing w:before="60" w:after="60" w:line="240" w:lineRule="auto"/>
        <w:rPr>
          <w:rFonts w:ascii="Calibri" w:eastAsia="Times New Roman" w:hAnsi="Calibri" w:cs="Arial"/>
          <w:b/>
          <w:sz w:val="20"/>
          <w:szCs w:val="20"/>
          <w:lang w:val="en-US"/>
        </w:rPr>
      </w:pPr>
    </w:p>
    <w:p w:rsidR="00584A8F" w:rsidRPr="00584A8F" w:rsidRDefault="00584A8F" w:rsidP="00584A8F">
      <w:pPr>
        <w:spacing w:before="60" w:after="60" w:line="240" w:lineRule="auto"/>
        <w:rPr>
          <w:rFonts w:ascii="Calibri" w:eastAsia="Times New Roman" w:hAnsi="Calibri" w:cs="Arial"/>
          <w:sz w:val="20"/>
          <w:szCs w:val="20"/>
          <w:lang w:val="en-US"/>
        </w:rPr>
      </w:pPr>
      <w:r w:rsidRPr="00584A8F">
        <w:rPr>
          <w:rFonts w:ascii="Calibri" w:eastAsia="Times New Roman" w:hAnsi="Calibri" w:cs="Arial"/>
          <w:b/>
          <w:sz w:val="20"/>
          <w:szCs w:val="20"/>
          <w:lang w:val="en-US"/>
        </w:rPr>
        <w:t>Author:</w:t>
      </w:r>
      <w:r w:rsidRPr="00584A8F">
        <w:rPr>
          <w:rFonts w:ascii="Calibri" w:eastAsia="Times New Roman" w:hAnsi="Calibri" w:cs="Arial"/>
          <w:sz w:val="20"/>
          <w:szCs w:val="20"/>
          <w:lang w:val="en-US"/>
        </w:rPr>
        <w:t xml:space="preserve"> José </w:t>
      </w:r>
      <w:r>
        <w:rPr>
          <w:rFonts w:ascii="Calibri" w:eastAsia="Times New Roman" w:hAnsi="Calibri" w:cs="Arial"/>
          <w:sz w:val="20"/>
          <w:szCs w:val="20"/>
          <w:lang w:val="en-US"/>
        </w:rPr>
        <w:t>Benavente (AT regional Wash (</w:t>
      </w:r>
      <w:r w:rsidRPr="00584A8F">
        <w:rPr>
          <w:rFonts w:ascii="Calibri" w:eastAsia="Times New Roman" w:hAnsi="Calibri" w:cs="Arial"/>
          <w:sz w:val="20"/>
          <w:szCs w:val="20"/>
          <w:lang w:val="en-US"/>
        </w:rPr>
        <w:t>Grands Lacs</w:t>
      </w:r>
      <w:r>
        <w:rPr>
          <w:rFonts w:ascii="Calibri" w:eastAsia="Times New Roman" w:hAnsi="Calibri" w:cs="Arial"/>
          <w:sz w:val="20"/>
          <w:szCs w:val="20"/>
          <w:lang w:val="en-US"/>
        </w:rPr>
        <w:t xml:space="preserve">)/AT RDC </w:t>
      </w:r>
    </w:p>
    <w:p w:rsidR="00584A8F" w:rsidRPr="00584A8F" w:rsidRDefault="00584A8F" w:rsidP="00584A8F">
      <w:pPr>
        <w:tabs>
          <w:tab w:val="left" w:pos="7020"/>
        </w:tabs>
        <w:spacing w:before="60" w:after="60" w:line="240" w:lineRule="auto"/>
        <w:jc w:val="both"/>
        <w:rPr>
          <w:rFonts w:ascii="Calibri" w:eastAsia="Times New Roman" w:hAnsi="Calibri" w:cs="Arial"/>
          <w:sz w:val="20"/>
          <w:szCs w:val="20"/>
        </w:rPr>
      </w:pPr>
      <w:r w:rsidRPr="00584A8F">
        <w:rPr>
          <w:rFonts w:ascii="Calibri" w:eastAsia="Times New Roman" w:hAnsi="Calibri" w:cs="Arial"/>
          <w:b/>
          <w:sz w:val="20"/>
          <w:szCs w:val="20"/>
        </w:rPr>
        <w:t xml:space="preserve">Participants: </w:t>
      </w:r>
      <w:r w:rsidRPr="00584A8F">
        <w:rPr>
          <w:rFonts w:ascii="Calibri" w:eastAsia="Times New Roman" w:hAnsi="Calibri" w:cs="Arial"/>
          <w:sz w:val="20"/>
          <w:szCs w:val="20"/>
        </w:rPr>
        <w:t xml:space="preserve">Giuseppe </w:t>
      </w:r>
      <w:proofErr w:type="spellStart"/>
      <w:r w:rsidRPr="00584A8F">
        <w:rPr>
          <w:rFonts w:ascii="Calibri" w:eastAsia="Times New Roman" w:hAnsi="Calibri" w:cs="Arial"/>
          <w:sz w:val="20"/>
          <w:szCs w:val="20"/>
        </w:rPr>
        <w:t>Scollo</w:t>
      </w:r>
      <w:proofErr w:type="spellEnd"/>
      <w:r w:rsidRPr="00584A8F">
        <w:rPr>
          <w:rFonts w:ascii="Calibri" w:eastAsia="Times New Roman" w:hAnsi="Calibri" w:cs="Arial"/>
          <w:sz w:val="20"/>
          <w:szCs w:val="20"/>
        </w:rPr>
        <w:t xml:space="preserve"> (AT Grands Lacs).</w:t>
      </w:r>
    </w:p>
    <w:p w:rsidR="00584A8F" w:rsidRPr="00584A8F" w:rsidRDefault="00584A8F" w:rsidP="00584A8F">
      <w:pPr>
        <w:tabs>
          <w:tab w:val="left" w:pos="7020"/>
        </w:tabs>
        <w:spacing w:before="60" w:after="60" w:line="240" w:lineRule="auto"/>
        <w:jc w:val="both"/>
        <w:rPr>
          <w:rFonts w:ascii="Calibri" w:eastAsia="Times New Roman" w:hAnsi="Calibri" w:cs="Arial"/>
          <w:b/>
          <w:sz w:val="20"/>
          <w:szCs w:val="20"/>
        </w:rPr>
      </w:pPr>
      <w:r w:rsidRPr="00584A8F">
        <w:rPr>
          <w:rFonts w:ascii="Calibri" w:eastAsia="Times New Roman" w:hAnsi="Calibri" w:cs="Arial"/>
          <w:b/>
          <w:sz w:val="20"/>
          <w:szCs w:val="20"/>
        </w:rPr>
        <w:t xml:space="preserve">People/Organisation met: </w:t>
      </w:r>
    </w:p>
    <w:p w:rsidR="00584A8F" w:rsidRPr="00584A8F" w:rsidRDefault="00584A8F" w:rsidP="00584A8F">
      <w:pPr>
        <w:jc w:val="both"/>
        <w:rPr>
          <w:rFonts w:ascii="Calibri" w:eastAsia="Calibri" w:hAnsi="Calibri" w:cs="Times New Roman"/>
          <w:sz w:val="20"/>
          <w:szCs w:val="20"/>
        </w:rPr>
      </w:pPr>
      <w:r>
        <w:rPr>
          <w:rFonts w:ascii="Calibri" w:eastAsia="Calibri" w:hAnsi="Calibri" w:cs="Times New Roman"/>
          <w:sz w:val="20"/>
          <w:szCs w:val="20"/>
        </w:rPr>
        <w:t xml:space="preserve">Michele Ungaro, Ingénieur Eau et Habitat CICR </w:t>
      </w:r>
      <w:r w:rsidR="0058777D">
        <w:rPr>
          <w:rFonts w:ascii="Calibri" w:eastAsia="Calibri" w:hAnsi="Calibri" w:cs="Times New Roman"/>
          <w:sz w:val="20"/>
          <w:szCs w:val="20"/>
        </w:rPr>
        <w:t>Bujumbura</w:t>
      </w:r>
      <w:r>
        <w:rPr>
          <w:rFonts w:ascii="Calibri" w:eastAsia="Calibri" w:hAnsi="Calibri" w:cs="Times New Roman"/>
          <w:sz w:val="20"/>
          <w:szCs w:val="20"/>
        </w:rPr>
        <w:t>.</w:t>
      </w:r>
    </w:p>
    <w:p w:rsidR="00584A8F" w:rsidRPr="00584A8F" w:rsidRDefault="00584A8F" w:rsidP="00584A8F">
      <w:pPr>
        <w:jc w:val="both"/>
        <w:rPr>
          <w:rFonts w:ascii="Calibri" w:eastAsia="Calibri" w:hAnsi="Calibri" w:cs="Times New Roman"/>
          <w:sz w:val="20"/>
          <w:szCs w:val="20"/>
        </w:rPr>
      </w:pPr>
      <w:r w:rsidRPr="00584A8F">
        <w:rPr>
          <w:rFonts w:ascii="Calibri" w:eastAsia="Times New Roman" w:hAnsi="Calibri" w:cs="Arial"/>
          <w:b/>
          <w:sz w:val="20"/>
          <w:szCs w:val="20"/>
        </w:rPr>
        <w:t>Date:</w:t>
      </w:r>
      <w:r>
        <w:rPr>
          <w:rFonts w:ascii="Calibri" w:eastAsia="Times New Roman" w:hAnsi="Calibri" w:cs="Arial"/>
          <w:sz w:val="20"/>
          <w:szCs w:val="20"/>
        </w:rPr>
        <w:t xml:space="preserve"> du 20 au 24 novembre</w:t>
      </w:r>
      <w:r w:rsidRPr="00584A8F">
        <w:rPr>
          <w:rFonts w:ascii="Calibri" w:eastAsia="Times New Roman" w:hAnsi="Calibri" w:cs="Arial"/>
          <w:sz w:val="20"/>
          <w:szCs w:val="20"/>
        </w:rPr>
        <w:t xml:space="preserve"> 2017.</w:t>
      </w:r>
    </w:p>
    <w:p w:rsidR="00584A8F" w:rsidRPr="00584A8F" w:rsidRDefault="00584A8F" w:rsidP="00584A8F">
      <w:pPr>
        <w:tabs>
          <w:tab w:val="left" w:pos="7020"/>
        </w:tabs>
        <w:spacing w:before="60" w:after="60" w:line="240" w:lineRule="auto"/>
        <w:jc w:val="both"/>
        <w:rPr>
          <w:rFonts w:ascii="Calibri" w:eastAsia="Times New Roman" w:hAnsi="Calibri" w:cs="Calibri"/>
          <w:sz w:val="20"/>
          <w:szCs w:val="20"/>
        </w:rPr>
      </w:pPr>
      <w:r w:rsidRPr="00584A8F">
        <w:rPr>
          <w:rFonts w:ascii="Calibri" w:eastAsia="Times New Roman" w:hAnsi="Calibri" w:cs="Arial"/>
          <w:b/>
          <w:sz w:val="20"/>
          <w:szCs w:val="20"/>
        </w:rPr>
        <w:t xml:space="preserve">Location: </w:t>
      </w:r>
      <w:r>
        <w:rPr>
          <w:rFonts w:ascii="Calibri" w:eastAsia="Times New Roman" w:hAnsi="Calibri" w:cs="Arial"/>
          <w:b/>
          <w:sz w:val="20"/>
          <w:szCs w:val="20"/>
        </w:rPr>
        <w:t>Burundi</w:t>
      </w:r>
      <w:r w:rsidRPr="00584A8F">
        <w:rPr>
          <w:rFonts w:ascii="Calibri" w:eastAsia="Times New Roman" w:hAnsi="Calibri" w:cs="Arial"/>
          <w:b/>
          <w:sz w:val="20"/>
          <w:szCs w:val="20"/>
        </w:rPr>
        <w:t>,</w:t>
      </w:r>
      <w:r w:rsidRPr="00584A8F">
        <w:rPr>
          <w:rFonts w:ascii="Calibri" w:eastAsia="Times New Roman" w:hAnsi="Calibri" w:cs="Arial"/>
          <w:sz w:val="20"/>
          <w:szCs w:val="20"/>
        </w:rPr>
        <w:t xml:space="preserve"> </w:t>
      </w:r>
      <w:r>
        <w:rPr>
          <w:rFonts w:ascii="Calibri" w:eastAsia="Times New Roman" w:hAnsi="Calibri" w:cs="Calibri"/>
          <w:sz w:val="20"/>
          <w:szCs w:val="20"/>
          <w:lang w:eastAsia="fr-FR"/>
        </w:rPr>
        <w:t xml:space="preserve">Bujumbura et commune de </w:t>
      </w:r>
      <w:r w:rsidR="005D2353">
        <w:rPr>
          <w:rFonts w:ascii="Calibri" w:eastAsia="Times New Roman" w:hAnsi="Calibri" w:cs="Calibri"/>
          <w:sz w:val="20"/>
          <w:szCs w:val="20"/>
          <w:lang w:eastAsia="fr-FR"/>
        </w:rPr>
        <w:t xml:space="preserve">Muha (quartier de </w:t>
      </w:r>
      <w:r>
        <w:rPr>
          <w:rFonts w:ascii="Calibri" w:eastAsia="Times New Roman" w:hAnsi="Calibri" w:cs="Calibri"/>
          <w:sz w:val="20"/>
          <w:szCs w:val="20"/>
          <w:lang w:eastAsia="fr-FR"/>
        </w:rPr>
        <w:t>Musaga</w:t>
      </w:r>
      <w:r w:rsidR="005D2353">
        <w:rPr>
          <w:rFonts w:ascii="Calibri" w:eastAsia="Times New Roman" w:hAnsi="Calibri" w:cs="Calibri"/>
          <w:sz w:val="20"/>
          <w:szCs w:val="20"/>
          <w:lang w:eastAsia="fr-FR"/>
        </w:rPr>
        <w:t xml:space="preserve">, situé sur </w:t>
      </w:r>
      <w:r>
        <w:rPr>
          <w:rFonts w:ascii="Calibri" w:eastAsia="Times New Roman" w:hAnsi="Calibri" w:cs="Calibri"/>
          <w:sz w:val="20"/>
          <w:szCs w:val="20"/>
          <w:lang w:eastAsia="fr-FR"/>
        </w:rPr>
        <w:t>collines avoisinantes de Bujumbura).</w:t>
      </w:r>
    </w:p>
    <w:p w:rsidR="00584A8F" w:rsidRPr="00584A8F" w:rsidRDefault="00584A8F" w:rsidP="00584A8F">
      <w:pPr>
        <w:tabs>
          <w:tab w:val="left" w:pos="7020"/>
        </w:tabs>
        <w:spacing w:before="60" w:after="60" w:line="240" w:lineRule="auto"/>
        <w:jc w:val="both"/>
        <w:rPr>
          <w:rFonts w:ascii="Calibri" w:eastAsia="Times New Roman" w:hAnsi="Calibri" w:cs="Arial"/>
          <w:b/>
          <w:sz w:val="20"/>
          <w:szCs w:val="20"/>
        </w:rPr>
      </w:pPr>
      <w:r w:rsidRPr="00584A8F">
        <w:rPr>
          <w:rFonts w:ascii="Calibri" w:eastAsia="Times New Roman" w:hAnsi="Calibri" w:cs="Arial"/>
          <w:b/>
          <w:sz w:val="20"/>
          <w:szCs w:val="20"/>
        </w:rPr>
        <w:t xml:space="preserve"> </w:t>
      </w:r>
    </w:p>
    <w:p w:rsidR="00584A8F" w:rsidRPr="00584A8F" w:rsidRDefault="00584A8F" w:rsidP="00584A8F">
      <w:pPr>
        <w:keepNext/>
        <w:tabs>
          <w:tab w:val="num" w:pos="480"/>
        </w:tabs>
        <w:spacing w:before="60" w:after="60" w:line="240" w:lineRule="auto"/>
        <w:ind w:left="480" w:hanging="480"/>
        <w:jc w:val="both"/>
        <w:outlineLvl w:val="0"/>
        <w:rPr>
          <w:rFonts w:ascii="Calibri" w:eastAsia="Times New Roman" w:hAnsi="Calibri" w:cs="Arial"/>
          <w:b/>
          <w:sz w:val="24"/>
          <w:szCs w:val="24"/>
          <w:lang w:val="en-GB"/>
        </w:rPr>
      </w:pPr>
      <w:r w:rsidRPr="00584A8F">
        <w:rPr>
          <w:rFonts w:ascii="Calibri" w:eastAsia="Times New Roman" w:hAnsi="Calibri" w:cs="Arial"/>
          <w:b/>
          <w:sz w:val="24"/>
          <w:szCs w:val="24"/>
          <w:lang w:val="en-GB"/>
        </w:rPr>
        <w:t>Executive Summary / Highlights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286"/>
      </w:tblGrid>
      <w:tr w:rsidR="00584A8F" w:rsidRPr="00584A8F" w:rsidTr="009C203B">
        <w:tc>
          <w:tcPr>
            <w:tcW w:w="9429" w:type="dxa"/>
            <w:shd w:val="clear" w:color="auto" w:fill="F2F2F2"/>
          </w:tcPr>
          <w:p w:rsidR="00584A8F" w:rsidRPr="00584A8F" w:rsidRDefault="00584A8F" w:rsidP="00584A8F">
            <w:pPr>
              <w:spacing w:before="120" w:after="120" w:line="240" w:lineRule="auto"/>
              <w:ind w:right="709"/>
              <w:jc w:val="both"/>
              <w:rPr>
                <w:rFonts w:ascii="Calibri" w:eastAsia="Times New Roman" w:hAnsi="Calibri" w:cs="Tahoma"/>
                <w:b/>
                <w:sz w:val="20"/>
                <w:szCs w:val="20"/>
                <w:u w:val="single"/>
              </w:rPr>
            </w:pPr>
            <w:r w:rsidRPr="00584A8F">
              <w:rPr>
                <w:rFonts w:ascii="Calibri" w:eastAsia="Times New Roman" w:hAnsi="Calibri" w:cs="Tahoma"/>
                <w:b/>
                <w:sz w:val="20"/>
                <w:szCs w:val="20"/>
                <w:u w:val="single"/>
              </w:rPr>
              <w:t>S</w:t>
            </w:r>
            <w:r w:rsidR="00324E0D">
              <w:rPr>
                <w:rFonts w:ascii="Calibri" w:eastAsia="Times New Roman" w:hAnsi="Calibri" w:cs="Tahoma"/>
                <w:b/>
                <w:sz w:val="20"/>
                <w:szCs w:val="20"/>
                <w:u w:val="single"/>
              </w:rPr>
              <w:t>ituation de l’approvisionnement en eau potable dans le quartier de Musaga</w:t>
            </w:r>
          </w:p>
          <w:p w:rsidR="00584A8F" w:rsidRDefault="00584A8F" w:rsidP="00584A8F">
            <w:pPr>
              <w:numPr>
                <w:ilvl w:val="0"/>
                <w:numId w:val="1"/>
              </w:numPr>
              <w:spacing w:before="120" w:after="120" w:line="240" w:lineRule="auto"/>
              <w:ind w:right="709"/>
              <w:jc w:val="both"/>
              <w:rPr>
                <w:rFonts w:ascii="Calibri" w:eastAsia="Times New Roman" w:hAnsi="Calibri" w:cs="Tahoma"/>
                <w:sz w:val="20"/>
                <w:szCs w:val="20"/>
              </w:rPr>
            </w:pPr>
            <w:r>
              <w:rPr>
                <w:rFonts w:ascii="Calibri" w:eastAsia="Times New Roman" w:hAnsi="Calibri" w:cs="Tahoma"/>
                <w:sz w:val="20"/>
                <w:szCs w:val="20"/>
              </w:rPr>
              <w:t>Description</w:t>
            </w:r>
            <w:r w:rsidR="00324E0D">
              <w:rPr>
                <w:rFonts w:ascii="Calibri" w:eastAsia="Times New Roman" w:hAnsi="Calibri" w:cs="Tahoma"/>
                <w:sz w:val="20"/>
                <w:szCs w:val="20"/>
              </w:rPr>
              <w:t xml:space="preserve"> de la situation.</w:t>
            </w:r>
          </w:p>
          <w:p w:rsidR="00324E0D" w:rsidRDefault="00324E0D" w:rsidP="00584A8F">
            <w:pPr>
              <w:numPr>
                <w:ilvl w:val="0"/>
                <w:numId w:val="1"/>
              </w:numPr>
              <w:spacing w:before="120" w:after="120" w:line="240" w:lineRule="auto"/>
              <w:ind w:right="709"/>
              <w:jc w:val="both"/>
              <w:rPr>
                <w:rFonts w:ascii="Calibri" w:eastAsia="Times New Roman" w:hAnsi="Calibri" w:cs="Tahoma"/>
                <w:sz w:val="20"/>
                <w:szCs w:val="20"/>
              </w:rPr>
            </w:pPr>
            <w:r>
              <w:rPr>
                <w:rFonts w:ascii="Calibri" w:eastAsia="Times New Roman" w:hAnsi="Calibri" w:cs="Tahoma"/>
                <w:sz w:val="20"/>
                <w:szCs w:val="20"/>
              </w:rPr>
              <w:t>Les captages de sources.</w:t>
            </w:r>
          </w:p>
          <w:p w:rsidR="00324E0D" w:rsidRDefault="00324E0D" w:rsidP="00584A8F">
            <w:pPr>
              <w:numPr>
                <w:ilvl w:val="0"/>
                <w:numId w:val="1"/>
              </w:numPr>
              <w:spacing w:before="120" w:after="120" w:line="240" w:lineRule="auto"/>
              <w:ind w:right="709"/>
              <w:jc w:val="both"/>
              <w:rPr>
                <w:rFonts w:ascii="Calibri" w:eastAsia="Times New Roman" w:hAnsi="Calibri" w:cs="Tahoma"/>
                <w:sz w:val="20"/>
                <w:szCs w:val="20"/>
              </w:rPr>
            </w:pPr>
            <w:r>
              <w:rPr>
                <w:rFonts w:ascii="Calibri" w:eastAsia="Times New Roman" w:hAnsi="Calibri" w:cs="Tahoma"/>
                <w:sz w:val="20"/>
                <w:szCs w:val="20"/>
              </w:rPr>
              <w:t>La réhabilitation de la conduite primaire.</w:t>
            </w:r>
          </w:p>
          <w:p w:rsidR="00584A8F" w:rsidRPr="00584A8F" w:rsidRDefault="00324E0D" w:rsidP="00D87C84">
            <w:pPr>
              <w:numPr>
                <w:ilvl w:val="0"/>
                <w:numId w:val="1"/>
              </w:numPr>
              <w:spacing w:before="120" w:after="120" w:line="240" w:lineRule="auto"/>
              <w:ind w:right="709"/>
              <w:jc w:val="both"/>
              <w:rPr>
                <w:rFonts w:ascii="Calibri" w:eastAsia="Times New Roman" w:hAnsi="Calibri" w:cs="Tahoma"/>
                <w:sz w:val="20"/>
                <w:szCs w:val="20"/>
              </w:rPr>
            </w:pPr>
            <w:r>
              <w:rPr>
                <w:rFonts w:ascii="Calibri" w:eastAsia="Times New Roman" w:hAnsi="Calibri" w:cs="Tahoma"/>
                <w:sz w:val="20"/>
                <w:szCs w:val="20"/>
              </w:rPr>
              <w:t>La construction du réservoir.</w:t>
            </w:r>
          </w:p>
        </w:tc>
      </w:tr>
    </w:tbl>
    <w:p w:rsidR="00584A8F" w:rsidRPr="00584A8F" w:rsidRDefault="00584A8F" w:rsidP="00584A8F">
      <w:pPr>
        <w:spacing w:before="60" w:after="60" w:line="240" w:lineRule="auto"/>
        <w:jc w:val="both"/>
        <w:rPr>
          <w:rFonts w:ascii="Calibri" w:eastAsia="Times New Roman" w:hAnsi="Calibri" w:cs="Tahoma"/>
          <w:sz w:val="20"/>
          <w:szCs w:val="20"/>
        </w:rPr>
      </w:pPr>
    </w:p>
    <w:p w:rsidR="00584A8F" w:rsidRPr="00584A8F" w:rsidRDefault="00584A8F" w:rsidP="00584A8F">
      <w:pPr>
        <w:keepNext/>
        <w:tabs>
          <w:tab w:val="num" w:pos="480"/>
        </w:tabs>
        <w:spacing w:before="60" w:after="60" w:line="240" w:lineRule="auto"/>
        <w:ind w:left="480" w:hanging="480"/>
        <w:jc w:val="both"/>
        <w:outlineLvl w:val="0"/>
        <w:rPr>
          <w:rFonts w:ascii="Calibri" w:eastAsia="Times New Roman" w:hAnsi="Calibri" w:cs="Arial"/>
          <w:b/>
          <w:sz w:val="24"/>
          <w:szCs w:val="24"/>
        </w:rPr>
      </w:pPr>
      <w:r w:rsidRPr="00584A8F">
        <w:rPr>
          <w:rFonts w:ascii="Calibri" w:eastAsia="Times New Roman" w:hAnsi="Calibri" w:cs="Arial"/>
          <w:b/>
          <w:sz w:val="24"/>
          <w:szCs w:val="24"/>
        </w:rPr>
        <w:t>Background of the event</w:t>
      </w:r>
    </w:p>
    <w:p w:rsidR="00584A8F" w:rsidRPr="00584A8F" w:rsidRDefault="00584A8F" w:rsidP="00584A8F">
      <w:pPr>
        <w:spacing w:after="0" w:line="240" w:lineRule="auto"/>
        <w:jc w:val="both"/>
        <w:rPr>
          <w:rFonts w:ascii="Calibri" w:eastAsia="Times New Roman" w:hAnsi="Calibri" w:cs="Arial"/>
          <w:sz w:val="20"/>
          <w:szCs w:val="20"/>
        </w:rPr>
      </w:pPr>
    </w:p>
    <w:p w:rsidR="00584A8F" w:rsidRDefault="00584A8F" w:rsidP="00584A8F">
      <w:pPr>
        <w:jc w:val="both"/>
      </w:pPr>
      <w:r>
        <w:t xml:space="preserve">Cette visite, qui a eu lieu au cours de la semaine 47 a eu pour but de visiter le projet d’extension du réseau d’alimentation en eau </w:t>
      </w:r>
      <w:r w:rsidR="00324E0D">
        <w:t xml:space="preserve">potable </w:t>
      </w:r>
      <w:r>
        <w:t xml:space="preserve">pour la commune de Musaga, situé en périphérie immédiate de Bujumbura. </w:t>
      </w:r>
    </w:p>
    <w:p w:rsidR="00584A8F" w:rsidRDefault="00584A8F" w:rsidP="00584A8F">
      <w:pPr>
        <w:jc w:val="both"/>
      </w:pPr>
      <w:r>
        <w:t>Ce quartier a été particulièrement touché par des délestages pendant la crise de 2015 et ce pour plusieurs raisons</w:t>
      </w:r>
      <w:r w:rsidR="00302951">
        <w:t xml:space="preserve"> dont les</w:t>
      </w:r>
      <w:r>
        <w:t xml:space="preserve"> principale</w:t>
      </w:r>
      <w:r w:rsidR="00302951">
        <w:t>s sont les</w:t>
      </w:r>
      <w:r>
        <w:t xml:space="preserve"> suivante</w:t>
      </w:r>
      <w:r w:rsidR="00302951">
        <w:t>s</w:t>
      </w:r>
      <w:r>
        <w:t> :</w:t>
      </w:r>
    </w:p>
    <w:p w:rsidR="00A46B1E" w:rsidRDefault="00302951" w:rsidP="00584A8F">
      <w:pPr>
        <w:jc w:val="both"/>
      </w:pPr>
      <w:r>
        <w:t xml:space="preserve">Le réseau tel qu’il existe aujourd’hui, </w:t>
      </w:r>
      <w:r w:rsidR="00584A8F">
        <w:t xml:space="preserve"> comporte un réservoir qui est</w:t>
      </w:r>
      <w:r>
        <w:t xml:space="preserve"> situé trop bas pour permettre </w:t>
      </w:r>
      <w:r w:rsidR="00584A8F">
        <w:t xml:space="preserve"> par gravité, d’approvisionner la population du quartier de Musaga. Ce quartier est donc sensé être desservi grâce à l’utilisation de  pompes qui nécessitent en plus, l’ouverte et la fermeture manuelle de vannes qui pendant la crise, n’ont pas été actionnées de façon à privilégier l’approvisionnement d’autres secteurs de la ville. </w:t>
      </w:r>
    </w:p>
    <w:p w:rsidR="00584A8F" w:rsidRDefault="00584A8F" w:rsidP="00584A8F">
      <w:pPr>
        <w:jc w:val="both"/>
      </w:pPr>
      <w:r>
        <w:t xml:space="preserve">De plus, certaine vannes étaient situées dans des secteurs ou l’insécurité était forte et les agents de la REGIDESO n’ont pas pu physiquement accéder à ces installations. </w:t>
      </w:r>
      <w:r w:rsidR="00302951">
        <w:t xml:space="preserve">Pendant cette période, la population n’a pas eu d’autre choix que d’acheter de l’eau à des transporteurs qui </w:t>
      </w:r>
      <w:r w:rsidR="00206D10">
        <w:t>s’approvisionnaient</w:t>
      </w:r>
      <w:r w:rsidR="00302951">
        <w:t xml:space="preserve"> à des bornes fontaines situé</w:t>
      </w:r>
      <w:r w:rsidR="00A46B1E">
        <w:t>es</w:t>
      </w:r>
      <w:r w:rsidR="00302951">
        <w:t xml:space="preserve"> en contre bas des </w:t>
      </w:r>
      <w:r w:rsidR="00206D10">
        <w:t>collines</w:t>
      </w:r>
      <w:r w:rsidR="00302951">
        <w:t xml:space="preserve">. </w:t>
      </w:r>
      <w:r w:rsidR="00206D10">
        <w:t xml:space="preserve">De ce fait, le prix de l’eau est </w:t>
      </w:r>
      <w:r w:rsidR="00D7388B">
        <w:t>devenu</w:t>
      </w:r>
      <w:r w:rsidR="00206D10">
        <w:t xml:space="preserve"> prohibitif pour la majorité des habitants et même en payant le prix fort, l’eau n’a pas toujours pu être </w:t>
      </w:r>
      <w:r w:rsidR="00D7388B">
        <w:t>acheminée</w:t>
      </w:r>
      <w:r w:rsidR="00206D10">
        <w:t xml:space="preserve"> à cause d’une situation sécuritaire particulièrement dégradée.</w:t>
      </w:r>
    </w:p>
    <w:p w:rsidR="00584A8F" w:rsidRDefault="00584A8F" w:rsidP="00584A8F">
      <w:pPr>
        <w:jc w:val="both"/>
      </w:pPr>
      <w:r>
        <w:lastRenderedPageBreak/>
        <w:t>Afin de garantir un accès à l’eau dans ce quartier considéré</w:t>
      </w:r>
      <w:r w:rsidRPr="00E63172">
        <w:t xml:space="preserve"> </w:t>
      </w:r>
      <w:r>
        <w:t>par les autorités comme contestataire et par conséquents non prioritaire, le projet a consisté en ce qui suit :</w:t>
      </w:r>
    </w:p>
    <w:p w:rsidR="00036B23" w:rsidRDefault="00036B23" w:rsidP="00584A8F">
      <w:pPr>
        <w:jc w:val="both"/>
      </w:pPr>
      <w:r>
        <w:t>-</w:t>
      </w:r>
      <w:r w:rsidR="00584A8F">
        <w:t xml:space="preserve">La réalisation de </w:t>
      </w:r>
      <w:r w:rsidR="009D754B">
        <w:t>17 nouveaux captages connectés à 14</w:t>
      </w:r>
      <w:r w:rsidR="00584A8F">
        <w:t xml:space="preserve"> captages</w:t>
      </w:r>
      <w:r w:rsidR="009D754B">
        <w:t xml:space="preserve"> existants (mais non </w:t>
      </w:r>
      <w:r>
        <w:t>reliés</w:t>
      </w:r>
      <w:r w:rsidR="009D754B">
        <w:t xml:space="preserve"> à l’</w:t>
      </w:r>
      <w:r>
        <w:t xml:space="preserve">adduction), qui se sont ajouté à 13 captages déjà reliés </w:t>
      </w:r>
      <w:r w:rsidR="00D7388B">
        <w:t>à</w:t>
      </w:r>
      <w:r>
        <w:t xml:space="preserve"> la conduite d’adduction.</w:t>
      </w:r>
    </w:p>
    <w:p w:rsidR="00036B23" w:rsidRDefault="00036B23" w:rsidP="00584A8F">
      <w:pPr>
        <w:jc w:val="both"/>
      </w:pPr>
      <w:r>
        <w:t>-L</w:t>
      </w:r>
      <w:r w:rsidR="00655167">
        <w:t xml:space="preserve">a réparation/protection </w:t>
      </w:r>
      <w:r w:rsidR="00584A8F">
        <w:t>de la conduite primaire</w:t>
      </w:r>
      <w:r>
        <w:t>.</w:t>
      </w:r>
    </w:p>
    <w:p w:rsidR="00036B23" w:rsidRDefault="00036B23" w:rsidP="00584A8F">
      <w:pPr>
        <w:jc w:val="both"/>
      </w:pPr>
      <w:r>
        <w:t>-L</w:t>
      </w:r>
      <w:r w:rsidR="00584A8F">
        <w:t>a construction d’un réservoir surélevé de 150m3,</w:t>
      </w:r>
      <w:r w:rsidR="00584A8F" w:rsidRPr="00CD2120">
        <w:t xml:space="preserve"> </w:t>
      </w:r>
      <w:r w:rsidR="00584A8F">
        <w:t xml:space="preserve">circulaire en </w:t>
      </w:r>
      <w:r>
        <w:t>acier.</w:t>
      </w:r>
    </w:p>
    <w:p w:rsidR="00584A8F" w:rsidRDefault="00036B23" w:rsidP="00584A8F">
      <w:pPr>
        <w:jc w:val="both"/>
      </w:pPr>
      <w:r>
        <w:t>-L</w:t>
      </w:r>
      <w:r w:rsidR="00584A8F">
        <w:t>a construction de bornes fontaines.</w:t>
      </w:r>
    </w:p>
    <w:p w:rsidR="00584A8F" w:rsidRPr="00584A8F" w:rsidRDefault="00584A8F" w:rsidP="00584A8F">
      <w:pPr>
        <w:spacing w:after="0" w:line="240" w:lineRule="auto"/>
        <w:jc w:val="both"/>
        <w:rPr>
          <w:rFonts w:ascii="Calibri" w:eastAsia="Times New Roman" w:hAnsi="Calibri" w:cs="Arial"/>
          <w:sz w:val="20"/>
          <w:szCs w:val="20"/>
        </w:rPr>
      </w:pPr>
    </w:p>
    <w:p w:rsidR="00584A8F" w:rsidRPr="00584A8F" w:rsidRDefault="00584A8F" w:rsidP="00584A8F">
      <w:pPr>
        <w:spacing w:after="0" w:line="240" w:lineRule="auto"/>
        <w:rPr>
          <w:rFonts w:ascii="Calibri" w:eastAsia="Times New Roman" w:hAnsi="Calibri" w:cs="Arial"/>
          <w:sz w:val="20"/>
          <w:szCs w:val="20"/>
        </w:rPr>
      </w:pPr>
    </w:p>
    <w:p w:rsidR="00584A8F" w:rsidRPr="00584A8F" w:rsidRDefault="00584A8F" w:rsidP="00584A8F">
      <w:pPr>
        <w:keepNext/>
        <w:tabs>
          <w:tab w:val="num" w:pos="480"/>
        </w:tabs>
        <w:spacing w:before="60" w:after="60" w:line="240" w:lineRule="auto"/>
        <w:ind w:left="480" w:hanging="480"/>
        <w:jc w:val="both"/>
        <w:outlineLvl w:val="0"/>
        <w:rPr>
          <w:rFonts w:ascii="Calibri" w:eastAsia="Times New Roman" w:hAnsi="Calibri" w:cs="Arial"/>
          <w:b/>
          <w:sz w:val="24"/>
          <w:szCs w:val="24"/>
          <w:lang w:val="en-US"/>
        </w:rPr>
      </w:pPr>
      <w:r w:rsidRPr="00584A8F">
        <w:rPr>
          <w:rFonts w:ascii="Calibri" w:eastAsia="Times New Roman" w:hAnsi="Calibri" w:cs="Arial"/>
          <w:b/>
          <w:sz w:val="24"/>
          <w:szCs w:val="24"/>
          <w:lang w:val="en-US"/>
        </w:rPr>
        <w:t xml:space="preserve">Issues </w:t>
      </w:r>
      <w:r w:rsidRPr="00584A8F">
        <w:rPr>
          <w:rFonts w:ascii="Calibri" w:eastAsia="Times New Roman" w:hAnsi="Calibri" w:cs="Arial"/>
          <w:b/>
          <w:sz w:val="24"/>
          <w:szCs w:val="24"/>
          <w:lang w:val="en-GB"/>
        </w:rPr>
        <w:t>discussed</w:t>
      </w:r>
      <w:r w:rsidRPr="00584A8F">
        <w:rPr>
          <w:rFonts w:ascii="Calibri" w:eastAsia="Times New Roman" w:hAnsi="Calibri" w:cs="Arial"/>
          <w:b/>
          <w:sz w:val="24"/>
          <w:szCs w:val="24"/>
          <w:lang w:val="en-US"/>
        </w:rPr>
        <w:t xml:space="preserve"> and outcome /main conclusions of the event</w:t>
      </w:r>
    </w:p>
    <w:p w:rsidR="00324E0D" w:rsidRPr="00CC4A51" w:rsidRDefault="00324E0D" w:rsidP="009168D1">
      <w:pPr>
        <w:keepNext/>
        <w:numPr>
          <w:ilvl w:val="1"/>
          <w:numId w:val="0"/>
        </w:numPr>
        <w:tabs>
          <w:tab w:val="num" w:pos="1080"/>
        </w:tabs>
        <w:spacing w:after="0" w:line="240" w:lineRule="auto"/>
        <w:jc w:val="both"/>
        <w:outlineLvl w:val="1"/>
        <w:rPr>
          <w:rFonts w:ascii="Calibri" w:eastAsia="Times New Roman" w:hAnsi="Calibri" w:cs="Times New Roman"/>
          <w:b/>
          <w:sz w:val="24"/>
          <w:szCs w:val="20"/>
          <w:lang w:val="en-US"/>
        </w:rPr>
      </w:pPr>
    </w:p>
    <w:p w:rsidR="00324E0D" w:rsidRPr="007E3EFA" w:rsidRDefault="00324E0D" w:rsidP="00324E0D">
      <w:pPr>
        <w:jc w:val="both"/>
        <w:rPr>
          <w:u w:val="single"/>
        </w:rPr>
      </w:pPr>
      <w:r w:rsidRPr="007E3EFA">
        <w:rPr>
          <w:u w:val="single"/>
        </w:rPr>
        <w:t>Captage</w:t>
      </w:r>
      <w:r>
        <w:rPr>
          <w:u w:val="single"/>
        </w:rPr>
        <w:t>s</w:t>
      </w:r>
      <w:r w:rsidRPr="007E3EFA">
        <w:rPr>
          <w:u w:val="single"/>
        </w:rPr>
        <w:t xml:space="preserve"> de sources :</w:t>
      </w:r>
    </w:p>
    <w:p w:rsidR="00324E0D" w:rsidRDefault="00324E0D" w:rsidP="00324E0D">
      <w:pPr>
        <w:jc w:val="both"/>
      </w:pPr>
      <w:r>
        <w:t>Les ouvrages de captage et les chambres collectrices ont été bien réalisés. Des bornes fontaines et des aménagements de sources ont également été construites afin que le projet bénéficie également aux habitants vivant</w:t>
      </w:r>
      <w:r w:rsidR="005B0424">
        <w:t>s</w:t>
      </w:r>
      <w:r>
        <w:t xml:space="preserve"> dans des zones </w:t>
      </w:r>
      <w:r w:rsidR="00655167">
        <w:t xml:space="preserve">rurales </w:t>
      </w:r>
      <w:r>
        <w:t xml:space="preserve">ou les travaux ont été réalisés. </w:t>
      </w:r>
    </w:p>
    <w:p w:rsidR="008F3AB3" w:rsidRDefault="00BD0DCD" w:rsidP="00324E0D">
      <w:pPr>
        <w:jc w:val="both"/>
      </w:pPr>
      <w:r>
        <w:t>Photo N°1</w:t>
      </w:r>
    </w:p>
    <w:p w:rsidR="008F3AB3" w:rsidRDefault="008F3AB3" w:rsidP="00324E0D">
      <w:pPr>
        <w:jc w:val="both"/>
      </w:pPr>
      <w:r>
        <w:rPr>
          <w:noProof/>
          <w:lang w:eastAsia="fr-FR"/>
        </w:rPr>
        <w:drawing>
          <wp:inline distT="0" distB="0" distL="0" distR="0" wp14:anchorId="31A5C3BB" wp14:editId="3F52A624">
            <wp:extent cx="5848350" cy="4200524"/>
            <wp:effectExtent l="0" t="0" r="0" b="0"/>
            <wp:docPr id="3" name="Picture 3" descr="E:\Photos de l'appareil photo\146___11\IMG_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 de l'appareil photo\146___11\IMG_5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6417" cy="4199136"/>
                    </a:xfrm>
                    <a:prstGeom prst="rect">
                      <a:avLst/>
                    </a:prstGeom>
                    <a:noFill/>
                    <a:ln>
                      <a:noFill/>
                    </a:ln>
                  </pic:spPr>
                </pic:pic>
              </a:graphicData>
            </a:graphic>
          </wp:inline>
        </w:drawing>
      </w:r>
    </w:p>
    <w:p w:rsidR="00655167" w:rsidRDefault="00655167" w:rsidP="00324E0D">
      <w:pPr>
        <w:jc w:val="both"/>
      </w:pPr>
    </w:p>
    <w:p w:rsidR="00655167" w:rsidRDefault="00655167" w:rsidP="00324E0D">
      <w:pPr>
        <w:jc w:val="both"/>
      </w:pPr>
    </w:p>
    <w:p w:rsidR="00BD0DCD" w:rsidRDefault="00BD0DCD" w:rsidP="00324E0D">
      <w:pPr>
        <w:jc w:val="both"/>
      </w:pPr>
      <w:r>
        <w:lastRenderedPageBreak/>
        <w:t>Photo N°2</w:t>
      </w:r>
    </w:p>
    <w:p w:rsidR="008F3AB3" w:rsidRDefault="008F3AB3" w:rsidP="00324E0D">
      <w:pPr>
        <w:jc w:val="both"/>
      </w:pPr>
      <w:r>
        <w:rPr>
          <w:noProof/>
          <w:lang w:eastAsia="fr-FR"/>
        </w:rPr>
        <w:drawing>
          <wp:inline distT="0" distB="0" distL="0" distR="0" wp14:anchorId="60BC784F" wp14:editId="3960689C">
            <wp:extent cx="5762625" cy="2962275"/>
            <wp:effectExtent l="0" t="0" r="0" b="9525"/>
            <wp:docPr id="2" name="Picture 2" descr="E:\Photos de l'appareil photo\146___11\IMG_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 de l'appareil photo\146___11\IMG_5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61296"/>
                    </a:xfrm>
                    <a:prstGeom prst="rect">
                      <a:avLst/>
                    </a:prstGeom>
                    <a:noFill/>
                    <a:ln>
                      <a:noFill/>
                    </a:ln>
                  </pic:spPr>
                </pic:pic>
              </a:graphicData>
            </a:graphic>
          </wp:inline>
        </w:drawing>
      </w:r>
    </w:p>
    <w:p w:rsidR="009168D1" w:rsidRDefault="009168D1" w:rsidP="00324E0D">
      <w:pPr>
        <w:jc w:val="both"/>
      </w:pPr>
    </w:p>
    <w:p w:rsidR="00324E0D" w:rsidRPr="007E3EFA" w:rsidRDefault="00324E0D" w:rsidP="00324E0D">
      <w:pPr>
        <w:jc w:val="both"/>
        <w:rPr>
          <w:u w:val="single"/>
        </w:rPr>
      </w:pPr>
      <w:r w:rsidRPr="007E3EFA">
        <w:rPr>
          <w:u w:val="single"/>
        </w:rPr>
        <w:t>Réhabilitation de la conduite </w:t>
      </w:r>
      <w:r>
        <w:rPr>
          <w:u w:val="single"/>
        </w:rPr>
        <w:t xml:space="preserve">primaire </w:t>
      </w:r>
      <w:r w:rsidRPr="007E3EFA">
        <w:rPr>
          <w:u w:val="single"/>
        </w:rPr>
        <w:t>:</w:t>
      </w:r>
    </w:p>
    <w:p w:rsidR="008F3AB3" w:rsidRDefault="00324E0D" w:rsidP="00324E0D">
      <w:pPr>
        <w:jc w:val="both"/>
      </w:pPr>
      <w:r>
        <w:t>Elle est principalement constitué de tuyau PVC de 150mm et n’a pas nécessité d’être changé pour pouvoir absorber le surplus de production engendré par les nouveaux captages. Seuls les passages de ravines ont nécessité la réhabilitatio</w:t>
      </w:r>
      <w:r w:rsidR="00655167">
        <w:t xml:space="preserve">n des piliers qui supportent </w:t>
      </w:r>
      <w:r>
        <w:t xml:space="preserve">la conduite aux extrémités et parfois au milieu (pour les ravines les plus larges). La construction de gabions (système de soutènement et de stabilisation de l’érosion dans les ravines), a été réalisée dans les endroits les plus exposé. </w:t>
      </w:r>
      <w:r w:rsidR="008F3AB3">
        <w:t>L’ensemble a été bien réalisé.</w:t>
      </w:r>
    </w:p>
    <w:p w:rsidR="0035792D" w:rsidRDefault="00BD0DCD" w:rsidP="00324E0D">
      <w:pPr>
        <w:jc w:val="both"/>
      </w:pPr>
      <w:r>
        <w:t>Photo N°3</w:t>
      </w:r>
    </w:p>
    <w:p w:rsidR="009168D1" w:rsidRDefault="008F3AB3" w:rsidP="00324E0D">
      <w:pPr>
        <w:jc w:val="both"/>
      </w:pPr>
      <w:r>
        <w:rPr>
          <w:noProof/>
          <w:lang w:eastAsia="fr-FR"/>
        </w:rPr>
        <w:drawing>
          <wp:inline distT="0" distB="0" distL="0" distR="0" wp14:anchorId="4299F074" wp14:editId="26AA6C6E">
            <wp:extent cx="5514975" cy="3434417"/>
            <wp:effectExtent l="0" t="0" r="0" b="0"/>
            <wp:docPr id="4" name="Picture 4" descr="E:\Photos de l'appareil photo\146___11\IMG_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otos de l'appareil photo\146___11\IMG_5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3151" cy="3433281"/>
                    </a:xfrm>
                    <a:prstGeom prst="rect">
                      <a:avLst/>
                    </a:prstGeom>
                    <a:noFill/>
                    <a:ln>
                      <a:noFill/>
                    </a:ln>
                  </pic:spPr>
                </pic:pic>
              </a:graphicData>
            </a:graphic>
          </wp:inline>
        </w:drawing>
      </w:r>
    </w:p>
    <w:p w:rsidR="00324E0D" w:rsidRPr="007E3EFA" w:rsidRDefault="00324E0D" w:rsidP="00324E0D">
      <w:pPr>
        <w:jc w:val="both"/>
        <w:rPr>
          <w:u w:val="single"/>
        </w:rPr>
      </w:pPr>
      <w:r w:rsidRPr="007E3EFA">
        <w:rPr>
          <w:u w:val="single"/>
        </w:rPr>
        <w:lastRenderedPageBreak/>
        <w:t>Construction du réservoir :</w:t>
      </w:r>
    </w:p>
    <w:p w:rsidR="00264915" w:rsidRDefault="00324E0D" w:rsidP="00264915">
      <w:pPr>
        <w:jc w:val="both"/>
      </w:pPr>
      <w:r>
        <w:t xml:space="preserve">Construit au sommet du quartier de Kamesa, à 1053m d’altitude, il permet d’approvisionner par gravité tout le secteur de Musaga. </w:t>
      </w:r>
      <w:r w:rsidR="00264915">
        <w:t>Il remplit son rôle qui est de pouvoir absorber les pics de demande quand cette dernière est supérieur à la production, entre 6h00 et 10h00, puis entre 16h00 et 18h00. Le trop plein est envoyé dans le</w:t>
      </w:r>
      <w:r w:rsidR="00655167">
        <w:t xml:space="preserve"> réseau qui alimente le reste de</w:t>
      </w:r>
      <w:r w:rsidR="00264915">
        <w:t xml:space="preserve"> la ville de Bujumbura.</w:t>
      </w:r>
    </w:p>
    <w:p w:rsidR="00036B23" w:rsidRDefault="00324E0D" w:rsidP="00324E0D">
      <w:pPr>
        <w:jc w:val="both"/>
      </w:pPr>
      <w:r>
        <w:t>La construction métallique est de très bonne facture</w:t>
      </w:r>
      <w:r w:rsidR="00264915">
        <w:t xml:space="preserve">. Tous les profilés métalliques utilisés (HEB, IPN, </w:t>
      </w:r>
      <w:r w:rsidR="00655167">
        <w:t>c</w:t>
      </w:r>
      <w:r w:rsidR="00264915">
        <w:t xml:space="preserve">ornières, fer plats, tôles, </w:t>
      </w:r>
      <w:proofErr w:type="spellStart"/>
      <w:r w:rsidR="00264915">
        <w:t>ect</w:t>
      </w:r>
      <w:proofErr w:type="spellEnd"/>
      <w:r w:rsidR="00264915">
        <w:t>.) sont bien dimensionnés et les soudures sont également très bien réalisées.</w:t>
      </w:r>
      <w:r>
        <w:t xml:space="preserve"> </w:t>
      </w:r>
      <w:r w:rsidR="00264915">
        <w:t xml:space="preserve">La salle de chloration attenante est également très bien </w:t>
      </w:r>
      <w:r w:rsidR="00BD0DCD">
        <w:t>construite</w:t>
      </w:r>
      <w:r w:rsidR="00264915">
        <w:t>.</w:t>
      </w:r>
    </w:p>
    <w:p w:rsidR="00264915" w:rsidRDefault="00264915" w:rsidP="00324E0D">
      <w:pPr>
        <w:jc w:val="both"/>
      </w:pPr>
    </w:p>
    <w:p w:rsidR="00BD0DCD" w:rsidRDefault="00BD0DCD" w:rsidP="00324E0D">
      <w:pPr>
        <w:jc w:val="both"/>
      </w:pPr>
      <w:r>
        <w:t>Photo N°4</w:t>
      </w:r>
    </w:p>
    <w:p w:rsidR="0035792D" w:rsidRDefault="0035792D" w:rsidP="00324E0D">
      <w:pPr>
        <w:jc w:val="both"/>
      </w:pPr>
      <w:r>
        <w:rPr>
          <w:noProof/>
          <w:lang w:eastAsia="fr-FR"/>
        </w:rPr>
        <w:drawing>
          <wp:inline distT="0" distB="0" distL="0" distR="0" wp14:anchorId="730E8D14" wp14:editId="10471F4C">
            <wp:extent cx="5956299" cy="4467225"/>
            <wp:effectExtent l="0" t="0" r="6985" b="0"/>
            <wp:docPr id="5" name="Picture 5" descr="E:\Photos de l'appareil photo\146___11\IMG_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otos de l'appareil photo\146___11\IMG_5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9716" cy="4469788"/>
                    </a:xfrm>
                    <a:prstGeom prst="rect">
                      <a:avLst/>
                    </a:prstGeom>
                    <a:noFill/>
                    <a:ln>
                      <a:noFill/>
                    </a:ln>
                  </pic:spPr>
                </pic:pic>
              </a:graphicData>
            </a:graphic>
          </wp:inline>
        </w:drawing>
      </w:r>
    </w:p>
    <w:p w:rsidR="00036B23" w:rsidRDefault="00036B23" w:rsidP="00324E0D">
      <w:pPr>
        <w:jc w:val="both"/>
      </w:pPr>
    </w:p>
    <w:p w:rsidR="00BD0DCD" w:rsidRDefault="00BD0DCD" w:rsidP="00324E0D">
      <w:pPr>
        <w:jc w:val="both"/>
      </w:pPr>
    </w:p>
    <w:p w:rsidR="00036B23" w:rsidRPr="007E3EFA" w:rsidRDefault="00036B23" w:rsidP="00036B23">
      <w:pPr>
        <w:jc w:val="both"/>
        <w:rPr>
          <w:u w:val="single"/>
        </w:rPr>
      </w:pPr>
      <w:r>
        <w:rPr>
          <w:u w:val="single"/>
        </w:rPr>
        <w:t>Construction de bornes fontaines</w:t>
      </w:r>
      <w:r w:rsidRPr="007E3EFA">
        <w:rPr>
          <w:u w:val="single"/>
        </w:rPr>
        <w:t> :</w:t>
      </w:r>
    </w:p>
    <w:p w:rsidR="00923381" w:rsidRDefault="00036B23" w:rsidP="00324E0D">
      <w:pPr>
        <w:jc w:val="both"/>
      </w:pPr>
      <w:r>
        <w:t>Construites sur le modèle de celles déjà existantes</w:t>
      </w:r>
      <w:r w:rsidR="00D87C84">
        <w:t xml:space="preserve"> (quatre robinets)</w:t>
      </w:r>
      <w:r>
        <w:t xml:space="preserve">, elles ont été </w:t>
      </w:r>
      <w:r w:rsidR="00B93020">
        <w:t>réalisées</w:t>
      </w:r>
      <w:r>
        <w:t xml:space="preserve"> </w:t>
      </w:r>
      <w:r w:rsidR="00BD0DCD">
        <w:t xml:space="preserve">en partie </w:t>
      </w:r>
      <w:r>
        <w:t xml:space="preserve">par la REGIDESO </w:t>
      </w:r>
      <w:r w:rsidR="00BD0DCD">
        <w:t>(Photo N°</w:t>
      </w:r>
      <w:r w:rsidR="00627805">
        <w:t xml:space="preserve"> 5</w:t>
      </w:r>
      <w:r w:rsidR="00BD0DCD">
        <w:t xml:space="preserve">), </w:t>
      </w:r>
      <w:r>
        <w:t xml:space="preserve">et sont très clairement de moins </w:t>
      </w:r>
      <w:r w:rsidR="00B93020">
        <w:t>bonnes</w:t>
      </w:r>
      <w:r>
        <w:t xml:space="preserve"> factures que </w:t>
      </w:r>
      <w:r w:rsidR="00B93020">
        <w:t>les réalisations effectuées</w:t>
      </w:r>
      <w:r>
        <w:t xml:space="preserve"> sous la supervision du CICR</w:t>
      </w:r>
      <w:r w:rsidR="00433905">
        <w:t xml:space="preserve"> (</w:t>
      </w:r>
      <w:r w:rsidR="00BD0DCD">
        <w:t>Photo N°</w:t>
      </w:r>
      <w:r w:rsidR="00627805">
        <w:t xml:space="preserve"> 6</w:t>
      </w:r>
      <w:r w:rsidR="00433905">
        <w:t>)</w:t>
      </w:r>
      <w:r>
        <w:t xml:space="preserve">. </w:t>
      </w:r>
      <w:r w:rsidR="00B93020">
        <w:t xml:space="preserve"> </w:t>
      </w:r>
      <w:r w:rsidR="00627805">
        <w:t>Comme on peut le voir sur la photo N° 5</w:t>
      </w:r>
      <w:r w:rsidR="00B93020">
        <w:t xml:space="preserve">, les trappes métalliques qui permettent l’accès à la vanne d’arrêt </w:t>
      </w:r>
      <w:r w:rsidR="00433905">
        <w:t xml:space="preserve">et au compteur </w:t>
      </w:r>
      <w:r w:rsidR="00B93020">
        <w:t>ont été mal scellé</w:t>
      </w:r>
      <w:r w:rsidR="00627805">
        <w:t>es</w:t>
      </w:r>
      <w:r w:rsidR="00B93020">
        <w:t xml:space="preserve"> dans le ciment et certaines sont déjà désolidarisées de la maçonnerie</w:t>
      </w:r>
      <w:r w:rsidR="00627805">
        <w:t xml:space="preserve">.  </w:t>
      </w:r>
    </w:p>
    <w:p w:rsidR="00923381" w:rsidRDefault="00627805" w:rsidP="00324E0D">
      <w:pPr>
        <w:jc w:val="both"/>
      </w:pPr>
      <w:r>
        <w:lastRenderedPageBreak/>
        <w:t>Par contre, quelle que soit les constructions</w:t>
      </w:r>
      <w:r w:rsidR="00535B8A">
        <w:t>, on constate</w:t>
      </w:r>
      <w:r>
        <w:t xml:space="preserve"> que les puits perdu</w:t>
      </w:r>
      <w:r w:rsidR="00535B8A">
        <w:t>s</w:t>
      </w:r>
      <w:r>
        <w:t xml:space="preserve"> ne remplissent pas leur rôle d’absorber les eaux perdue</w:t>
      </w:r>
      <w:r w:rsidR="00535B8A">
        <w:t>,</w:t>
      </w:r>
      <w:r>
        <w:t xml:space="preserve"> sont systématiquement plein d’eau plus ou moins croupie</w:t>
      </w:r>
      <w:r w:rsidR="00923381">
        <w:t xml:space="preserve"> et cela </w:t>
      </w:r>
      <w:r w:rsidR="00D87C84">
        <w:t>quel que</w:t>
      </w:r>
      <w:r w:rsidR="00923381">
        <w:t xml:space="preserve"> soit la profonde</w:t>
      </w:r>
      <w:r w:rsidR="00535B8A">
        <w:t>ur</w:t>
      </w:r>
      <w:r w:rsidR="00923381">
        <w:t xml:space="preserve"> et les matériaux utilisés</w:t>
      </w:r>
      <w:r>
        <w:t xml:space="preserve">. </w:t>
      </w:r>
    </w:p>
    <w:p w:rsidR="00923381" w:rsidRDefault="00627805" w:rsidP="00324E0D">
      <w:pPr>
        <w:jc w:val="both"/>
      </w:pPr>
      <w:r>
        <w:t xml:space="preserve">Ce constat est le même partout (pas seulement au Burundi), que ce soit au niveau des bornes fontaines, des forages ou des puits. </w:t>
      </w:r>
      <w:r w:rsidR="00923381">
        <w:t>Malgré cela, tous nos partenaires continuent à les construire. Pour ma part, lors de mes visites de terrain je continue à leur dire que cela ne sert à rien</w:t>
      </w:r>
      <w:r w:rsidR="00535B8A">
        <w:t xml:space="preserve"> (tous </w:t>
      </w:r>
      <w:r w:rsidR="00923381">
        <w:t xml:space="preserve">partage mon point de vue), que ça ne fonctionne nulle part et qu’il est préférable de favoriser un écoulement libre au grès de la topographie de l’endroit. De cette façon, l’eau ruissèle et fini en partie par s’évaporer et en partie par s’infiltrer. </w:t>
      </w:r>
    </w:p>
    <w:p w:rsidR="00923381" w:rsidRDefault="00923381" w:rsidP="00324E0D">
      <w:pPr>
        <w:jc w:val="both"/>
      </w:pPr>
    </w:p>
    <w:p w:rsidR="0035792D" w:rsidRDefault="00536F93" w:rsidP="00324E0D">
      <w:pPr>
        <w:jc w:val="both"/>
      </w:pPr>
      <w:r>
        <w:t>Photo N° 5</w:t>
      </w:r>
    </w:p>
    <w:p w:rsidR="0035792D" w:rsidRDefault="0035792D" w:rsidP="00324E0D">
      <w:pPr>
        <w:jc w:val="both"/>
      </w:pPr>
      <w:r>
        <w:rPr>
          <w:noProof/>
          <w:lang w:eastAsia="fr-FR"/>
        </w:rPr>
        <w:drawing>
          <wp:inline distT="0" distB="0" distL="0" distR="0" wp14:anchorId="138850CC" wp14:editId="6F905FB3">
            <wp:extent cx="4857750" cy="5749421"/>
            <wp:effectExtent l="0" t="0" r="0" b="3810"/>
            <wp:docPr id="7" name="Picture 7" descr="E:\Photos de l'appareil photo\146___11\IMG_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otos de l'appareil photo\146___11\IMG_50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4130" cy="5756972"/>
                    </a:xfrm>
                    <a:prstGeom prst="rect">
                      <a:avLst/>
                    </a:prstGeom>
                    <a:noFill/>
                    <a:ln>
                      <a:noFill/>
                    </a:ln>
                  </pic:spPr>
                </pic:pic>
              </a:graphicData>
            </a:graphic>
          </wp:inline>
        </w:drawing>
      </w:r>
    </w:p>
    <w:p w:rsidR="00536F93" w:rsidRDefault="00536F93" w:rsidP="00324E0D">
      <w:pPr>
        <w:jc w:val="both"/>
      </w:pPr>
      <w:r>
        <w:t>Photo N°6</w:t>
      </w:r>
    </w:p>
    <w:p w:rsidR="0035792D" w:rsidRDefault="00BD0DCD" w:rsidP="00324E0D">
      <w:pPr>
        <w:jc w:val="both"/>
      </w:pPr>
      <w:r>
        <w:rPr>
          <w:noProof/>
          <w:lang w:eastAsia="fr-FR"/>
        </w:rPr>
        <w:lastRenderedPageBreak/>
        <w:drawing>
          <wp:inline distT="0" distB="0" distL="0" distR="0" wp14:anchorId="10B43BB5" wp14:editId="6D6354F6">
            <wp:extent cx="5600700" cy="4200526"/>
            <wp:effectExtent l="0" t="0" r="0" b="9525"/>
            <wp:docPr id="8" name="Picture 8" descr="E:\Photos de l'appareil photo\146___11\IMG_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otos de l'appareil photo\146___11\IMG_5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3913" cy="4202936"/>
                    </a:xfrm>
                    <a:prstGeom prst="rect">
                      <a:avLst/>
                    </a:prstGeom>
                    <a:noFill/>
                    <a:ln>
                      <a:noFill/>
                    </a:ln>
                  </pic:spPr>
                </pic:pic>
              </a:graphicData>
            </a:graphic>
          </wp:inline>
        </w:drawing>
      </w:r>
    </w:p>
    <w:p w:rsidR="0035792D" w:rsidRDefault="0035792D" w:rsidP="00324E0D">
      <w:pPr>
        <w:jc w:val="both"/>
      </w:pPr>
    </w:p>
    <w:p w:rsidR="00536F93" w:rsidRDefault="00536F93" w:rsidP="00324E0D">
      <w:pPr>
        <w:jc w:val="both"/>
      </w:pPr>
    </w:p>
    <w:p w:rsidR="00CC4A51" w:rsidRDefault="00324E0D" w:rsidP="00324E0D">
      <w:pPr>
        <w:jc w:val="both"/>
      </w:pPr>
      <w:r>
        <w:t>En conclusion, l’ensemble des réalisations sont de bonne facture et ont permis de rendre l’approvisionnement en eau du quartier de Musaga indépendant du reste du réseau et d’augmenter la production de façon significative, atteignant ainsi les objectifs prévus.</w:t>
      </w:r>
      <w:r w:rsidR="00E07D32">
        <w:t xml:space="preserve"> </w:t>
      </w:r>
      <w:r w:rsidR="00CC4A51">
        <w:t>Le débit avant les travaux était de 13l/s et est à présent de 20.2l/s.</w:t>
      </w:r>
      <w:bookmarkStart w:id="0" w:name="_GoBack"/>
      <w:bookmarkEnd w:id="0"/>
    </w:p>
    <w:p w:rsidR="00324E0D" w:rsidRDefault="00E07D32" w:rsidP="00324E0D">
      <w:pPr>
        <w:jc w:val="both"/>
      </w:pPr>
      <w:r>
        <w:t>Le surplus de production se déverse dans le réseau situé plus bas et augmente ainsi de façon sensible la quantité d’eau disponible dans l’ensemble du réseau ce qui est toujours  appréciable au vu de l’état de vétusté de ce dernier.</w:t>
      </w:r>
      <w:r w:rsidR="00D7388B">
        <w:t xml:space="preserve"> </w:t>
      </w:r>
    </w:p>
    <w:p w:rsidR="00584A8F" w:rsidRPr="00584A8F" w:rsidRDefault="00584A8F" w:rsidP="00584A8F">
      <w:pPr>
        <w:spacing w:after="0" w:line="240" w:lineRule="auto"/>
        <w:rPr>
          <w:rFonts w:ascii="Tahoma" w:eastAsia="Times New Roman" w:hAnsi="Tahoma" w:cs="Times New Roman"/>
          <w:sz w:val="20"/>
          <w:szCs w:val="20"/>
        </w:rPr>
      </w:pPr>
    </w:p>
    <w:p w:rsidR="00324E0D" w:rsidRDefault="00324E0D" w:rsidP="00584A8F">
      <w:pPr>
        <w:jc w:val="both"/>
        <w:rPr>
          <w:rFonts w:ascii="Calibri" w:eastAsia="Calibri" w:hAnsi="Calibri" w:cs="Times New Roman"/>
          <w:sz w:val="20"/>
          <w:szCs w:val="20"/>
        </w:rPr>
      </w:pPr>
    </w:p>
    <w:p w:rsidR="00324E0D" w:rsidRDefault="00324E0D" w:rsidP="00584A8F">
      <w:pPr>
        <w:jc w:val="both"/>
        <w:rPr>
          <w:rFonts w:ascii="Calibri" w:eastAsia="Calibri" w:hAnsi="Calibri" w:cs="Times New Roman"/>
          <w:sz w:val="20"/>
          <w:szCs w:val="20"/>
        </w:rPr>
      </w:pPr>
    </w:p>
    <w:sectPr w:rsidR="00324E0D" w:rsidSect="00BD0DCD">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42C5B"/>
    <w:multiLevelType w:val="hybridMultilevel"/>
    <w:tmpl w:val="5C78ED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616"/>
    <w:rsid w:val="000015F5"/>
    <w:rsid w:val="00036B23"/>
    <w:rsid w:val="0006750A"/>
    <w:rsid w:val="00093B84"/>
    <w:rsid w:val="001265CF"/>
    <w:rsid w:val="00173DA0"/>
    <w:rsid w:val="00206D10"/>
    <w:rsid w:val="00264915"/>
    <w:rsid w:val="002B450E"/>
    <w:rsid w:val="002D6BC0"/>
    <w:rsid w:val="00302951"/>
    <w:rsid w:val="0032405D"/>
    <w:rsid w:val="00324E0D"/>
    <w:rsid w:val="00350616"/>
    <w:rsid w:val="0035792D"/>
    <w:rsid w:val="003865ED"/>
    <w:rsid w:val="003F7991"/>
    <w:rsid w:val="00433905"/>
    <w:rsid w:val="00467D6C"/>
    <w:rsid w:val="00535B8A"/>
    <w:rsid w:val="00536F93"/>
    <w:rsid w:val="0055343C"/>
    <w:rsid w:val="00584A8F"/>
    <w:rsid w:val="0058777D"/>
    <w:rsid w:val="005B0424"/>
    <w:rsid w:val="005D2353"/>
    <w:rsid w:val="005E062B"/>
    <w:rsid w:val="00627805"/>
    <w:rsid w:val="00655167"/>
    <w:rsid w:val="007123BF"/>
    <w:rsid w:val="007E3EFA"/>
    <w:rsid w:val="00810099"/>
    <w:rsid w:val="00844D8A"/>
    <w:rsid w:val="008F3AB3"/>
    <w:rsid w:val="00900418"/>
    <w:rsid w:val="0090643B"/>
    <w:rsid w:val="009168D1"/>
    <w:rsid w:val="00923381"/>
    <w:rsid w:val="00943DC6"/>
    <w:rsid w:val="009C7A90"/>
    <w:rsid w:val="009D754B"/>
    <w:rsid w:val="00A46B1E"/>
    <w:rsid w:val="00AA55F6"/>
    <w:rsid w:val="00AC47C0"/>
    <w:rsid w:val="00AE0028"/>
    <w:rsid w:val="00B93020"/>
    <w:rsid w:val="00BD0DCD"/>
    <w:rsid w:val="00C27735"/>
    <w:rsid w:val="00CC4A51"/>
    <w:rsid w:val="00CD2120"/>
    <w:rsid w:val="00D7388B"/>
    <w:rsid w:val="00D87C84"/>
    <w:rsid w:val="00DD3CA7"/>
    <w:rsid w:val="00E07D32"/>
    <w:rsid w:val="00E63172"/>
    <w:rsid w:val="00EC08EF"/>
    <w:rsid w:val="00EF00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A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9B034-23ED-4788-B58E-6B5DBE2F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1317</TotalTime>
  <Pages>6</Pages>
  <Words>963</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BENAVENTE JOSE</dc:creator>
  <cp:lastModifiedBy>BENAVENTE JOSE</cp:lastModifiedBy>
  <cp:revision>19</cp:revision>
  <dcterms:created xsi:type="dcterms:W3CDTF">2018-01-09T08:59:00Z</dcterms:created>
  <dcterms:modified xsi:type="dcterms:W3CDTF">2018-02-07T13:33:00Z</dcterms:modified>
</cp:coreProperties>
</file>