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3" w:type="dxa"/>
        <w:tblLayout w:type="fixed"/>
        <w:tblCellMar>
          <w:left w:w="0" w:type="dxa"/>
          <w:right w:w="0" w:type="dxa"/>
        </w:tblCellMar>
        <w:tblLook w:val="0000" w:firstRow="0" w:lastRow="0" w:firstColumn="0" w:lastColumn="0" w:noHBand="0" w:noVBand="0"/>
      </w:tblPr>
      <w:tblGrid>
        <w:gridCol w:w="1705"/>
        <w:gridCol w:w="2264"/>
        <w:gridCol w:w="284"/>
        <w:gridCol w:w="1134"/>
        <w:gridCol w:w="145"/>
        <w:gridCol w:w="141"/>
        <w:gridCol w:w="2269"/>
        <w:gridCol w:w="1703"/>
      </w:tblGrid>
      <w:tr w:rsidR="009652D5" w:rsidRPr="00D3163B" w:rsidTr="009652D5">
        <w:tc>
          <w:tcPr>
            <w:tcW w:w="1701" w:type="dxa"/>
          </w:tcPr>
          <w:p w:rsidR="009652D5" w:rsidRPr="00D3163B" w:rsidRDefault="009652D5" w:rsidP="00FB5ED6">
            <w:pPr>
              <w:spacing w:line="240" w:lineRule="auto"/>
              <w:jc w:val="center"/>
              <w:rPr>
                <w:rFonts w:ascii="Arial" w:hAnsi="Arial" w:cs="Arial"/>
                <w:b/>
                <w:sz w:val="23"/>
                <w:szCs w:val="23"/>
              </w:rPr>
            </w:pPr>
          </w:p>
        </w:tc>
        <w:tc>
          <w:tcPr>
            <w:tcW w:w="6237" w:type="dxa"/>
            <w:gridSpan w:val="6"/>
            <w:tcBorders>
              <w:bottom w:val="single" w:sz="4" w:space="0" w:color="auto"/>
            </w:tcBorders>
          </w:tcPr>
          <w:p w:rsidR="009652D5" w:rsidRPr="00D3163B" w:rsidRDefault="009652D5" w:rsidP="00FB5ED6">
            <w:pPr>
              <w:pStyle w:val="EntLogo"/>
              <w:jc w:val="center"/>
              <w:rPr>
                <w:rFonts w:ascii="Arial" w:hAnsi="Arial" w:cs="Arial"/>
                <w:spacing w:val="40"/>
                <w:sz w:val="23"/>
                <w:szCs w:val="23"/>
              </w:rPr>
            </w:pPr>
            <w:r w:rsidRPr="00D3163B">
              <w:rPr>
                <w:rFonts w:ascii="Arial" w:hAnsi="Arial" w:cs="Arial"/>
                <w:spacing w:val="40"/>
                <w:sz w:val="23"/>
                <w:szCs w:val="23"/>
              </w:rPr>
              <w:t>ACP</w:t>
            </w:r>
            <w:r w:rsidRPr="00D3163B">
              <w:rPr>
                <w:rFonts w:ascii="Arial" w:hAnsi="Arial" w:cs="Arial"/>
                <w:b w:val="0"/>
                <w:spacing w:val="40"/>
                <w:sz w:val="23"/>
                <w:szCs w:val="23"/>
              </w:rPr>
              <w:t>-</w:t>
            </w:r>
            <w:r w:rsidRPr="00D3163B">
              <w:rPr>
                <w:rFonts w:ascii="Arial" w:hAnsi="Arial" w:cs="Arial"/>
                <w:spacing w:val="40"/>
                <w:sz w:val="23"/>
                <w:szCs w:val="23"/>
              </w:rPr>
              <w:t>EU COTONOU AGREEMENT</w:t>
            </w:r>
          </w:p>
        </w:tc>
        <w:tc>
          <w:tcPr>
            <w:tcW w:w="1702" w:type="dxa"/>
          </w:tcPr>
          <w:p w:rsidR="009652D5" w:rsidRPr="00D3163B" w:rsidRDefault="009652D5" w:rsidP="00FB5ED6">
            <w:pPr>
              <w:spacing w:line="240" w:lineRule="auto"/>
              <w:jc w:val="center"/>
              <w:rPr>
                <w:rFonts w:ascii="Arial" w:hAnsi="Arial" w:cs="Arial"/>
                <w:b/>
                <w:sz w:val="23"/>
                <w:szCs w:val="23"/>
              </w:rPr>
            </w:pPr>
          </w:p>
        </w:tc>
      </w:tr>
      <w:tr w:rsidR="009652D5" w:rsidRPr="00D3163B" w:rsidTr="009652D5">
        <w:trPr>
          <w:cantSplit/>
        </w:trPr>
        <w:tc>
          <w:tcPr>
            <w:tcW w:w="9640" w:type="dxa"/>
            <w:gridSpan w:val="8"/>
          </w:tcPr>
          <w:p w:rsidR="009652D5" w:rsidRPr="00D3163B" w:rsidRDefault="009652D5" w:rsidP="00FB5ED6">
            <w:pPr>
              <w:spacing w:line="240" w:lineRule="auto"/>
              <w:jc w:val="center"/>
              <w:rPr>
                <w:rFonts w:ascii="Arial" w:hAnsi="Arial" w:cs="Arial"/>
                <w:b/>
                <w:sz w:val="23"/>
                <w:szCs w:val="23"/>
              </w:rPr>
            </w:pPr>
          </w:p>
        </w:tc>
      </w:tr>
      <w:tr w:rsidR="009652D5" w:rsidRPr="00D3163B" w:rsidTr="009652D5">
        <w:tc>
          <w:tcPr>
            <w:tcW w:w="4253" w:type="dxa"/>
            <w:gridSpan w:val="3"/>
            <w:tcBorders>
              <w:bottom w:val="single" w:sz="4" w:space="0" w:color="auto"/>
            </w:tcBorders>
          </w:tcPr>
          <w:p w:rsidR="009652D5" w:rsidRPr="00D3163B" w:rsidRDefault="009652D5" w:rsidP="00FB5ED6">
            <w:pPr>
              <w:pStyle w:val="EntLogo"/>
              <w:spacing w:line="240" w:lineRule="auto"/>
              <w:jc w:val="center"/>
              <w:rPr>
                <w:rFonts w:ascii="Arial" w:hAnsi="Arial" w:cs="Arial"/>
                <w:sz w:val="23"/>
                <w:szCs w:val="23"/>
              </w:rPr>
            </w:pPr>
            <w:r w:rsidRPr="00D3163B">
              <w:rPr>
                <w:rFonts w:ascii="Arial" w:hAnsi="Arial" w:cs="Arial"/>
                <w:sz w:val="23"/>
                <w:szCs w:val="23"/>
              </w:rPr>
              <w:t>AFRICAN, CARIBBEAN AND</w:t>
            </w:r>
          </w:p>
          <w:p w:rsidR="009652D5" w:rsidRPr="00D3163B" w:rsidRDefault="009652D5" w:rsidP="00FB5ED6">
            <w:pPr>
              <w:spacing w:line="240" w:lineRule="auto"/>
              <w:jc w:val="center"/>
              <w:rPr>
                <w:rFonts w:ascii="Arial" w:hAnsi="Arial" w:cs="Arial"/>
                <w:b/>
                <w:sz w:val="23"/>
                <w:szCs w:val="23"/>
              </w:rPr>
            </w:pPr>
            <w:r w:rsidRPr="00D3163B">
              <w:rPr>
                <w:rFonts w:ascii="Arial" w:hAnsi="Arial" w:cs="Arial"/>
                <w:b/>
                <w:sz w:val="23"/>
                <w:szCs w:val="23"/>
              </w:rPr>
              <w:t>PACIFIC GROUP OF STATES</w:t>
            </w:r>
          </w:p>
          <w:p w:rsidR="009652D5" w:rsidRPr="00D3163B" w:rsidRDefault="009652D5" w:rsidP="00FB5ED6">
            <w:pPr>
              <w:spacing w:line="240" w:lineRule="auto"/>
              <w:jc w:val="center"/>
              <w:rPr>
                <w:rFonts w:ascii="Arial" w:hAnsi="Arial" w:cs="Arial"/>
                <w:b/>
                <w:sz w:val="23"/>
                <w:szCs w:val="23"/>
              </w:rPr>
            </w:pPr>
          </w:p>
        </w:tc>
        <w:tc>
          <w:tcPr>
            <w:tcW w:w="1134" w:type="dxa"/>
          </w:tcPr>
          <w:p w:rsidR="009652D5" w:rsidRPr="00D3163B" w:rsidRDefault="009652D5" w:rsidP="00FB5ED6">
            <w:pPr>
              <w:rPr>
                <w:rFonts w:ascii="Arial" w:hAnsi="Arial" w:cs="Arial"/>
                <w:sz w:val="23"/>
                <w:szCs w:val="23"/>
              </w:rPr>
            </w:pPr>
          </w:p>
        </w:tc>
        <w:tc>
          <w:tcPr>
            <w:tcW w:w="4253" w:type="dxa"/>
            <w:gridSpan w:val="4"/>
            <w:tcBorders>
              <w:bottom w:val="single" w:sz="4" w:space="0" w:color="auto"/>
            </w:tcBorders>
          </w:tcPr>
          <w:p w:rsidR="009652D5" w:rsidRPr="00D3163B" w:rsidRDefault="009652D5" w:rsidP="00FB5ED6">
            <w:pPr>
              <w:pStyle w:val="EntLogo"/>
              <w:spacing w:line="240" w:lineRule="auto"/>
              <w:jc w:val="center"/>
              <w:rPr>
                <w:rFonts w:ascii="Arial" w:hAnsi="Arial" w:cs="Arial"/>
                <w:sz w:val="23"/>
                <w:szCs w:val="23"/>
              </w:rPr>
            </w:pPr>
            <w:r w:rsidRPr="00D3163B">
              <w:rPr>
                <w:rFonts w:ascii="Arial" w:hAnsi="Arial" w:cs="Arial"/>
                <w:sz w:val="23"/>
                <w:szCs w:val="23"/>
              </w:rPr>
              <w:t>COUNCIL OF</w:t>
            </w:r>
          </w:p>
          <w:p w:rsidR="009652D5" w:rsidRPr="00D3163B" w:rsidRDefault="009652D5" w:rsidP="00FB5ED6">
            <w:pPr>
              <w:pStyle w:val="EntLogo"/>
              <w:spacing w:line="240" w:lineRule="auto"/>
              <w:jc w:val="center"/>
              <w:rPr>
                <w:rFonts w:ascii="Arial" w:hAnsi="Arial" w:cs="Arial"/>
                <w:sz w:val="23"/>
                <w:szCs w:val="23"/>
              </w:rPr>
            </w:pPr>
            <w:r w:rsidRPr="00D3163B">
              <w:rPr>
                <w:rFonts w:ascii="Arial" w:hAnsi="Arial" w:cs="Arial"/>
                <w:sz w:val="23"/>
                <w:szCs w:val="23"/>
              </w:rPr>
              <w:t>THE EUROPEAN UNION</w:t>
            </w:r>
          </w:p>
        </w:tc>
      </w:tr>
      <w:tr w:rsidR="00092472" w:rsidTr="009652D5">
        <w:tblPrEx>
          <w:tblLook w:val="04A0" w:firstRow="1" w:lastRow="0" w:firstColumn="1" w:lastColumn="0" w:noHBand="0" w:noVBand="1"/>
        </w:tblPrEx>
        <w:trPr>
          <w:cantSplit/>
        </w:trPr>
        <w:tc>
          <w:tcPr>
            <w:tcW w:w="1705" w:type="dxa"/>
            <w:hideMark/>
          </w:tcPr>
          <w:p w:rsidR="00092472" w:rsidRDefault="00092472" w:rsidP="00C351CC">
            <w:pPr>
              <w:pStyle w:val="EntInstit"/>
              <w:tabs>
                <w:tab w:val="left" w:pos="851"/>
                <w:tab w:val="left" w:pos="1857"/>
                <w:tab w:val="left" w:pos="2659"/>
              </w:tabs>
              <w:ind w:right="-284"/>
              <w:jc w:val="left"/>
              <w:rPr>
                <w:rFonts w:ascii="Arial" w:hAnsi="Arial"/>
                <w:sz w:val="23"/>
              </w:rPr>
            </w:pPr>
          </w:p>
        </w:tc>
        <w:tc>
          <w:tcPr>
            <w:tcW w:w="3827" w:type="dxa"/>
            <w:gridSpan w:val="4"/>
          </w:tcPr>
          <w:p w:rsidR="00092472" w:rsidRPr="00D641B3" w:rsidRDefault="00092472" w:rsidP="00C351CC">
            <w:pPr>
              <w:pStyle w:val="EntInstit"/>
              <w:spacing w:line="216" w:lineRule="auto"/>
              <w:jc w:val="left"/>
              <w:rPr>
                <w:rFonts w:ascii="Arial" w:hAnsi="Arial"/>
                <w:color w:val="4D4D4D"/>
                <w:sz w:val="23"/>
              </w:rPr>
            </w:pPr>
            <w:bookmarkStart w:id="0" w:name="Entete"/>
            <w:bookmarkEnd w:id="0"/>
          </w:p>
          <w:p w:rsidR="00092472" w:rsidRPr="00D641B3" w:rsidRDefault="00092472" w:rsidP="0022250D">
            <w:pPr>
              <w:pStyle w:val="EntInstit"/>
              <w:spacing w:line="192" w:lineRule="auto"/>
              <w:jc w:val="left"/>
              <w:rPr>
                <w:rFonts w:ascii="Arial" w:hAnsi="Arial"/>
                <w:color w:val="4D4D4D"/>
                <w:sz w:val="23"/>
              </w:rPr>
            </w:pPr>
          </w:p>
        </w:tc>
        <w:tc>
          <w:tcPr>
            <w:tcW w:w="141" w:type="dxa"/>
          </w:tcPr>
          <w:p w:rsidR="00092472" w:rsidRDefault="00092472" w:rsidP="00C351CC">
            <w:pPr>
              <w:pStyle w:val="EntInstit"/>
              <w:jc w:val="left"/>
              <w:rPr>
                <w:rFonts w:ascii="Arial" w:hAnsi="Arial"/>
                <w:sz w:val="23"/>
              </w:rPr>
            </w:pPr>
          </w:p>
        </w:tc>
        <w:tc>
          <w:tcPr>
            <w:tcW w:w="3972" w:type="dxa"/>
            <w:gridSpan w:val="2"/>
          </w:tcPr>
          <w:p w:rsidR="00C86DDC" w:rsidRDefault="00C86DDC" w:rsidP="005C4936">
            <w:pPr>
              <w:pStyle w:val="EntInstit"/>
              <w:spacing w:line="192" w:lineRule="auto"/>
              <w:jc w:val="left"/>
              <w:rPr>
                <w:rFonts w:ascii="Arial" w:hAnsi="Arial"/>
                <w:sz w:val="23"/>
              </w:rPr>
            </w:pPr>
          </w:p>
        </w:tc>
      </w:tr>
      <w:tr w:rsidR="00FB16BD" w:rsidRPr="00D3163B" w:rsidTr="009652D5">
        <w:trPr>
          <w:cantSplit/>
          <w:trHeight w:val="840"/>
        </w:trPr>
        <w:tc>
          <w:tcPr>
            <w:tcW w:w="3969" w:type="dxa"/>
            <w:gridSpan w:val="2"/>
          </w:tcPr>
          <w:p w:rsidR="00FB16BD" w:rsidRPr="00D3163B" w:rsidRDefault="00FB16BD" w:rsidP="00B112C8">
            <w:pPr>
              <w:pStyle w:val="EntRefer"/>
              <w:jc w:val="right"/>
              <w:rPr>
                <w:rFonts w:ascii="Arial" w:hAnsi="Arial"/>
                <w:color w:val="001718"/>
                <w:sz w:val="23"/>
              </w:rPr>
            </w:pPr>
          </w:p>
        </w:tc>
        <w:tc>
          <w:tcPr>
            <w:tcW w:w="1704" w:type="dxa"/>
            <w:gridSpan w:val="4"/>
          </w:tcPr>
          <w:p w:rsidR="00FB16BD" w:rsidRPr="00D3163B" w:rsidRDefault="00FB16BD" w:rsidP="00B112C8">
            <w:pPr>
              <w:pStyle w:val="EntRefer"/>
              <w:rPr>
                <w:rFonts w:ascii="Arial" w:hAnsi="Arial"/>
                <w:sz w:val="23"/>
              </w:rPr>
            </w:pPr>
          </w:p>
        </w:tc>
        <w:tc>
          <w:tcPr>
            <w:tcW w:w="3972" w:type="dxa"/>
            <w:gridSpan w:val="2"/>
          </w:tcPr>
          <w:p w:rsidR="00FB16BD" w:rsidRDefault="00404AE1" w:rsidP="00B112C8">
            <w:pPr>
              <w:pStyle w:val="EntRefer"/>
              <w:rPr>
                <w:rFonts w:ascii="Arial" w:hAnsi="Arial"/>
                <w:sz w:val="23"/>
              </w:rPr>
            </w:pPr>
            <w:bookmarkStart w:id="1" w:name="Lieu"/>
            <w:bookmarkEnd w:id="1"/>
            <w:r>
              <w:rPr>
                <w:rFonts w:ascii="Arial" w:hAnsi="Arial"/>
                <w:sz w:val="23"/>
              </w:rPr>
              <w:t>Lomé</w:t>
            </w:r>
            <w:r w:rsidR="009652D5">
              <w:rPr>
                <w:rFonts w:ascii="Arial" w:hAnsi="Arial"/>
                <w:sz w:val="23"/>
              </w:rPr>
              <w:t>,</w:t>
            </w:r>
            <w:r w:rsidR="00FB16BD">
              <w:rPr>
                <w:rFonts w:ascii="Arial" w:hAnsi="Arial"/>
                <w:sz w:val="23"/>
              </w:rPr>
              <w:t xml:space="preserve"> </w:t>
            </w:r>
            <w:bookmarkStart w:id="2" w:name="Date"/>
            <w:bookmarkEnd w:id="2"/>
            <w:r w:rsidR="00D0082F">
              <w:rPr>
                <w:rFonts w:ascii="Arial" w:hAnsi="Arial"/>
                <w:sz w:val="23"/>
              </w:rPr>
              <w:t>1 June</w:t>
            </w:r>
            <w:r w:rsidR="009652D5">
              <w:rPr>
                <w:rFonts w:ascii="Arial" w:hAnsi="Arial"/>
                <w:sz w:val="23"/>
              </w:rPr>
              <w:t xml:space="preserve"> 2018</w:t>
            </w:r>
          </w:p>
          <w:p w:rsidR="00FB16BD" w:rsidRPr="00D3163B" w:rsidRDefault="00FB16BD" w:rsidP="00B112C8">
            <w:pPr>
              <w:pStyle w:val="EntRefer"/>
              <w:rPr>
                <w:rFonts w:ascii="Arial" w:hAnsi="Arial"/>
                <w:sz w:val="23"/>
              </w:rPr>
            </w:pPr>
            <w:bookmarkStart w:id="3" w:name="LangueOrig"/>
            <w:bookmarkEnd w:id="3"/>
          </w:p>
        </w:tc>
      </w:tr>
      <w:tr w:rsidR="00AA3A04" w:rsidRPr="00D3163B" w:rsidTr="009652D5">
        <w:trPr>
          <w:cantSplit/>
        </w:trPr>
        <w:tc>
          <w:tcPr>
            <w:tcW w:w="3969" w:type="dxa"/>
            <w:gridSpan w:val="2"/>
          </w:tcPr>
          <w:p w:rsidR="00AA3A04" w:rsidRPr="00D3163B" w:rsidRDefault="00AA3A04" w:rsidP="00B112C8">
            <w:pPr>
              <w:pStyle w:val="EntRefer"/>
              <w:jc w:val="right"/>
              <w:rPr>
                <w:rFonts w:ascii="Arial" w:hAnsi="Arial"/>
                <w:color w:val="001718"/>
                <w:sz w:val="23"/>
              </w:rPr>
            </w:pPr>
          </w:p>
        </w:tc>
        <w:tc>
          <w:tcPr>
            <w:tcW w:w="1704" w:type="dxa"/>
            <w:gridSpan w:val="4"/>
          </w:tcPr>
          <w:p w:rsidR="00AA3A04" w:rsidRPr="00D3163B" w:rsidRDefault="00AA3A04" w:rsidP="00B112C8">
            <w:pPr>
              <w:pStyle w:val="EntRefer"/>
              <w:rPr>
                <w:rFonts w:ascii="Arial" w:hAnsi="Arial"/>
                <w:sz w:val="23"/>
              </w:rPr>
            </w:pPr>
          </w:p>
        </w:tc>
        <w:tc>
          <w:tcPr>
            <w:tcW w:w="3972" w:type="dxa"/>
            <w:gridSpan w:val="2"/>
          </w:tcPr>
          <w:p w:rsidR="00AA3A04" w:rsidRPr="00D3163B" w:rsidRDefault="00AA3A04" w:rsidP="00B112C8">
            <w:pPr>
              <w:pStyle w:val="EntRefer"/>
              <w:rPr>
                <w:rFonts w:ascii="Arial" w:hAnsi="Arial"/>
                <w:sz w:val="23"/>
              </w:rPr>
            </w:pPr>
            <w:r w:rsidRPr="00D3163B">
              <w:rPr>
                <w:rFonts w:ascii="Arial" w:hAnsi="Arial"/>
                <w:sz w:val="23"/>
              </w:rPr>
              <w:t xml:space="preserve"> </w:t>
            </w:r>
          </w:p>
        </w:tc>
      </w:tr>
      <w:tr w:rsidR="00AA3A04" w:rsidRPr="00D3163B" w:rsidTr="009652D5">
        <w:trPr>
          <w:cantSplit/>
        </w:trPr>
        <w:tc>
          <w:tcPr>
            <w:tcW w:w="3969" w:type="dxa"/>
            <w:gridSpan w:val="2"/>
          </w:tcPr>
          <w:p w:rsidR="00AA3A04" w:rsidRPr="00D3163B" w:rsidRDefault="009652D5" w:rsidP="004A03A5">
            <w:pPr>
              <w:pStyle w:val="EntRefer"/>
              <w:rPr>
                <w:rFonts w:ascii="Arial" w:hAnsi="Arial"/>
                <w:sz w:val="23"/>
              </w:rPr>
            </w:pPr>
            <w:bookmarkStart w:id="4" w:name="DossierInterInst"/>
            <w:bookmarkEnd w:id="4"/>
            <w:r>
              <w:rPr>
                <w:rFonts w:ascii="Arial" w:hAnsi="Arial"/>
                <w:sz w:val="23"/>
              </w:rPr>
              <w:t>ACP/</w:t>
            </w:r>
            <w:r w:rsidR="00CC693C">
              <w:rPr>
                <w:rFonts w:ascii="Arial" w:hAnsi="Arial"/>
                <w:sz w:val="23"/>
              </w:rPr>
              <w:t>21/</w:t>
            </w:r>
            <w:r w:rsidR="004A03A5">
              <w:rPr>
                <w:rFonts w:ascii="Arial" w:hAnsi="Arial"/>
                <w:sz w:val="23"/>
              </w:rPr>
              <w:t>006</w:t>
            </w:r>
            <w:r w:rsidR="00CC693C">
              <w:rPr>
                <w:rFonts w:ascii="Arial" w:hAnsi="Arial"/>
                <w:sz w:val="23"/>
              </w:rPr>
              <w:t>/18</w:t>
            </w:r>
          </w:p>
        </w:tc>
        <w:tc>
          <w:tcPr>
            <w:tcW w:w="1704" w:type="dxa"/>
            <w:gridSpan w:val="4"/>
          </w:tcPr>
          <w:p w:rsidR="00AA3A04" w:rsidRPr="00D3163B" w:rsidRDefault="00AA3A04" w:rsidP="00B112C8">
            <w:pPr>
              <w:spacing w:line="240" w:lineRule="auto"/>
              <w:rPr>
                <w:rFonts w:ascii="Arial" w:hAnsi="Arial"/>
                <w:b/>
                <w:sz w:val="23"/>
              </w:rPr>
            </w:pPr>
          </w:p>
        </w:tc>
        <w:tc>
          <w:tcPr>
            <w:tcW w:w="3972" w:type="dxa"/>
            <w:gridSpan w:val="2"/>
          </w:tcPr>
          <w:p w:rsidR="00AA3A04" w:rsidRPr="00D3163B" w:rsidRDefault="009652D5" w:rsidP="00B112C8">
            <w:pPr>
              <w:pStyle w:val="EntRefer"/>
              <w:rPr>
                <w:rFonts w:ascii="Arial" w:hAnsi="Arial"/>
                <w:sz w:val="23"/>
              </w:rPr>
            </w:pPr>
            <w:bookmarkStart w:id="5" w:name="Cote"/>
            <w:bookmarkEnd w:id="5"/>
            <w:r>
              <w:rPr>
                <w:rFonts w:ascii="Arial" w:hAnsi="Arial"/>
                <w:sz w:val="23"/>
              </w:rPr>
              <w:t>ACP-UE 2114/18</w:t>
            </w:r>
          </w:p>
          <w:p w:rsidR="00AA3A04" w:rsidRPr="00D3163B" w:rsidRDefault="00AA3A04" w:rsidP="00B112C8">
            <w:pPr>
              <w:pStyle w:val="EntRefer"/>
              <w:rPr>
                <w:rFonts w:ascii="Arial" w:hAnsi="Arial"/>
                <w:sz w:val="23"/>
              </w:rPr>
            </w:pPr>
            <w:bookmarkStart w:id="6" w:name="CoteRev"/>
            <w:bookmarkStart w:id="7" w:name="CoteSec"/>
            <w:bookmarkEnd w:id="6"/>
            <w:bookmarkEnd w:id="7"/>
          </w:p>
        </w:tc>
      </w:tr>
      <w:tr w:rsidR="00AA3A04" w:rsidRPr="00D3163B" w:rsidTr="009652D5">
        <w:trPr>
          <w:cantSplit/>
        </w:trPr>
        <w:tc>
          <w:tcPr>
            <w:tcW w:w="3969" w:type="dxa"/>
            <w:gridSpan w:val="2"/>
          </w:tcPr>
          <w:p w:rsidR="00AA3A04" w:rsidRPr="00D3163B" w:rsidRDefault="00AA3A04" w:rsidP="00B112C8">
            <w:pPr>
              <w:pStyle w:val="EntRefer"/>
              <w:jc w:val="center"/>
              <w:rPr>
                <w:rFonts w:ascii="Arial" w:hAnsi="Arial"/>
                <w:sz w:val="23"/>
              </w:rPr>
            </w:pPr>
            <w:bookmarkStart w:id="8" w:name="SousEmbargo"/>
            <w:bookmarkEnd w:id="8"/>
          </w:p>
        </w:tc>
        <w:tc>
          <w:tcPr>
            <w:tcW w:w="1704" w:type="dxa"/>
            <w:gridSpan w:val="4"/>
          </w:tcPr>
          <w:p w:rsidR="00AA3A04" w:rsidRPr="00D3163B" w:rsidRDefault="00AA3A04" w:rsidP="00B112C8">
            <w:pPr>
              <w:spacing w:line="240" w:lineRule="auto"/>
              <w:rPr>
                <w:rFonts w:ascii="Arial" w:hAnsi="Arial"/>
                <w:b/>
                <w:sz w:val="23"/>
              </w:rPr>
            </w:pPr>
          </w:p>
        </w:tc>
        <w:tc>
          <w:tcPr>
            <w:tcW w:w="3972" w:type="dxa"/>
            <w:gridSpan w:val="2"/>
          </w:tcPr>
          <w:p w:rsidR="00AA3A04" w:rsidRPr="00D3163B" w:rsidRDefault="00AA3A04" w:rsidP="00B112C8">
            <w:pPr>
              <w:pStyle w:val="EntRefer"/>
              <w:rPr>
                <w:rFonts w:ascii="Arial" w:hAnsi="Arial"/>
                <w:sz w:val="23"/>
              </w:rPr>
            </w:pPr>
            <w:bookmarkStart w:id="9" w:name="CoteMat"/>
            <w:bookmarkEnd w:id="9"/>
          </w:p>
        </w:tc>
      </w:tr>
    </w:tbl>
    <w:p w:rsidR="002B28C5" w:rsidRPr="00D3163B" w:rsidRDefault="002B28C5">
      <w:pPr>
        <w:pStyle w:val="EntRefer"/>
        <w:rPr>
          <w:rFonts w:ascii="Arial" w:hAnsi="Arial" w:cs="Arial"/>
          <w:sz w:val="23"/>
          <w:szCs w:val="23"/>
        </w:rPr>
      </w:pPr>
      <w:bookmarkStart w:id="10" w:name="AC"/>
    </w:p>
    <w:p w:rsidR="002B28C5" w:rsidRPr="00D3163B" w:rsidRDefault="00CC693C">
      <w:pPr>
        <w:pStyle w:val="EntRefer"/>
        <w:rPr>
          <w:rFonts w:ascii="Arial" w:hAnsi="Arial" w:cs="Arial"/>
          <w:sz w:val="23"/>
          <w:szCs w:val="23"/>
        </w:rPr>
      </w:pPr>
      <w:bookmarkStart w:id="11" w:name="Title"/>
      <w:bookmarkEnd w:id="11"/>
      <w:r w:rsidRPr="00CC693C">
        <w:rPr>
          <w:rFonts w:ascii="Arial" w:hAnsi="Arial" w:cs="Arial"/>
          <w:sz w:val="23"/>
          <w:szCs w:val="23"/>
        </w:rPr>
        <w:t>JOINT ACP-EU DOCUMENT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2B28C5" w:rsidRPr="00D0082F">
        <w:tc>
          <w:tcPr>
            <w:tcW w:w="1701" w:type="dxa"/>
            <w:tcBorders>
              <w:top w:val="single" w:sz="4" w:space="0" w:color="auto"/>
              <w:bottom w:val="single" w:sz="4" w:space="0" w:color="auto"/>
            </w:tcBorders>
          </w:tcPr>
          <w:p w:rsidR="002B28C5" w:rsidRPr="00CC693C" w:rsidRDefault="002B28C5">
            <w:pPr>
              <w:pStyle w:val="EntEmet"/>
              <w:rPr>
                <w:rFonts w:ascii="Arial" w:hAnsi="Arial" w:cs="Arial"/>
                <w:sz w:val="23"/>
                <w:szCs w:val="23"/>
              </w:rPr>
            </w:pPr>
            <w:r w:rsidRPr="00CC693C">
              <w:rPr>
                <w:rFonts w:ascii="Arial" w:hAnsi="Arial" w:cs="Arial"/>
                <w:sz w:val="23"/>
                <w:szCs w:val="23"/>
              </w:rPr>
              <w:t>Subject:</w:t>
            </w:r>
          </w:p>
        </w:tc>
        <w:tc>
          <w:tcPr>
            <w:tcW w:w="7938" w:type="dxa"/>
            <w:tcBorders>
              <w:top w:val="single" w:sz="4" w:space="0" w:color="auto"/>
              <w:bottom w:val="single" w:sz="4" w:space="0" w:color="auto"/>
            </w:tcBorders>
          </w:tcPr>
          <w:p w:rsidR="002B28C5" w:rsidRPr="004A03A5" w:rsidRDefault="00D0082F">
            <w:pPr>
              <w:pStyle w:val="EntEmet"/>
              <w:rPr>
                <w:rFonts w:ascii="Arial" w:hAnsi="Arial" w:cs="Arial"/>
                <w:sz w:val="23"/>
                <w:szCs w:val="23"/>
                <w:lang w:val="fr-BE"/>
              </w:rPr>
            </w:pPr>
            <w:bookmarkStart w:id="12" w:name="Subject"/>
            <w:bookmarkEnd w:id="12"/>
            <w:r>
              <w:rPr>
                <w:rFonts w:ascii="Arial" w:hAnsi="Arial" w:cs="Arial"/>
                <w:sz w:val="23"/>
                <w:szCs w:val="23"/>
                <w:lang w:val="fr-BE"/>
              </w:rPr>
              <w:t>Joint ACP-EU Declaration on Climate C</w:t>
            </w:r>
            <w:r w:rsidR="009652D5" w:rsidRPr="004A03A5">
              <w:rPr>
                <w:rFonts w:ascii="Arial" w:hAnsi="Arial" w:cs="Arial"/>
                <w:sz w:val="23"/>
                <w:szCs w:val="23"/>
                <w:lang w:val="fr-BE"/>
              </w:rPr>
              <w:t>hange</w:t>
            </w:r>
          </w:p>
        </w:tc>
      </w:tr>
    </w:tbl>
    <w:p w:rsidR="002B28C5" w:rsidRPr="004A03A5" w:rsidRDefault="002B28C5">
      <w:pPr>
        <w:spacing w:line="240" w:lineRule="auto"/>
        <w:rPr>
          <w:rFonts w:ascii="Arial" w:hAnsi="Arial" w:cs="Arial"/>
          <w:sz w:val="23"/>
          <w:szCs w:val="23"/>
          <w:lang w:val="fr-BE"/>
        </w:rPr>
      </w:pPr>
    </w:p>
    <w:p w:rsidR="002B28C5" w:rsidRPr="004A03A5" w:rsidRDefault="002B28C5">
      <w:pPr>
        <w:tabs>
          <w:tab w:val="left" w:pos="3969"/>
        </w:tabs>
        <w:rPr>
          <w:rFonts w:ascii="Arial" w:hAnsi="Arial" w:cs="Arial"/>
          <w:sz w:val="23"/>
          <w:szCs w:val="23"/>
          <w:lang w:val="fr-BE"/>
        </w:rPr>
      </w:pPr>
    </w:p>
    <w:bookmarkEnd w:id="10"/>
    <w:p w:rsidR="00CC693C" w:rsidRPr="004A03A5" w:rsidRDefault="00CC693C" w:rsidP="00CC693C">
      <w:pPr>
        <w:spacing w:after="360"/>
        <w:jc w:val="center"/>
        <w:rPr>
          <w:b/>
          <w:bCs/>
          <w:lang w:val="fr-BE"/>
        </w:rPr>
      </w:pPr>
      <w:r w:rsidRPr="004A03A5">
        <w:rPr>
          <w:szCs w:val="24"/>
          <w:lang w:val="fr-BE"/>
        </w:rPr>
        <w:br w:type="page"/>
      </w:r>
      <w:r w:rsidRPr="004A03A5">
        <w:rPr>
          <w:b/>
          <w:bCs/>
          <w:lang w:val="fr-BE"/>
        </w:rPr>
        <w:lastRenderedPageBreak/>
        <w:t xml:space="preserve">Joint ACP-EU Declaration on </w:t>
      </w:r>
      <w:r w:rsidR="00D0082F">
        <w:rPr>
          <w:b/>
          <w:bCs/>
          <w:lang w:val="fr-BE"/>
        </w:rPr>
        <w:t>Climate C</w:t>
      </w:r>
      <w:r w:rsidRPr="004A03A5">
        <w:rPr>
          <w:b/>
          <w:bCs/>
          <w:lang w:val="fr-BE"/>
        </w:rPr>
        <w:t>hange</w:t>
      </w:r>
    </w:p>
    <w:p w:rsidR="002B28C5" w:rsidRPr="004A03A5" w:rsidRDefault="002B28C5">
      <w:pPr>
        <w:rPr>
          <w:szCs w:val="24"/>
          <w:lang w:val="fr-BE"/>
        </w:rPr>
      </w:pPr>
    </w:p>
    <w:p w:rsidR="00D0082F" w:rsidRPr="0040094F" w:rsidRDefault="00D0082F" w:rsidP="003C6711">
      <w:pPr>
        <w:spacing w:after="240"/>
        <w:rPr>
          <w:b/>
          <w:bCs/>
        </w:rPr>
      </w:pPr>
      <w:r w:rsidRPr="0040094F">
        <w:rPr>
          <w:b/>
          <w:bCs/>
        </w:rPr>
        <w:t>We, the ACP-EU Council of Ministers,</w:t>
      </w:r>
    </w:p>
    <w:p w:rsidR="00D0082F" w:rsidRPr="0040094F" w:rsidRDefault="00D0082F" w:rsidP="003C6711">
      <w:pPr>
        <w:spacing w:after="240"/>
        <w:rPr>
          <w:b/>
          <w:bCs/>
        </w:rPr>
      </w:pPr>
      <w:r w:rsidRPr="0040094F">
        <w:rPr>
          <w:b/>
          <w:bCs/>
        </w:rPr>
        <w:t>Representing 107 countries from Africa, the Caribbean, the Pacific and the European Union, committed to the United Nations 2030 Agenda for Sustainable Development;</w:t>
      </w:r>
    </w:p>
    <w:p w:rsidR="00D0082F" w:rsidRPr="0040094F" w:rsidRDefault="00D0082F" w:rsidP="003C6711">
      <w:pPr>
        <w:spacing w:after="240"/>
      </w:pPr>
      <w:r w:rsidRPr="0040094F">
        <w:rPr>
          <w:b/>
          <w:bCs/>
        </w:rPr>
        <w:t>Guided</w:t>
      </w:r>
      <w:r w:rsidRPr="0040094F">
        <w:t xml:space="preserve"> by the ACP-EU Partnership Agreement;</w:t>
      </w:r>
    </w:p>
    <w:p w:rsidR="00D0082F" w:rsidRPr="0040094F" w:rsidRDefault="00D0082F" w:rsidP="003C6711">
      <w:pPr>
        <w:spacing w:after="240"/>
      </w:pPr>
      <w:r w:rsidRPr="0040094F">
        <w:rPr>
          <w:b/>
          <w:bCs/>
        </w:rPr>
        <w:t>In pursuit</w:t>
      </w:r>
      <w:r w:rsidRPr="0040094F">
        <w:t xml:space="preserve"> of the full and effective implementation of the United Nations Framework Convention on Climate Change and the Paris Agreement;</w:t>
      </w:r>
    </w:p>
    <w:p w:rsidR="00D0082F" w:rsidRPr="0040094F" w:rsidRDefault="00D0082F" w:rsidP="003C6711">
      <w:pPr>
        <w:spacing w:after="240"/>
      </w:pPr>
      <w:r w:rsidRPr="0040094F">
        <w:rPr>
          <w:b/>
          <w:bCs/>
        </w:rPr>
        <w:t>Committed</w:t>
      </w:r>
      <w:r w:rsidRPr="0040094F">
        <w:t xml:space="preserve"> to the attainment of the long term goals of the Paris Agreement for development, prosperity and security of our planet and people;</w:t>
      </w:r>
    </w:p>
    <w:p w:rsidR="00D0082F" w:rsidRPr="0040094F" w:rsidRDefault="00D0082F" w:rsidP="003C6711">
      <w:pPr>
        <w:spacing w:after="240"/>
      </w:pPr>
      <w:r w:rsidRPr="0040094F">
        <w:rPr>
          <w:b/>
          <w:bCs/>
        </w:rPr>
        <w:t>Acknowledging</w:t>
      </w:r>
      <w:r w:rsidRPr="0040094F">
        <w:t xml:space="preserve"> the increasing frequency and severity of climate-related disasters that have affected many ACP Countries, such as tropical cyclone Gita in the Pacific, hurricanes Irma and Maria in the Caribbean, and the recent drought in the Horn and Southern part of Africa:</w:t>
      </w:r>
    </w:p>
    <w:p w:rsidR="00D0082F" w:rsidRPr="00257D3B" w:rsidRDefault="00D0082F" w:rsidP="00D0082F">
      <w:pPr>
        <w:pStyle w:val="Point123"/>
        <w:tabs>
          <w:tab w:val="clear" w:pos="360"/>
          <w:tab w:val="num" w:pos="567"/>
        </w:tabs>
        <w:ind w:left="567" w:hanging="567"/>
      </w:pPr>
      <w:r w:rsidRPr="00257D3B">
        <w:rPr>
          <w:b/>
        </w:rPr>
        <w:t xml:space="preserve">Note </w:t>
      </w:r>
      <w:r w:rsidRPr="00257D3B">
        <w:t>with serious concern that the current aggregate effect</w:t>
      </w:r>
      <w:r>
        <w:rPr>
          <w:strike/>
        </w:rPr>
        <w:t>s</w:t>
      </w:r>
      <w:r w:rsidRPr="00257D3B">
        <w:t xml:space="preserve"> of </w:t>
      </w:r>
      <w:r>
        <w:t>N</w:t>
      </w:r>
      <w:r w:rsidRPr="00257D3B">
        <w:t xml:space="preserve">ationally </w:t>
      </w:r>
      <w:r>
        <w:t>D</w:t>
      </w:r>
      <w:r w:rsidRPr="00257D3B">
        <w:t xml:space="preserve">etermined </w:t>
      </w:r>
      <w:r>
        <w:t>C</w:t>
      </w:r>
      <w:r w:rsidRPr="00257D3B">
        <w:t xml:space="preserve">ontributions (NDC) are not sufficient to bring us on a pathway towards the long-term goal of holding the increase in the global average temperature to well below </w:t>
      </w:r>
      <w:bookmarkStart w:id="13" w:name="_Hlk511136689"/>
      <w:r w:rsidRPr="00257D3B">
        <w:t>2</w:t>
      </w:r>
      <w:r w:rsidRPr="00257D3B">
        <w:rPr>
          <w:vertAlign w:val="superscript"/>
        </w:rPr>
        <w:t>o</w:t>
      </w:r>
      <w:r w:rsidRPr="00257D3B">
        <w:t>C</w:t>
      </w:r>
      <w:bookmarkEnd w:id="13"/>
      <w:r w:rsidRPr="00257D3B">
        <w:t xml:space="preserve"> above pre-industrial levels and pursuing efforts to limit it to 1.5 °C</w:t>
      </w:r>
      <w:r>
        <w:t>.</w:t>
      </w:r>
    </w:p>
    <w:p w:rsidR="00D0082F" w:rsidRPr="00257D3B" w:rsidRDefault="00D0082F" w:rsidP="00D0082F">
      <w:pPr>
        <w:pStyle w:val="Point123"/>
        <w:tabs>
          <w:tab w:val="clear" w:pos="360"/>
          <w:tab w:val="num" w:pos="567"/>
        </w:tabs>
        <w:ind w:left="567" w:hanging="567"/>
        <w:rPr>
          <w:szCs w:val="20"/>
        </w:rPr>
      </w:pPr>
      <w:r w:rsidRPr="00257D3B">
        <w:rPr>
          <w:b/>
        </w:rPr>
        <w:t>Reaffirm</w:t>
      </w:r>
      <w:r w:rsidRPr="00257D3B">
        <w:t xml:space="preserve"> our existing commitments to strengthen the global response to the threat of </w:t>
      </w:r>
      <w:r>
        <w:t>C</w:t>
      </w:r>
      <w:r w:rsidRPr="00257D3B">
        <w:t xml:space="preserve">limate </w:t>
      </w:r>
      <w:r>
        <w:t>C</w:t>
      </w:r>
      <w:r w:rsidRPr="00257D3B">
        <w:t>hange from all countries</w:t>
      </w:r>
      <w:r>
        <w:t>.</w:t>
      </w:r>
    </w:p>
    <w:p w:rsidR="00D0082F" w:rsidRPr="00257D3B" w:rsidRDefault="00D0082F" w:rsidP="00D0082F">
      <w:pPr>
        <w:pStyle w:val="Point123"/>
        <w:tabs>
          <w:tab w:val="clear" w:pos="360"/>
          <w:tab w:val="num" w:pos="567"/>
        </w:tabs>
        <w:ind w:left="567" w:hanging="567"/>
        <w:rPr>
          <w:szCs w:val="20"/>
        </w:rPr>
      </w:pPr>
      <w:r w:rsidRPr="00257D3B">
        <w:rPr>
          <w:b/>
        </w:rPr>
        <w:t>Acknowledg</w:t>
      </w:r>
      <w:r w:rsidRPr="00257D3B">
        <w:t>e the urgent need to create enabling environments through regulatory frameworks and to invest in f</w:t>
      </w:r>
      <w:r>
        <w:t>urther transformational changes.</w:t>
      </w:r>
    </w:p>
    <w:p w:rsidR="00D0082F" w:rsidRPr="00257D3B" w:rsidRDefault="00D0082F" w:rsidP="00D0082F">
      <w:pPr>
        <w:pStyle w:val="Point123"/>
        <w:tabs>
          <w:tab w:val="clear" w:pos="360"/>
          <w:tab w:val="num" w:pos="567"/>
        </w:tabs>
        <w:ind w:left="567" w:hanging="567"/>
        <w:rPr>
          <w:szCs w:val="20"/>
        </w:rPr>
      </w:pPr>
      <w:r w:rsidRPr="00257D3B">
        <w:rPr>
          <w:b/>
        </w:rPr>
        <w:t>Recognise</w:t>
      </w:r>
      <w:r w:rsidRPr="00257D3B">
        <w:t xml:space="preserve"> the efforts of many countries towards the implementation of the Kyoto Protocol and encourage those countries that have not yet done so</w:t>
      </w:r>
      <w:r>
        <w:t>,</w:t>
      </w:r>
      <w:r w:rsidRPr="00257D3B">
        <w:t xml:space="preserve"> to ratify the Doha Amendment</w:t>
      </w:r>
      <w:r>
        <w:t>.</w:t>
      </w:r>
    </w:p>
    <w:p w:rsidR="00D0082F" w:rsidRPr="00257D3B" w:rsidRDefault="00D0082F" w:rsidP="00D0082F">
      <w:pPr>
        <w:pStyle w:val="Point123"/>
        <w:tabs>
          <w:tab w:val="clear" w:pos="360"/>
          <w:tab w:val="num" w:pos="567"/>
        </w:tabs>
        <w:ind w:left="567" w:hanging="567"/>
        <w:rPr>
          <w:szCs w:val="20"/>
        </w:rPr>
      </w:pPr>
      <w:r>
        <w:rPr>
          <w:b/>
        </w:rPr>
        <w:br w:type="page"/>
      </w:r>
      <w:r w:rsidRPr="00257D3B">
        <w:rPr>
          <w:b/>
        </w:rPr>
        <w:lastRenderedPageBreak/>
        <w:t>Appreciate</w:t>
      </w:r>
      <w:r w:rsidRPr="00257D3B">
        <w:t xml:space="preserve"> the growing global momentum to accelerate the transition to low greenhouse gas emissions development and climate resilient economies, and support the continued efforts of the ACP and </w:t>
      </w:r>
      <w:r w:rsidRPr="00A62079">
        <w:t>EU countries in this regard,</w:t>
      </w:r>
      <w:r w:rsidRPr="00257D3B">
        <w:t xml:space="preserve"> including regional, national, and non-state actors; </w:t>
      </w:r>
      <w:r w:rsidRPr="0040094F">
        <w:rPr>
          <w:szCs w:val="24"/>
        </w:rPr>
        <w:t xml:space="preserve">note that parties are invited to prepare long-term strategies by 2020; </w:t>
      </w:r>
      <w:r w:rsidRPr="003E457A">
        <w:t>also</w:t>
      </w:r>
      <w:r w:rsidRPr="00257D3B">
        <w:t xml:space="preserve"> note the enhanced international cooperation on the mitigation of and adaptation to </w:t>
      </w:r>
      <w:r>
        <w:t>C</w:t>
      </w:r>
      <w:r w:rsidRPr="00257D3B">
        <w:t xml:space="preserve">limate </w:t>
      </w:r>
      <w:r>
        <w:t>C</w:t>
      </w:r>
      <w:r w:rsidRPr="00257D3B">
        <w:t xml:space="preserve">hange, </w:t>
      </w:r>
      <w:r w:rsidRPr="00257D3B">
        <w:rPr>
          <w:i/>
        </w:rPr>
        <w:t>inter alia</w:t>
      </w:r>
      <w:r w:rsidRPr="00257D3B">
        <w:t xml:space="preserve"> through the NDC Partnership and the InsuResilienc</w:t>
      </w:r>
      <w:r>
        <w:t>e Global Partnership.</w:t>
      </w:r>
    </w:p>
    <w:p w:rsidR="00D0082F" w:rsidRPr="00257D3B" w:rsidRDefault="00D0082F" w:rsidP="00D0082F">
      <w:pPr>
        <w:pStyle w:val="Point123"/>
        <w:tabs>
          <w:tab w:val="clear" w:pos="360"/>
          <w:tab w:val="num" w:pos="567"/>
        </w:tabs>
        <w:ind w:left="567" w:hanging="567"/>
        <w:rPr>
          <w:szCs w:val="20"/>
        </w:rPr>
      </w:pPr>
      <w:r w:rsidRPr="0040094F">
        <w:rPr>
          <w:b/>
          <w:szCs w:val="24"/>
        </w:rPr>
        <w:t>Look forward</w:t>
      </w:r>
      <w:r w:rsidRPr="0040094F">
        <w:rPr>
          <w:szCs w:val="24"/>
        </w:rPr>
        <w:t xml:space="preserve"> to further evidence from the Intergovernmental Panel on Climate Change and in particular the Special Report on Global Warming of 1.5</w:t>
      </w:r>
      <w:r w:rsidRPr="0040094F">
        <w:rPr>
          <w:szCs w:val="24"/>
          <w:vertAlign w:val="superscript"/>
        </w:rPr>
        <w:t>o</w:t>
      </w:r>
      <w:r w:rsidRPr="0040094F">
        <w:rPr>
          <w:szCs w:val="24"/>
        </w:rPr>
        <w:t>C above pre-industrial levels and related greenhouse gas emission pathways.</w:t>
      </w:r>
    </w:p>
    <w:p w:rsidR="00D0082F" w:rsidRPr="003E457A" w:rsidRDefault="00D0082F" w:rsidP="00D0082F">
      <w:pPr>
        <w:pStyle w:val="Point123"/>
        <w:tabs>
          <w:tab w:val="clear" w:pos="360"/>
          <w:tab w:val="num" w:pos="567"/>
        </w:tabs>
        <w:ind w:left="567" w:hanging="567"/>
        <w:rPr>
          <w:szCs w:val="20"/>
        </w:rPr>
      </w:pPr>
      <w:r w:rsidRPr="00257D3B">
        <w:rPr>
          <w:b/>
        </w:rPr>
        <w:t>Welcome</w:t>
      </w:r>
      <w:r w:rsidRPr="00257D3B">
        <w:t xml:space="preserve"> the launch of the Talanoa Dialogue to take stock of the collective efforts of </w:t>
      </w:r>
      <w:r>
        <w:t>P</w:t>
      </w:r>
      <w:r w:rsidRPr="00257D3B">
        <w:t xml:space="preserve">arties in relation to progress towards the long-term temperature goal and to inform the preparation of </w:t>
      </w:r>
      <w:r>
        <w:t>N</w:t>
      </w:r>
      <w:r w:rsidRPr="00257D3B">
        <w:t xml:space="preserve">ationally </w:t>
      </w:r>
      <w:r>
        <w:t>D</w:t>
      </w:r>
      <w:r w:rsidRPr="00257D3B">
        <w:t xml:space="preserve">etermined </w:t>
      </w:r>
      <w:r w:rsidRPr="003E457A">
        <w:t xml:space="preserve">Contributions </w:t>
      </w:r>
      <w:r w:rsidRPr="0040094F">
        <w:rPr>
          <w:szCs w:val="24"/>
        </w:rPr>
        <w:t>pursuant to Article 4.8 of the Paris Agreement</w:t>
      </w:r>
      <w:r w:rsidRPr="003E457A">
        <w:t>.</w:t>
      </w:r>
    </w:p>
    <w:p w:rsidR="00D0082F" w:rsidRPr="00257D3B" w:rsidRDefault="00D0082F" w:rsidP="00D0082F">
      <w:pPr>
        <w:pStyle w:val="Point123"/>
        <w:tabs>
          <w:tab w:val="clear" w:pos="360"/>
          <w:tab w:val="num" w:pos="567"/>
        </w:tabs>
        <w:ind w:left="567" w:hanging="567"/>
        <w:rPr>
          <w:szCs w:val="20"/>
        </w:rPr>
      </w:pPr>
      <w:r w:rsidRPr="0040094F">
        <w:rPr>
          <w:b/>
          <w:szCs w:val="24"/>
        </w:rPr>
        <w:t xml:space="preserve">Call </w:t>
      </w:r>
      <w:r w:rsidRPr="0040094F">
        <w:rPr>
          <w:szCs w:val="24"/>
        </w:rPr>
        <w:t>on the Ad Hoc Working Group on the Paris Agreement to accelerate the completion of its work programme in order to fulfil its mandate at the twenty-fourth session of the Conference of the Parties (COP 24) in Katowice, Poland (3-14 December 2018).</w:t>
      </w:r>
    </w:p>
    <w:p w:rsidR="00D0082F" w:rsidRPr="00257D3B" w:rsidRDefault="00D0082F" w:rsidP="00D0082F">
      <w:pPr>
        <w:pStyle w:val="Point123"/>
        <w:tabs>
          <w:tab w:val="clear" w:pos="360"/>
          <w:tab w:val="num" w:pos="567"/>
        </w:tabs>
        <w:ind w:left="567" w:hanging="567"/>
        <w:rPr>
          <w:szCs w:val="20"/>
        </w:rPr>
      </w:pPr>
      <w:r w:rsidRPr="0040094F">
        <w:rPr>
          <w:b/>
          <w:szCs w:val="24"/>
        </w:rPr>
        <w:t>Stress</w:t>
      </w:r>
      <w:r w:rsidRPr="0040094F">
        <w:rPr>
          <w:szCs w:val="24"/>
        </w:rPr>
        <w:t xml:space="preserve"> that the agreed rule book for the implementation of the Paris Agreement should:</w:t>
      </w:r>
    </w:p>
    <w:p w:rsidR="00D0082F" w:rsidRPr="00257D3B" w:rsidRDefault="00D0082F" w:rsidP="00D0082F">
      <w:pPr>
        <w:pStyle w:val="Bullet1"/>
        <w:tabs>
          <w:tab w:val="clear" w:pos="1417"/>
          <w:tab w:val="num" w:pos="1134"/>
        </w:tabs>
        <w:ind w:left="1134"/>
      </w:pPr>
      <w:r w:rsidRPr="00257D3B">
        <w:t>Be robust and comprehensive, and preserve the integrity of the Paris Agreement;</w:t>
      </w:r>
    </w:p>
    <w:p w:rsidR="00D0082F" w:rsidRPr="003E457A" w:rsidRDefault="00D0082F" w:rsidP="00D0082F">
      <w:pPr>
        <w:pStyle w:val="Bullet1"/>
        <w:tabs>
          <w:tab w:val="clear" w:pos="1417"/>
          <w:tab w:val="num" w:pos="1134"/>
        </w:tabs>
        <w:ind w:left="1134"/>
      </w:pPr>
      <w:r w:rsidRPr="0040094F">
        <w:rPr>
          <w:szCs w:val="24"/>
        </w:rPr>
        <w:t>Cover all aspects of mitigation, adaptation and the means of implementation and support in a tailored and balanced manner, in accordance with the mandate of the Paris Agreement;</w:t>
      </w:r>
    </w:p>
    <w:p w:rsidR="00D0082F" w:rsidRPr="003E457A" w:rsidRDefault="003C6711" w:rsidP="00D0082F">
      <w:pPr>
        <w:pStyle w:val="Bullet1"/>
        <w:tabs>
          <w:tab w:val="clear" w:pos="1417"/>
          <w:tab w:val="num" w:pos="1134"/>
        </w:tabs>
        <w:ind w:left="1134"/>
      </w:pPr>
      <w:r>
        <w:rPr>
          <w:szCs w:val="24"/>
        </w:rPr>
        <w:br w:type="page"/>
      </w:r>
      <w:r w:rsidR="00D0082F" w:rsidRPr="0040094F">
        <w:rPr>
          <w:szCs w:val="24"/>
        </w:rPr>
        <w:t>Be applicable to all Parties; and</w:t>
      </w:r>
    </w:p>
    <w:p w:rsidR="00D0082F" w:rsidRPr="00257D3B" w:rsidRDefault="00D0082F" w:rsidP="00D0082F">
      <w:pPr>
        <w:pStyle w:val="Bullet1"/>
        <w:tabs>
          <w:tab w:val="clear" w:pos="1417"/>
          <w:tab w:val="num" w:pos="1134"/>
        </w:tabs>
        <w:ind w:left="1134"/>
      </w:pPr>
      <w:r w:rsidRPr="0040094F">
        <w:rPr>
          <w:szCs w:val="24"/>
        </w:rPr>
        <w:t>Provide a common transparency framework</w:t>
      </w:r>
      <w:r w:rsidRPr="0040094F" w:rsidDel="00A03325">
        <w:rPr>
          <w:szCs w:val="24"/>
        </w:rPr>
        <w:t xml:space="preserve"> </w:t>
      </w:r>
      <w:r w:rsidRPr="0040094F">
        <w:rPr>
          <w:szCs w:val="24"/>
        </w:rPr>
        <w:t>for tracking progress, with built-in flexibility to take into account different capacities and build upon collective experience.</w:t>
      </w:r>
    </w:p>
    <w:p w:rsidR="00D0082F" w:rsidRPr="003E457A" w:rsidRDefault="00D0082F" w:rsidP="00D0082F">
      <w:pPr>
        <w:pStyle w:val="Point123"/>
        <w:tabs>
          <w:tab w:val="clear" w:pos="360"/>
          <w:tab w:val="num" w:pos="567"/>
        </w:tabs>
        <w:ind w:left="567" w:hanging="567"/>
      </w:pPr>
      <w:r w:rsidRPr="00D0082F">
        <w:rPr>
          <w:b/>
        </w:rPr>
        <w:t>Recall</w:t>
      </w:r>
      <w:r w:rsidRPr="003E457A">
        <w:t xml:space="preserve"> that the Paris Agreement will be implemented to reflect equity and the principle of common but differentiated responsibilities and respective capabilities, in the light of different national circumstances.</w:t>
      </w:r>
    </w:p>
    <w:p w:rsidR="00D0082F" w:rsidRPr="00257D3B" w:rsidRDefault="00D0082F" w:rsidP="00D0082F">
      <w:pPr>
        <w:pStyle w:val="Point123"/>
        <w:tabs>
          <w:tab w:val="clear" w:pos="360"/>
          <w:tab w:val="num" w:pos="567"/>
        </w:tabs>
        <w:ind w:left="567" w:hanging="567"/>
      </w:pPr>
      <w:r w:rsidRPr="00257D3B">
        <w:rPr>
          <w:rFonts w:eastAsia="Times New Roman"/>
          <w:b/>
          <w:color w:val="000000"/>
        </w:rPr>
        <w:t>Welcome</w:t>
      </w:r>
      <w:r w:rsidRPr="00257D3B">
        <w:rPr>
          <w:rFonts w:eastAsia="Times New Roman"/>
          <w:color w:val="000000"/>
        </w:rPr>
        <w:t xml:space="preserve"> the decision of the Twenty-third session of the Conference of the Parties (COP 23), to organise</w:t>
      </w:r>
      <w:r w:rsidRPr="00257D3B">
        <w:t xml:space="preserve"> the Suva Expert Dialogue, to explore a wide range of information, inputs and views on ways to facilitate the mobilisation and securing of expertise and enhancement of support, including finance, technology and capacity building, for averting, minimising and addressing loss and damage associated with the adverse effects of climate change, including extreme weath</w:t>
      </w:r>
      <w:r>
        <w:t>er events and slow onset events.</w:t>
      </w:r>
    </w:p>
    <w:p w:rsidR="00D0082F" w:rsidRPr="00257D3B" w:rsidRDefault="00D0082F" w:rsidP="00D0082F">
      <w:pPr>
        <w:pStyle w:val="Point123"/>
        <w:tabs>
          <w:tab w:val="clear" w:pos="360"/>
          <w:tab w:val="num" w:pos="567"/>
        </w:tabs>
        <w:ind w:left="567" w:hanging="567"/>
      </w:pPr>
      <w:r w:rsidRPr="0040094F">
        <w:rPr>
          <w:b/>
          <w:szCs w:val="24"/>
        </w:rPr>
        <w:t>Express</w:t>
      </w:r>
      <w:r w:rsidRPr="0040094F">
        <w:rPr>
          <w:szCs w:val="24"/>
        </w:rPr>
        <w:t xml:space="preserve"> our gratitude and support to the current Fijian and incoming Polish Presidencies.</w:t>
      </w:r>
    </w:p>
    <w:p w:rsidR="00D0082F" w:rsidRPr="00257D3B" w:rsidRDefault="00D0082F" w:rsidP="00D0082F">
      <w:pPr>
        <w:pStyle w:val="Point123"/>
        <w:tabs>
          <w:tab w:val="clear" w:pos="360"/>
          <w:tab w:val="num" w:pos="567"/>
        </w:tabs>
        <w:ind w:left="567" w:hanging="567"/>
      </w:pPr>
      <w:r w:rsidRPr="0040094F">
        <w:rPr>
          <w:b/>
          <w:szCs w:val="24"/>
        </w:rPr>
        <w:t>Welcome</w:t>
      </w:r>
      <w:r w:rsidRPr="0040094F">
        <w:rPr>
          <w:szCs w:val="24"/>
        </w:rPr>
        <w:t xml:space="preserve"> the launch of the Intra-ACP Global Climate Change Alliance Plus Programme (2018-2022), an initiative of the ACP Group of States funded with 70 million EUR from the European Development Fund, to support ACP Member States to better address climate change.</w:t>
      </w:r>
    </w:p>
    <w:p w:rsidR="00D0082F" w:rsidRPr="00257D3B" w:rsidRDefault="00D0082F" w:rsidP="00D0082F">
      <w:pPr>
        <w:pStyle w:val="Point123"/>
        <w:tabs>
          <w:tab w:val="clear" w:pos="360"/>
          <w:tab w:val="num" w:pos="567"/>
        </w:tabs>
        <w:ind w:left="567" w:hanging="567"/>
      </w:pPr>
      <w:r w:rsidRPr="0040094F">
        <w:rPr>
          <w:b/>
          <w:szCs w:val="24"/>
        </w:rPr>
        <w:t>Welcome</w:t>
      </w:r>
      <w:r w:rsidRPr="0040094F">
        <w:rPr>
          <w:szCs w:val="24"/>
        </w:rPr>
        <w:t xml:space="preserve"> also the Intra-ACP Climate Services Programme, an initiative of the ACP Group of States, funded with 85 million EUR, also from the European Development Fund, to strengthen the capacities of regional hydro-meteorological organisations to take advantage of the full and open access to high-resolution data and value-added information from the EU’s Earth Observation Programme, Copernicus.</w:t>
      </w:r>
    </w:p>
    <w:p w:rsidR="00D0082F" w:rsidRPr="00257D3B" w:rsidRDefault="003C6711" w:rsidP="00D0082F">
      <w:pPr>
        <w:pStyle w:val="Point123"/>
        <w:tabs>
          <w:tab w:val="clear" w:pos="360"/>
          <w:tab w:val="num" w:pos="567"/>
        </w:tabs>
        <w:ind w:left="567" w:hanging="567"/>
      </w:pPr>
      <w:bookmarkStart w:id="14" w:name="ControlPages"/>
      <w:bookmarkEnd w:id="14"/>
      <w:r>
        <w:rPr>
          <w:b/>
          <w:szCs w:val="24"/>
        </w:rPr>
        <w:br w:type="page"/>
      </w:r>
      <w:bookmarkStart w:id="15" w:name="_GoBack"/>
      <w:bookmarkEnd w:id="15"/>
      <w:r w:rsidR="00D0082F" w:rsidRPr="0040094F">
        <w:rPr>
          <w:b/>
          <w:szCs w:val="24"/>
        </w:rPr>
        <w:t>Reiterate</w:t>
      </w:r>
      <w:r w:rsidR="00D0082F" w:rsidRPr="0040094F">
        <w:rPr>
          <w:szCs w:val="24"/>
        </w:rPr>
        <w:t xml:space="preserve"> our commitment to build on our joint efforts that support ambitious climate action and to seek further opportunities to work together and mobilise further investment towards the full and effective implementation of the United Nations Framework Convention on Climate Change and its Paris Agreement.</w:t>
      </w:r>
    </w:p>
    <w:p w:rsidR="00D0082F" w:rsidRPr="00257D3B" w:rsidRDefault="00D0082F" w:rsidP="00D0082F">
      <w:pPr>
        <w:pStyle w:val="Point123"/>
        <w:tabs>
          <w:tab w:val="clear" w:pos="360"/>
          <w:tab w:val="num" w:pos="567"/>
        </w:tabs>
        <w:ind w:left="567" w:hanging="567"/>
      </w:pPr>
      <w:r w:rsidRPr="0040094F">
        <w:rPr>
          <w:b/>
          <w:szCs w:val="24"/>
        </w:rPr>
        <w:t>Affirm</w:t>
      </w:r>
      <w:r w:rsidRPr="0040094F">
        <w:rPr>
          <w:szCs w:val="24"/>
        </w:rPr>
        <w:t xml:space="preserve"> our intention to intensify our collaborative work in the international arena on specific common interests with particular focus on UNFCCC COP 24 to be held from 3 – 14 December 2018, in Katowice, Poland.</w:t>
      </w:r>
    </w:p>
    <w:p w:rsidR="00D0082F" w:rsidRPr="00D0082F" w:rsidRDefault="00D0082F" w:rsidP="00D0082F">
      <w:pPr>
        <w:rPr>
          <w:rFonts w:ascii="Arial" w:hAnsi="Arial" w:cs="Arial"/>
          <w:sz w:val="23"/>
          <w:szCs w:val="23"/>
        </w:rPr>
      </w:pPr>
    </w:p>
    <w:p w:rsidR="00D0082F" w:rsidRPr="007B0D74" w:rsidRDefault="00D0082F" w:rsidP="00D0082F">
      <w:pPr>
        <w:jc w:val="center"/>
      </w:pPr>
      <w:r>
        <w:t>_____________</w:t>
      </w:r>
    </w:p>
    <w:sectPr w:rsidR="00D0082F" w:rsidRPr="007B0D74" w:rsidSect="00F64303">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2D5" w:rsidRDefault="009652D5">
      <w:r>
        <w:separator/>
      </w:r>
    </w:p>
  </w:endnote>
  <w:endnote w:type="continuationSeparator" w:id="0">
    <w:p w:rsidR="009652D5" w:rsidRDefault="009652D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E1" w:rsidRDefault="00404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BB" w:rsidRDefault="00DA36BB">
    <w:pPr>
      <w:pStyle w:val="Footer"/>
      <w:pBdr>
        <w:bottom w:val="single" w:sz="4" w:space="1" w:color="auto"/>
      </w:pBdr>
      <w:spacing w:after="60"/>
    </w:pPr>
  </w:p>
  <w:p w:rsidR="00DA36BB" w:rsidRDefault="009652D5" w:rsidP="004A03A5">
    <w:pPr>
      <w:pStyle w:val="Footer"/>
    </w:pPr>
    <w:bookmarkStart w:id="16" w:name="CoteFooter"/>
    <w:bookmarkEnd w:id="16"/>
    <w:r>
      <w:t>ACP-UE 2114/18</w:t>
    </w:r>
    <w:r w:rsidR="00DA36BB">
      <w:tab/>
    </w:r>
    <w:bookmarkStart w:id="17" w:name="SuplCote"/>
    <w:bookmarkEnd w:id="17"/>
    <w:r>
      <w:t>ACP/</w:t>
    </w:r>
    <w:r w:rsidR="00CC693C">
      <w:t>21/</w:t>
    </w:r>
    <w:r w:rsidR="004A03A5">
      <w:t>006</w:t>
    </w:r>
    <w:r w:rsidR="00CC693C">
      <w:t>/18</w:t>
    </w:r>
    <w:r w:rsidR="00DA36BB">
      <w:tab/>
    </w:r>
    <w:bookmarkStart w:id="18" w:name="Init"/>
    <w:bookmarkEnd w:id="18"/>
    <w:r w:rsidR="00DA36BB">
      <w:tab/>
    </w:r>
    <w:r w:rsidR="00DA36BB">
      <w:rPr>
        <w:rStyle w:val="PageNumber"/>
      </w:rPr>
      <w:fldChar w:fldCharType="begin"/>
    </w:r>
    <w:r w:rsidR="00DA36BB">
      <w:rPr>
        <w:rStyle w:val="PageNumber"/>
      </w:rPr>
      <w:instrText xml:space="preserve"> PAGE </w:instrText>
    </w:r>
    <w:r w:rsidR="00DA36BB">
      <w:rPr>
        <w:rStyle w:val="PageNumber"/>
      </w:rPr>
      <w:fldChar w:fldCharType="separate"/>
    </w:r>
    <w:r w:rsidR="003C6711">
      <w:rPr>
        <w:rStyle w:val="PageNumber"/>
        <w:noProof/>
      </w:rPr>
      <w:t>4</w:t>
    </w:r>
    <w:r w:rsidR="00DA36BB">
      <w:rPr>
        <w:rStyle w:val="PageNumber"/>
      </w:rPr>
      <w:fldChar w:fldCharType="end"/>
    </w:r>
  </w:p>
  <w:p w:rsidR="00DA36BB" w:rsidRDefault="00DA36BB">
    <w:pPr>
      <w:pStyle w:val="Footer"/>
      <w:tabs>
        <w:tab w:val="clear" w:pos="7371"/>
      </w:tabs>
      <w:spacing w:line="280" w:lineRule="exact"/>
    </w:pPr>
    <w:r>
      <w:tab/>
    </w:r>
    <w:bookmarkStart w:id="19" w:name="DG"/>
    <w:bookmarkEnd w:id="19"/>
    <w:r>
      <w:tab/>
    </w:r>
    <w:bookmarkStart w:id="20" w:name="FooterCoteSec"/>
    <w:r>
      <w:rPr>
        <w:b/>
        <w:position w:val="-4"/>
        <w:sz w:val="36"/>
      </w:rPr>
      <w:t xml:space="preserve"> </w:t>
    </w:r>
    <w:bookmarkEnd w:id="20"/>
    <w:r>
      <w:rPr>
        <w:b/>
        <w:position w:val="-4"/>
        <w:sz w:val="36"/>
      </w:rPr>
      <w:t> </w:t>
    </w:r>
    <w:bookmarkStart w:id="21" w:name="Langue"/>
    <w:r>
      <w:rPr>
        <w:b/>
        <w:position w:val="-4"/>
        <w:sz w:val="36"/>
      </w:rPr>
      <w:t>EN</w:t>
    </w:r>
    <w:bookmarkEnd w:id="2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E1" w:rsidRDefault="0040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2D5" w:rsidRDefault="009652D5">
      <w:pPr>
        <w:pStyle w:val="FootnoteText"/>
      </w:pPr>
      <w:r>
        <w:separator/>
      </w:r>
    </w:p>
  </w:footnote>
  <w:footnote w:type="continuationSeparator" w:id="0">
    <w:p w:rsidR="009652D5" w:rsidRDefault="009652D5">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E1" w:rsidRDefault="00404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E1" w:rsidRDefault="00404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AE1" w:rsidRDefault="00404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DB0E2B2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6"/>
  </w:num>
  <w:num w:numId="2">
    <w:abstractNumId w:val="8"/>
  </w:num>
  <w:num w:numId="3">
    <w:abstractNumId w:val="12"/>
  </w:num>
  <w:num w:numId="4">
    <w:abstractNumId w:val="3"/>
  </w:num>
  <w:num w:numId="5">
    <w:abstractNumId w:val="10"/>
  </w:num>
  <w:num w:numId="6">
    <w:abstractNumId w:val="7"/>
  </w:num>
  <w:num w:numId="7">
    <w:abstractNumId w:val="9"/>
  </w:num>
  <w:num w:numId="8">
    <w:abstractNumId w:val="11"/>
  </w:num>
  <w:num w:numId="9">
    <w:abstractNumId w:val="5"/>
  </w:num>
  <w:num w:numId="10">
    <w:abstractNumId w:val="1"/>
  </w:num>
  <w:num w:numId="11">
    <w:abstractNumId w:val="4"/>
  </w:num>
  <w:num w:numId="12">
    <w:abstractNumId w:val="4"/>
  </w:num>
  <w:num w:numId="13">
    <w:abstractNumId w:val="4"/>
  </w:num>
  <w:num w:numId="14">
    <w:abstractNumId w:val="4"/>
  </w:num>
  <w:num w:numId="15">
    <w:abstractNumId w:val="2"/>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pyNum" w:val="0"/>
    <w:docVar w:name="DW_DocType" w:val="_GenEn"/>
  </w:docVars>
  <w:rsids>
    <w:rsidRoot w:val="009652D5"/>
    <w:rsid w:val="00007A54"/>
    <w:rsid w:val="000449B4"/>
    <w:rsid w:val="0005086A"/>
    <w:rsid w:val="00054C4B"/>
    <w:rsid w:val="00067F31"/>
    <w:rsid w:val="00075910"/>
    <w:rsid w:val="00083FBC"/>
    <w:rsid w:val="000867FF"/>
    <w:rsid w:val="00092472"/>
    <w:rsid w:val="0009569C"/>
    <w:rsid w:val="000A3826"/>
    <w:rsid w:val="000D2B33"/>
    <w:rsid w:val="000E1C75"/>
    <w:rsid w:val="0012665C"/>
    <w:rsid w:val="0014406C"/>
    <w:rsid w:val="00156CB3"/>
    <w:rsid w:val="00164E11"/>
    <w:rsid w:val="00171F08"/>
    <w:rsid w:val="0017477F"/>
    <w:rsid w:val="00174E40"/>
    <w:rsid w:val="00174EC6"/>
    <w:rsid w:val="001915AA"/>
    <w:rsid w:val="001D60D8"/>
    <w:rsid w:val="001F59C5"/>
    <w:rsid w:val="001F7964"/>
    <w:rsid w:val="0020127F"/>
    <w:rsid w:val="00204F63"/>
    <w:rsid w:val="00220AE0"/>
    <w:rsid w:val="0022170F"/>
    <w:rsid w:val="0022250D"/>
    <w:rsid w:val="00234D95"/>
    <w:rsid w:val="0024283F"/>
    <w:rsid w:val="0025703C"/>
    <w:rsid w:val="00282319"/>
    <w:rsid w:val="002A000E"/>
    <w:rsid w:val="002B28C5"/>
    <w:rsid w:val="002C2564"/>
    <w:rsid w:val="002D0849"/>
    <w:rsid w:val="002D1EFE"/>
    <w:rsid w:val="002D5B64"/>
    <w:rsid w:val="002E46F1"/>
    <w:rsid w:val="002F1116"/>
    <w:rsid w:val="00304C1B"/>
    <w:rsid w:val="00304DEB"/>
    <w:rsid w:val="00316D9A"/>
    <w:rsid w:val="00323DF1"/>
    <w:rsid w:val="003317EC"/>
    <w:rsid w:val="00335A55"/>
    <w:rsid w:val="00365A1E"/>
    <w:rsid w:val="00376FF1"/>
    <w:rsid w:val="003812B9"/>
    <w:rsid w:val="0039090B"/>
    <w:rsid w:val="00392040"/>
    <w:rsid w:val="003B4BBB"/>
    <w:rsid w:val="003C6711"/>
    <w:rsid w:val="003D12D6"/>
    <w:rsid w:val="003D5361"/>
    <w:rsid w:val="003F010B"/>
    <w:rsid w:val="003F7522"/>
    <w:rsid w:val="00404AE1"/>
    <w:rsid w:val="00410588"/>
    <w:rsid w:val="00426C28"/>
    <w:rsid w:val="00434BDE"/>
    <w:rsid w:val="00445F2C"/>
    <w:rsid w:val="00446EA1"/>
    <w:rsid w:val="00462C5A"/>
    <w:rsid w:val="00462CBB"/>
    <w:rsid w:val="00465B83"/>
    <w:rsid w:val="00490932"/>
    <w:rsid w:val="00491ACF"/>
    <w:rsid w:val="004A03A5"/>
    <w:rsid w:val="004D202F"/>
    <w:rsid w:val="004E09B5"/>
    <w:rsid w:val="004E30A8"/>
    <w:rsid w:val="004F1F3A"/>
    <w:rsid w:val="005115B2"/>
    <w:rsid w:val="005176C6"/>
    <w:rsid w:val="00517AFA"/>
    <w:rsid w:val="0053148A"/>
    <w:rsid w:val="005555EB"/>
    <w:rsid w:val="00573235"/>
    <w:rsid w:val="00591446"/>
    <w:rsid w:val="005C1DE3"/>
    <w:rsid w:val="005C4936"/>
    <w:rsid w:val="005D11D1"/>
    <w:rsid w:val="005D3C88"/>
    <w:rsid w:val="005F45C3"/>
    <w:rsid w:val="005F793E"/>
    <w:rsid w:val="00604699"/>
    <w:rsid w:val="00615C14"/>
    <w:rsid w:val="006164E1"/>
    <w:rsid w:val="00624C6D"/>
    <w:rsid w:val="00627335"/>
    <w:rsid w:val="0065291B"/>
    <w:rsid w:val="006609FB"/>
    <w:rsid w:val="00681EB1"/>
    <w:rsid w:val="0069311C"/>
    <w:rsid w:val="006937B9"/>
    <w:rsid w:val="006A0D97"/>
    <w:rsid w:val="006B3FE1"/>
    <w:rsid w:val="006C6C26"/>
    <w:rsid w:val="006D2C19"/>
    <w:rsid w:val="006E5355"/>
    <w:rsid w:val="006F22F6"/>
    <w:rsid w:val="006F3E3F"/>
    <w:rsid w:val="0075359F"/>
    <w:rsid w:val="00754CB7"/>
    <w:rsid w:val="007651B0"/>
    <w:rsid w:val="007654CE"/>
    <w:rsid w:val="0076794C"/>
    <w:rsid w:val="00775244"/>
    <w:rsid w:val="0077561E"/>
    <w:rsid w:val="007838EE"/>
    <w:rsid w:val="007B0D74"/>
    <w:rsid w:val="007B6E58"/>
    <w:rsid w:val="007D0248"/>
    <w:rsid w:val="007F38E2"/>
    <w:rsid w:val="007F7819"/>
    <w:rsid w:val="0081789E"/>
    <w:rsid w:val="00820D9C"/>
    <w:rsid w:val="0083043C"/>
    <w:rsid w:val="00853B46"/>
    <w:rsid w:val="0088319A"/>
    <w:rsid w:val="008B3E59"/>
    <w:rsid w:val="008D04D2"/>
    <w:rsid w:val="008D3B70"/>
    <w:rsid w:val="008D3F5F"/>
    <w:rsid w:val="008E6CE1"/>
    <w:rsid w:val="008F0F94"/>
    <w:rsid w:val="00901A25"/>
    <w:rsid w:val="00907A87"/>
    <w:rsid w:val="009135EF"/>
    <w:rsid w:val="00925BB6"/>
    <w:rsid w:val="00950B14"/>
    <w:rsid w:val="009652D5"/>
    <w:rsid w:val="009700CD"/>
    <w:rsid w:val="009846A3"/>
    <w:rsid w:val="00995506"/>
    <w:rsid w:val="009A1D2C"/>
    <w:rsid w:val="009D15C2"/>
    <w:rsid w:val="009E7878"/>
    <w:rsid w:val="009F0FE5"/>
    <w:rsid w:val="00A12F9B"/>
    <w:rsid w:val="00A3456F"/>
    <w:rsid w:val="00A55EB4"/>
    <w:rsid w:val="00A56CF2"/>
    <w:rsid w:val="00A83A74"/>
    <w:rsid w:val="00A8452C"/>
    <w:rsid w:val="00A9225C"/>
    <w:rsid w:val="00A9613B"/>
    <w:rsid w:val="00AA3A04"/>
    <w:rsid w:val="00AD020C"/>
    <w:rsid w:val="00AE6D64"/>
    <w:rsid w:val="00B01529"/>
    <w:rsid w:val="00B104EA"/>
    <w:rsid w:val="00B112C8"/>
    <w:rsid w:val="00B40E1C"/>
    <w:rsid w:val="00B55A5E"/>
    <w:rsid w:val="00B722DD"/>
    <w:rsid w:val="00B845E7"/>
    <w:rsid w:val="00B9096D"/>
    <w:rsid w:val="00B97461"/>
    <w:rsid w:val="00BC3FE8"/>
    <w:rsid w:val="00BE0095"/>
    <w:rsid w:val="00BE0D86"/>
    <w:rsid w:val="00BE7C2A"/>
    <w:rsid w:val="00BF1051"/>
    <w:rsid w:val="00C22400"/>
    <w:rsid w:val="00C351CC"/>
    <w:rsid w:val="00C4415B"/>
    <w:rsid w:val="00C502FD"/>
    <w:rsid w:val="00C548E9"/>
    <w:rsid w:val="00C55246"/>
    <w:rsid w:val="00C66DC8"/>
    <w:rsid w:val="00C82663"/>
    <w:rsid w:val="00C83670"/>
    <w:rsid w:val="00C86DDC"/>
    <w:rsid w:val="00CC693C"/>
    <w:rsid w:val="00CD35C2"/>
    <w:rsid w:val="00CE0701"/>
    <w:rsid w:val="00CE1387"/>
    <w:rsid w:val="00CE3420"/>
    <w:rsid w:val="00CE51DE"/>
    <w:rsid w:val="00CF309C"/>
    <w:rsid w:val="00D0082F"/>
    <w:rsid w:val="00D125DB"/>
    <w:rsid w:val="00D25D34"/>
    <w:rsid w:val="00D3163B"/>
    <w:rsid w:val="00D31A71"/>
    <w:rsid w:val="00D34375"/>
    <w:rsid w:val="00D40257"/>
    <w:rsid w:val="00D5388E"/>
    <w:rsid w:val="00D565A6"/>
    <w:rsid w:val="00D605D1"/>
    <w:rsid w:val="00D852EB"/>
    <w:rsid w:val="00D954D7"/>
    <w:rsid w:val="00D96E50"/>
    <w:rsid w:val="00D97143"/>
    <w:rsid w:val="00DA36BB"/>
    <w:rsid w:val="00DC015F"/>
    <w:rsid w:val="00DC0246"/>
    <w:rsid w:val="00DD54E0"/>
    <w:rsid w:val="00DE1D55"/>
    <w:rsid w:val="00DE42A7"/>
    <w:rsid w:val="00DF2DF3"/>
    <w:rsid w:val="00E0581F"/>
    <w:rsid w:val="00E40BDE"/>
    <w:rsid w:val="00E45613"/>
    <w:rsid w:val="00E5556D"/>
    <w:rsid w:val="00E56089"/>
    <w:rsid w:val="00EB3FB2"/>
    <w:rsid w:val="00EC0A2A"/>
    <w:rsid w:val="00EE00BA"/>
    <w:rsid w:val="00EE6E72"/>
    <w:rsid w:val="00F030A6"/>
    <w:rsid w:val="00F1732C"/>
    <w:rsid w:val="00F42ECF"/>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2FB6C64-25CD-4635-A519-014805A1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paragraph" w:customStyle="1" w:styleId="Pointabc">
    <w:name w:val="Point abc"/>
    <w:basedOn w:val="Normal"/>
    <w:rsid w:val="00D0082F"/>
    <w:pPr>
      <w:widowControl/>
      <w:numPr>
        <w:ilvl w:val="1"/>
        <w:numId w:val="16"/>
      </w:numPr>
      <w:tabs>
        <w:tab w:val="clear" w:pos="567"/>
        <w:tab w:val="num" w:pos="360"/>
      </w:tabs>
      <w:spacing w:before="120" w:after="120"/>
      <w:ind w:left="0" w:firstLine="0"/>
    </w:pPr>
    <w:rPr>
      <w:rFonts w:eastAsia="Calibri"/>
      <w:szCs w:val="22"/>
      <w:lang w:eastAsia="en-US"/>
    </w:rPr>
  </w:style>
  <w:style w:type="paragraph" w:customStyle="1" w:styleId="Pointabc1">
    <w:name w:val="Point abc (1)"/>
    <w:basedOn w:val="Normal"/>
    <w:rsid w:val="00D0082F"/>
    <w:pPr>
      <w:widowControl/>
      <w:numPr>
        <w:ilvl w:val="3"/>
        <w:numId w:val="16"/>
      </w:numPr>
      <w:tabs>
        <w:tab w:val="clear" w:pos="1134"/>
        <w:tab w:val="num" w:pos="360"/>
      </w:tabs>
      <w:spacing w:before="120" w:after="120"/>
      <w:ind w:left="0" w:firstLine="0"/>
    </w:pPr>
    <w:rPr>
      <w:rFonts w:eastAsia="Calibri"/>
      <w:szCs w:val="22"/>
      <w:lang w:eastAsia="en-US"/>
    </w:rPr>
  </w:style>
  <w:style w:type="paragraph" w:customStyle="1" w:styleId="Pointabc2">
    <w:name w:val="Point abc (2)"/>
    <w:basedOn w:val="Normal"/>
    <w:rsid w:val="00D0082F"/>
    <w:pPr>
      <w:widowControl/>
      <w:numPr>
        <w:ilvl w:val="5"/>
        <w:numId w:val="16"/>
      </w:numPr>
      <w:tabs>
        <w:tab w:val="clear" w:pos="1701"/>
        <w:tab w:val="num" w:pos="360"/>
      </w:tabs>
      <w:spacing w:before="120" w:after="120"/>
      <w:ind w:left="0" w:firstLine="0"/>
    </w:pPr>
    <w:rPr>
      <w:rFonts w:eastAsia="Calibri"/>
      <w:szCs w:val="22"/>
      <w:lang w:eastAsia="en-US"/>
    </w:rPr>
  </w:style>
  <w:style w:type="paragraph" w:customStyle="1" w:styleId="Pointabc3">
    <w:name w:val="Point abc (3)"/>
    <w:basedOn w:val="Normal"/>
    <w:rsid w:val="00D0082F"/>
    <w:pPr>
      <w:widowControl/>
      <w:numPr>
        <w:ilvl w:val="7"/>
        <w:numId w:val="16"/>
      </w:numPr>
      <w:tabs>
        <w:tab w:val="clear" w:pos="2268"/>
        <w:tab w:val="num" w:pos="360"/>
      </w:tabs>
      <w:spacing w:before="120" w:after="120"/>
      <w:ind w:left="0" w:firstLine="0"/>
    </w:pPr>
    <w:rPr>
      <w:rFonts w:eastAsia="Calibri"/>
      <w:szCs w:val="22"/>
      <w:lang w:eastAsia="en-US"/>
    </w:rPr>
  </w:style>
  <w:style w:type="paragraph" w:customStyle="1" w:styleId="Pointabc4">
    <w:name w:val="Point abc (4)"/>
    <w:basedOn w:val="Normal"/>
    <w:rsid w:val="00D0082F"/>
    <w:pPr>
      <w:widowControl/>
      <w:numPr>
        <w:ilvl w:val="8"/>
        <w:numId w:val="16"/>
      </w:numPr>
      <w:tabs>
        <w:tab w:val="clear" w:pos="2835"/>
        <w:tab w:val="num" w:pos="360"/>
      </w:tabs>
      <w:spacing w:before="120" w:after="120"/>
      <w:ind w:left="0" w:firstLine="0"/>
    </w:pPr>
    <w:rPr>
      <w:rFonts w:eastAsia="Calibri"/>
      <w:szCs w:val="22"/>
      <w:lang w:eastAsia="en-US"/>
    </w:rPr>
  </w:style>
  <w:style w:type="paragraph" w:customStyle="1" w:styleId="Point123">
    <w:name w:val="Point 123"/>
    <w:basedOn w:val="Normal"/>
    <w:rsid w:val="00D0082F"/>
    <w:pPr>
      <w:widowControl/>
      <w:numPr>
        <w:numId w:val="16"/>
      </w:numPr>
      <w:tabs>
        <w:tab w:val="clear" w:pos="567"/>
        <w:tab w:val="num" w:pos="360"/>
      </w:tabs>
      <w:spacing w:before="120" w:after="120"/>
      <w:ind w:left="0" w:firstLine="0"/>
    </w:pPr>
    <w:rPr>
      <w:rFonts w:eastAsia="Calibri"/>
      <w:szCs w:val="22"/>
      <w:lang w:eastAsia="en-US"/>
    </w:rPr>
  </w:style>
  <w:style w:type="paragraph" w:customStyle="1" w:styleId="Point1231">
    <w:name w:val="Point 123 (1)"/>
    <w:basedOn w:val="Normal"/>
    <w:rsid w:val="00D0082F"/>
    <w:pPr>
      <w:widowControl/>
      <w:numPr>
        <w:ilvl w:val="2"/>
        <w:numId w:val="16"/>
      </w:numPr>
      <w:tabs>
        <w:tab w:val="clear" w:pos="1134"/>
        <w:tab w:val="num" w:pos="360"/>
      </w:tabs>
      <w:spacing w:before="120" w:after="120"/>
      <w:ind w:left="0" w:firstLine="0"/>
    </w:pPr>
    <w:rPr>
      <w:rFonts w:eastAsia="Calibri"/>
      <w:szCs w:val="22"/>
      <w:lang w:eastAsia="en-US"/>
    </w:rPr>
  </w:style>
  <w:style w:type="paragraph" w:customStyle="1" w:styleId="Point1232">
    <w:name w:val="Point 123 (2)"/>
    <w:basedOn w:val="Normal"/>
    <w:rsid w:val="00D0082F"/>
    <w:pPr>
      <w:widowControl/>
      <w:numPr>
        <w:ilvl w:val="4"/>
        <w:numId w:val="16"/>
      </w:numPr>
      <w:tabs>
        <w:tab w:val="clear" w:pos="1701"/>
        <w:tab w:val="num" w:pos="360"/>
      </w:tabs>
      <w:spacing w:before="120" w:after="120"/>
      <w:ind w:left="0" w:firstLine="0"/>
    </w:pPr>
    <w:rPr>
      <w:rFonts w:eastAsia="Calibri"/>
      <w:szCs w:val="22"/>
      <w:lang w:eastAsia="en-US"/>
    </w:rPr>
  </w:style>
  <w:style w:type="paragraph" w:customStyle="1" w:styleId="Point1233">
    <w:name w:val="Point 123 (3)"/>
    <w:basedOn w:val="Normal"/>
    <w:rsid w:val="00D0082F"/>
    <w:pPr>
      <w:widowControl/>
      <w:numPr>
        <w:ilvl w:val="6"/>
        <w:numId w:val="16"/>
      </w:numPr>
      <w:tabs>
        <w:tab w:val="clear" w:pos="2268"/>
        <w:tab w:val="num" w:pos="360"/>
      </w:tabs>
      <w:spacing w:before="120" w:after="120"/>
      <w:ind w:left="0" w:firstLine="0"/>
    </w:pPr>
    <w:rPr>
      <w:rFonts w:eastAsia="Calibri"/>
      <w:szCs w:val="22"/>
      <w:lang w:eastAsia="en-US"/>
    </w:rPr>
  </w:style>
  <w:style w:type="paragraph" w:customStyle="1" w:styleId="Bullet1">
    <w:name w:val="Bullet 1"/>
    <w:basedOn w:val="Normal"/>
    <w:rsid w:val="00D0082F"/>
    <w:pPr>
      <w:widowControl/>
      <w:numPr>
        <w:numId w:val="15"/>
      </w:numPr>
      <w:tabs>
        <w:tab w:val="clear" w:pos="1134"/>
        <w:tab w:val="num" w:pos="1417"/>
      </w:tabs>
      <w:spacing w:before="120" w:after="120"/>
      <w:ind w:left="1417"/>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ebe\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EC80-0DDE-467F-B95E-0D6F312E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9</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RANDERS Berit</dc:creator>
  <cp:lastModifiedBy>RANDERS Berit</cp:lastModifiedBy>
  <cp:revision>6</cp:revision>
  <cp:lastPrinted>2004-04-02T13:43:00Z</cp:lastPrinted>
  <dcterms:created xsi:type="dcterms:W3CDTF">2018-05-22T10:12:00Z</dcterms:created>
  <dcterms:modified xsi:type="dcterms:W3CDTF">2018-06-01T14:17:00Z</dcterms:modified>
</cp:coreProperties>
</file>