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3FAB4" w14:textId="758FA7A0" w:rsidR="00556615" w:rsidRPr="00556615" w:rsidRDefault="00556615" w:rsidP="00556615">
      <w:pPr>
        <w:spacing w:before="0" w:after="200"/>
        <w:ind w:left="-284" w:firstLine="284"/>
        <w:jc w:val="left"/>
        <w:rPr>
          <w:rFonts w:ascii="Tahoma" w:eastAsia="Calibri" w:hAnsi="Tahoma" w:cs="Tahoma"/>
          <w:b/>
          <w:bCs/>
          <w:color w:val="003366"/>
          <w:sz w:val="28"/>
          <w:szCs w:val="24"/>
          <w:lang w:eastAsia="en-US"/>
        </w:rPr>
      </w:pPr>
      <w:bookmarkStart w:id="0" w:name="_GoBack"/>
      <w:bookmarkEnd w:id="0"/>
      <w:r w:rsidRPr="00556615">
        <w:rPr>
          <w:rFonts w:ascii="Calibri" w:eastAsia="Calibri" w:hAnsi="Calibri"/>
          <w:noProof/>
          <w:szCs w:val="22"/>
        </w:rPr>
        <w:drawing>
          <wp:anchor distT="0" distB="0" distL="114300" distR="114300" simplePos="0" relativeHeight="251663360" behindDoc="1" locked="0" layoutInCell="1" allowOverlap="1" wp14:anchorId="4459B130" wp14:editId="4180642B">
            <wp:simplePos x="0" y="0"/>
            <wp:positionH relativeFrom="column">
              <wp:posOffset>-1187450</wp:posOffset>
            </wp:positionH>
            <wp:positionV relativeFrom="paragraph">
              <wp:posOffset>-1143000</wp:posOffset>
            </wp:positionV>
            <wp:extent cx="8154670" cy="11281410"/>
            <wp:effectExtent l="0" t="0" r="0" b="0"/>
            <wp:wrapNone/>
            <wp:docPr id="13" name="Image 13" descr="Description : Description : Brochure-report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tion : Description : Brochure-report20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4670" cy="1128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5B08B" w14:textId="77777777" w:rsidR="00556615" w:rsidRPr="00556615" w:rsidRDefault="00556615" w:rsidP="00556615">
      <w:pPr>
        <w:spacing w:before="0" w:after="200"/>
        <w:jc w:val="left"/>
        <w:rPr>
          <w:rFonts w:ascii="Tahoma" w:eastAsia="Calibri" w:hAnsi="Tahoma" w:cs="Tahoma"/>
          <w:b/>
          <w:bCs/>
          <w:color w:val="003366"/>
          <w:sz w:val="28"/>
          <w:szCs w:val="24"/>
          <w:lang w:eastAsia="en-US"/>
        </w:rPr>
      </w:pPr>
    </w:p>
    <w:p w14:paraId="4332A694" w14:textId="77777777" w:rsidR="00556615" w:rsidRPr="00556615" w:rsidRDefault="00556615" w:rsidP="00556615">
      <w:pPr>
        <w:spacing w:before="0" w:after="200"/>
        <w:jc w:val="left"/>
        <w:rPr>
          <w:rFonts w:ascii="Tahoma" w:eastAsia="Calibri" w:hAnsi="Tahoma" w:cs="Tahoma"/>
          <w:b/>
          <w:bCs/>
          <w:color w:val="003366"/>
          <w:sz w:val="28"/>
          <w:szCs w:val="24"/>
          <w:lang w:eastAsia="en-US"/>
        </w:rPr>
      </w:pPr>
    </w:p>
    <w:p w14:paraId="092D4CB1" w14:textId="77777777" w:rsidR="00556615" w:rsidRPr="00556615" w:rsidRDefault="00556615" w:rsidP="00556615">
      <w:pPr>
        <w:spacing w:before="0" w:after="200"/>
        <w:jc w:val="left"/>
        <w:rPr>
          <w:rFonts w:ascii="Tahoma" w:eastAsia="Calibri" w:hAnsi="Tahoma" w:cs="Tahoma"/>
          <w:b/>
          <w:bCs/>
          <w:color w:val="003366"/>
          <w:sz w:val="28"/>
          <w:szCs w:val="24"/>
          <w:lang w:eastAsia="en-US"/>
        </w:rPr>
      </w:pPr>
    </w:p>
    <w:p w14:paraId="29E3DC5F" w14:textId="77777777" w:rsidR="00556615" w:rsidRPr="00556615" w:rsidRDefault="00556615" w:rsidP="00556615">
      <w:pPr>
        <w:spacing w:before="0" w:after="200"/>
        <w:jc w:val="left"/>
        <w:rPr>
          <w:rFonts w:ascii="Tahoma" w:eastAsia="Calibri" w:hAnsi="Tahoma" w:cs="Tahoma"/>
          <w:b/>
          <w:bCs/>
          <w:color w:val="003366"/>
          <w:sz w:val="28"/>
          <w:szCs w:val="24"/>
          <w:lang w:eastAsia="en-US"/>
        </w:rPr>
      </w:pPr>
    </w:p>
    <w:p w14:paraId="2589F996" w14:textId="77777777" w:rsidR="00556615" w:rsidRPr="00556615" w:rsidRDefault="00556615" w:rsidP="00556615">
      <w:pPr>
        <w:spacing w:before="0" w:after="200"/>
        <w:jc w:val="left"/>
        <w:rPr>
          <w:rFonts w:ascii="Tahoma" w:eastAsia="Calibri" w:hAnsi="Tahoma" w:cs="Tahoma"/>
          <w:b/>
          <w:bCs/>
          <w:color w:val="003366"/>
          <w:sz w:val="28"/>
          <w:szCs w:val="28"/>
          <w:lang w:eastAsia="en-US"/>
        </w:rPr>
      </w:pPr>
    </w:p>
    <w:p w14:paraId="3938B780" w14:textId="77777777" w:rsidR="00556615" w:rsidRPr="00556615" w:rsidRDefault="00556615" w:rsidP="00556615">
      <w:pPr>
        <w:spacing w:before="0" w:after="200"/>
        <w:jc w:val="center"/>
        <w:rPr>
          <w:rFonts w:eastAsia="Calibri" w:cs="Arial"/>
          <w:b/>
          <w:bCs/>
          <w:color w:val="FFFFFF"/>
          <w:sz w:val="36"/>
          <w:szCs w:val="36"/>
          <w:lang w:eastAsia="en-US"/>
        </w:rPr>
      </w:pPr>
      <w:r w:rsidRPr="00556615">
        <w:rPr>
          <w:rFonts w:eastAsia="Calibri" w:cs="Arial"/>
          <w:b/>
          <w:bCs/>
          <w:color w:val="FFFFFF"/>
          <w:sz w:val="36"/>
          <w:szCs w:val="36"/>
          <w:lang w:eastAsia="en-US"/>
        </w:rPr>
        <w:t xml:space="preserve">Assistance technique pour la gestion de l’information sur l’urbain en Haïti </w:t>
      </w:r>
      <w:r w:rsidRPr="00556615">
        <w:rPr>
          <w:rFonts w:eastAsia="Calibri" w:cs="Arial"/>
          <w:b/>
          <w:color w:val="FFFFFF"/>
          <w:sz w:val="32"/>
          <w:szCs w:val="32"/>
          <w:lang w:eastAsia="en-US"/>
        </w:rPr>
        <w:t>volet PAIFU</w:t>
      </w:r>
    </w:p>
    <w:p w14:paraId="4FE47254" w14:textId="77777777" w:rsidR="00556615" w:rsidRPr="00556615" w:rsidRDefault="00556615" w:rsidP="00556615">
      <w:pPr>
        <w:spacing w:before="0" w:after="200"/>
        <w:jc w:val="center"/>
        <w:rPr>
          <w:rFonts w:eastAsia="Calibri" w:cs="Arial"/>
          <w:b/>
          <w:color w:val="FFFFFF"/>
          <w:sz w:val="32"/>
          <w:szCs w:val="32"/>
          <w:lang w:eastAsia="en-US"/>
        </w:rPr>
      </w:pPr>
      <w:r w:rsidRPr="00556615">
        <w:rPr>
          <w:rFonts w:eastAsia="Calibri" w:cs="Arial"/>
          <w:b/>
          <w:color w:val="FFFFFF"/>
          <w:sz w:val="32"/>
          <w:szCs w:val="32"/>
          <w:lang w:eastAsia="en-US"/>
        </w:rPr>
        <w:t>Délégation de l'Union Européenne en Haïti</w:t>
      </w:r>
    </w:p>
    <w:p w14:paraId="0A02EFA3" w14:textId="77777777" w:rsidR="00556615" w:rsidRPr="00556615" w:rsidRDefault="00556615" w:rsidP="00556615">
      <w:pPr>
        <w:spacing w:before="0" w:after="200"/>
        <w:jc w:val="center"/>
        <w:rPr>
          <w:rFonts w:eastAsia="Calibri" w:cs="Arial"/>
          <w:b/>
          <w:color w:val="FFFFFF"/>
          <w:sz w:val="32"/>
          <w:szCs w:val="32"/>
          <w:lang w:eastAsia="en-US"/>
        </w:rPr>
      </w:pPr>
      <w:r w:rsidRPr="00556615">
        <w:rPr>
          <w:rFonts w:eastAsia="Calibri" w:cs="Arial"/>
          <w:b/>
          <w:color w:val="FFFFFF"/>
          <w:sz w:val="32"/>
          <w:szCs w:val="32"/>
          <w:lang w:eastAsia="en-US"/>
        </w:rPr>
        <w:t>-</w:t>
      </w:r>
    </w:p>
    <w:p w14:paraId="2DB00201" w14:textId="3CA08FE5" w:rsidR="00556615" w:rsidRPr="00430A25" w:rsidRDefault="00430A25" w:rsidP="00556615">
      <w:pPr>
        <w:spacing w:before="0" w:after="200"/>
        <w:jc w:val="center"/>
        <w:rPr>
          <w:rFonts w:eastAsia="Calibri" w:cs="Arial"/>
          <w:b/>
          <w:color w:val="FFFFFF"/>
          <w:sz w:val="36"/>
          <w:szCs w:val="36"/>
          <w:lang w:eastAsia="en-US"/>
        </w:rPr>
      </w:pPr>
      <w:r w:rsidRPr="00430A25">
        <w:rPr>
          <w:rFonts w:eastAsia="Calibri" w:cs="Arial"/>
          <w:b/>
          <w:color w:val="FFFFFF"/>
          <w:sz w:val="36"/>
          <w:szCs w:val="36"/>
          <w:lang w:eastAsia="en-US"/>
        </w:rPr>
        <w:t>Rapport méthodologique proposant un cadre de suivi-évaluation du secteur urbain</w:t>
      </w:r>
      <w:r w:rsidR="00556615" w:rsidRPr="00430A25">
        <w:rPr>
          <w:rFonts w:eastAsia="Calibri" w:cs="Arial"/>
          <w:b/>
          <w:color w:val="FFFFFF"/>
          <w:sz w:val="36"/>
          <w:szCs w:val="36"/>
          <w:lang w:eastAsia="en-US"/>
        </w:rPr>
        <w:t xml:space="preserve"> – Version provisoire</w:t>
      </w:r>
    </w:p>
    <w:p w14:paraId="5449A645" w14:textId="77777777" w:rsidR="00556615" w:rsidRPr="00F26A4C" w:rsidRDefault="00556615" w:rsidP="00556615">
      <w:pPr>
        <w:spacing w:before="0" w:after="200"/>
        <w:jc w:val="center"/>
        <w:rPr>
          <w:rFonts w:eastAsia="Calibri" w:cs="Arial"/>
          <w:b/>
          <w:color w:val="FFFFFF"/>
          <w:sz w:val="24"/>
          <w:szCs w:val="24"/>
          <w:lang w:eastAsia="en-US"/>
        </w:rPr>
      </w:pPr>
      <w:r w:rsidRPr="00F26A4C">
        <w:rPr>
          <w:rFonts w:eastAsia="Calibri" w:cs="Arial"/>
          <w:b/>
          <w:color w:val="FFFFFF"/>
          <w:sz w:val="24"/>
          <w:szCs w:val="24"/>
          <w:lang w:eastAsia="en-US"/>
        </w:rPr>
        <w:t>Framework Contract Beneficiaries - LOT 7</w:t>
      </w:r>
    </w:p>
    <w:p w14:paraId="287C90F7" w14:textId="77777777" w:rsidR="00556615" w:rsidRPr="00556615" w:rsidRDefault="00556615" w:rsidP="00556615">
      <w:pPr>
        <w:spacing w:before="0" w:after="200"/>
        <w:jc w:val="center"/>
        <w:rPr>
          <w:rFonts w:eastAsia="Calibri" w:cs="Arial"/>
          <w:b/>
          <w:color w:val="FFFFFF"/>
          <w:sz w:val="24"/>
          <w:szCs w:val="24"/>
          <w:lang w:eastAsia="en-US"/>
        </w:rPr>
      </w:pPr>
      <w:r w:rsidRPr="00556615">
        <w:rPr>
          <w:rFonts w:eastAsia="Calibri" w:cs="Arial"/>
          <w:b/>
          <w:color w:val="FFFFFF"/>
          <w:sz w:val="24"/>
          <w:szCs w:val="24"/>
          <w:lang w:eastAsia="en-US"/>
        </w:rPr>
        <w:t>Contrat Spécifique N°</w:t>
      </w:r>
      <w:r w:rsidRPr="00556615">
        <w:rPr>
          <w:rFonts w:ascii="Calibri" w:eastAsia="Calibri" w:hAnsi="Calibri"/>
          <w:b/>
          <w:sz w:val="24"/>
          <w:szCs w:val="24"/>
          <w:lang w:eastAsia="en-US"/>
        </w:rPr>
        <w:t xml:space="preserve"> </w:t>
      </w:r>
      <w:r w:rsidRPr="00556615">
        <w:rPr>
          <w:rFonts w:eastAsia="Calibri" w:cs="Arial"/>
          <w:b/>
          <w:color w:val="FFFFFF"/>
          <w:sz w:val="24"/>
          <w:szCs w:val="24"/>
          <w:lang w:eastAsia="en-US"/>
        </w:rPr>
        <w:t>2015/366047/1</w:t>
      </w:r>
    </w:p>
    <w:p w14:paraId="4DD21CC9" w14:textId="77777777" w:rsidR="00556615" w:rsidRPr="00556615" w:rsidRDefault="00556615" w:rsidP="00556615">
      <w:pPr>
        <w:spacing w:before="0" w:after="200"/>
        <w:jc w:val="center"/>
        <w:rPr>
          <w:rFonts w:eastAsia="Calibri" w:cs="Arial"/>
          <w:b/>
          <w:color w:val="FFFFFF"/>
          <w:sz w:val="24"/>
          <w:szCs w:val="24"/>
          <w:lang w:eastAsia="en-US"/>
        </w:rPr>
      </w:pPr>
      <w:r w:rsidRPr="00556615">
        <w:rPr>
          <w:rFonts w:eastAsia="Calibri" w:cs="Arial"/>
          <w:b/>
          <w:color w:val="FFFFFF"/>
          <w:sz w:val="24"/>
          <w:szCs w:val="24"/>
          <w:lang w:eastAsia="en-US"/>
        </w:rPr>
        <w:t>Septembre 2016</w:t>
      </w:r>
    </w:p>
    <w:p w14:paraId="10A728AF" w14:textId="77777777" w:rsidR="00556615" w:rsidRPr="00556615" w:rsidRDefault="00556615" w:rsidP="00556615">
      <w:pPr>
        <w:spacing w:before="0" w:after="200"/>
        <w:jc w:val="center"/>
        <w:rPr>
          <w:rFonts w:eastAsia="Calibri" w:cs="Arial"/>
          <w:color w:val="FFFFFF"/>
          <w:sz w:val="28"/>
          <w:szCs w:val="28"/>
          <w:lang w:eastAsia="en-US"/>
        </w:rPr>
      </w:pPr>
    </w:p>
    <w:p w14:paraId="77D076FF" w14:textId="77777777" w:rsidR="00556615" w:rsidRPr="00556615" w:rsidRDefault="00556615" w:rsidP="00556615">
      <w:pPr>
        <w:spacing w:before="0" w:after="200"/>
        <w:jc w:val="center"/>
        <w:rPr>
          <w:rFonts w:eastAsia="Calibri" w:cs="Arial"/>
          <w:color w:val="FFFFFF"/>
          <w:sz w:val="28"/>
          <w:szCs w:val="28"/>
          <w:lang w:eastAsia="en-US"/>
        </w:rPr>
      </w:pPr>
      <w:r w:rsidRPr="00556615">
        <w:rPr>
          <w:rFonts w:eastAsia="Calibri" w:cs="Arial"/>
          <w:color w:val="FFFFFF"/>
          <w:sz w:val="28"/>
          <w:szCs w:val="28"/>
          <w:lang w:eastAsia="en-US"/>
        </w:rPr>
        <w:t>Préparé par:</w:t>
      </w:r>
    </w:p>
    <w:p w14:paraId="13720209" w14:textId="75BAD52A" w:rsidR="00556615" w:rsidRPr="00F26A4C" w:rsidRDefault="00556615" w:rsidP="00556615">
      <w:pPr>
        <w:spacing w:before="0"/>
        <w:jc w:val="center"/>
        <w:rPr>
          <w:rFonts w:eastAsia="Calibri" w:cs="Arial"/>
          <w:color w:val="FFFFFF"/>
          <w:sz w:val="28"/>
          <w:szCs w:val="28"/>
          <w:lang w:eastAsia="en-US"/>
        </w:rPr>
      </w:pPr>
      <w:r w:rsidRPr="00556615">
        <w:rPr>
          <w:rFonts w:eastAsia="Calibri" w:cs="Arial"/>
          <w:color w:val="FFFFFF"/>
          <w:sz w:val="28"/>
          <w:szCs w:val="28"/>
          <w:lang w:eastAsia="en-US"/>
        </w:rPr>
        <w:t>M</w:t>
      </w:r>
      <w:r w:rsidR="00430A25">
        <w:rPr>
          <w:rFonts w:eastAsia="Calibri" w:cs="Arial"/>
          <w:color w:val="FFFFFF"/>
          <w:sz w:val="28"/>
          <w:szCs w:val="28"/>
          <w:lang w:eastAsia="en-US"/>
        </w:rPr>
        <w:t>me</w:t>
      </w:r>
      <w:r w:rsidRPr="00556615">
        <w:rPr>
          <w:rFonts w:eastAsia="Calibri" w:cs="Arial"/>
          <w:color w:val="FFFFFF"/>
          <w:sz w:val="28"/>
          <w:szCs w:val="28"/>
          <w:lang w:eastAsia="en-US"/>
        </w:rPr>
        <w:t xml:space="preserve">. </w:t>
      </w:r>
      <w:r w:rsidR="00430A25" w:rsidRPr="00430A25">
        <w:rPr>
          <w:rFonts w:eastAsia="Calibri" w:cs="Arial"/>
          <w:color w:val="FFFFFF"/>
          <w:sz w:val="28"/>
          <w:szCs w:val="28"/>
          <w:lang w:eastAsia="en-US"/>
        </w:rPr>
        <w:t>Audrey CROCKER</w:t>
      </w:r>
      <w:r w:rsidRPr="00556615">
        <w:rPr>
          <w:rFonts w:eastAsia="Calibri" w:cs="Arial"/>
          <w:color w:val="FFFFFF"/>
          <w:sz w:val="28"/>
          <w:szCs w:val="28"/>
          <w:lang w:eastAsia="en-US"/>
        </w:rPr>
        <w:t xml:space="preserve">, </w:t>
      </w:r>
      <w:r w:rsidR="00430A25" w:rsidRPr="00430A25">
        <w:rPr>
          <w:rFonts w:eastAsia="Calibri" w:cs="Arial"/>
          <w:color w:val="FFFFFF"/>
          <w:sz w:val="28"/>
          <w:szCs w:val="28"/>
          <w:lang w:eastAsia="en-US"/>
        </w:rPr>
        <w:t>Expert en suivi/évaluation sectoriel</w:t>
      </w:r>
    </w:p>
    <w:p w14:paraId="17C4CE3E" w14:textId="77777777" w:rsidR="00556615" w:rsidRPr="00F26A4C" w:rsidRDefault="00556615" w:rsidP="00556615">
      <w:pPr>
        <w:spacing w:before="0"/>
        <w:ind w:firstLine="426"/>
        <w:jc w:val="left"/>
        <w:rPr>
          <w:rFonts w:eastAsia="Calibri" w:cs="Arial"/>
          <w:b/>
          <w:color w:val="FFFFFF"/>
          <w:sz w:val="32"/>
          <w:szCs w:val="32"/>
          <w:lang w:eastAsia="en-US"/>
        </w:rPr>
      </w:pPr>
    </w:p>
    <w:tbl>
      <w:tblPr>
        <w:tblpPr w:leftFromText="141" w:rightFromText="141" w:vertAnchor="text" w:horzAnchor="margin" w:tblpXSpec="right" w:tblpY="-80"/>
        <w:tblW w:w="8863" w:type="dxa"/>
        <w:tblLook w:val="04A0" w:firstRow="1" w:lastRow="0" w:firstColumn="1" w:lastColumn="0" w:noHBand="0" w:noVBand="1"/>
      </w:tblPr>
      <w:tblGrid>
        <w:gridCol w:w="3017"/>
        <w:gridCol w:w="2984"/>
        <w:gridCol w:w="2862"/>
      </w:tblGrid>
      <w:tr w:rsidR="00556615" w:rsidRPr="00556615" w14:paraId="6C28008B" w14:textId="77777777" w:rsidTr="00556615">
        <w:trPr>
          <w:trHeight w:val="1613"/>
        </w:trPr>
        <w:tc>
          <w:tcPr>
            <w:tcW w:w="3017" w:type="dxa"/>
            <w:shd w:val="clear" w:color="auto" w:fill="auto"/>
          </w:tcPr>
          <w:p w14:paraId="7428D220" w14:textId="77777777" w:rsidR="00556615" w:rsidRPr="00F26A4C" w:rsidRDefault="00693265" w:rsidP="00556615">
            <w:pPr>
              <w:spacing w:before="0"/>
              <w:ind w:right="-26" w:firstLine="426"/>
              <w:jc w:val="left"/>
              <w:rPr>
                <w:rFonts w:eastAsia="Calibri" w:cs="Arial"/>
                <w:b/>
                <w:color w:val="FFFFFF"/>
                <w:szCs w:val="22"/>
                <w:lang w:eastAsia="en-US"/>
              </w:rPr>
            </w:pPr>
            <w:r>
              <w:rPr>
                <w:rFonts w:eastAsia="Calibri" w:cs="Arial"/>
                <w:b/>
                <w:color w:val="FFFFFF"/>
                <w:szCs w:val="22"/>
                <w:lang w:val="en-GB" w:eastAsia="es-ES"/>
              </w:rPr>
              <w:pict w14:anchorId="3FEF6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33.75pt;margin-top:29.25pt;width:63.6pt;height:43.05pt;z-index:251665408">
                  <v:imagedata r:id="rId10" o:title=""/>
                  <w10:wrap type="square"/>
                </v:shape>
                <o:OLEObject Type="Embed" ProgID="MSPhotoEd.3" ShapeID="_x0000_s1032" DrawAspect="Content" ObjectID="_1542636886" r:id="rId11"/>
              </w:pict>
            </w:r>
          </w:p>
        </w:tc>
        <w:tc>
          <w:tcPr>
            <w:tcW w:w="2984" w:type="dxa"/>
            <w:shd w:val="clear" w:color="auto" w:fill="auto"/>
          </w:tcPr>
          <w:p w14:paraId="5D11F8E7" w14:textId="7D0E0AA7" w:rsidR="00556615" w:rsidRPr="00F26A4C" w:rsidRDefault="00556615" w:rsidP="00556615">
            <w:pPr>
              <w:spacing w:before="0"/>
              <w:ind w:right="-26" w:firstLine="426"/>
              <w:jc w:val="left"/>
              <w:rPr>
                <w:rFonts w:eastAsia="Calibri" w:cs="Arial"/>
                <w:b/>
                <w:color w:val="FFFFFF"/>
                <w:szCs w:val="22"/>
                <w:lang w:eastAsia="en-US"/>
              </w:rPr>
            </w:pPr>
            <w:r w:rsidRPr="00556615">
              <w:rPr>
                <w:rFonts w:ascii="Calibri" w:eastAsia="Calibri" w:hAnsi="Calibri"/>
                <w:noProof/>
                <w:szCs w:val="22"/>
              </w:rPr>
              <w:drawing>
                <wp:anchor distT="0" distB="0" distL="114300" distR="114300" simplePos="0" relativeHeight="251664384" behindDoc="0" locked="0" layoutInCell="1" allowOverlap="1" wp14:anchorId="5EAF8FB8" wp14:editId="1BFD7A6F">
                  <wp:simplePos x="0" y="0"/>
                  <wp:positionH relativeFrom="column">
                    <wp:posOffset>291465</wp:posOffset>
                  </wp:positionH>
                  <wp:positionV relativeFrom="paragraph">
                    <wp:posOffset>441960</wp:posOffset>
                  </wp:positionV>
                  <wp:extent cx="909320" cy="476250"/>
                  <wp:effectExtent l="0" t="0" r="5080" b="0"/>
                  <wp:wrapSquare wrapText="bothSides"/>
                  <wp:docPr id="12" name="Image 12" descr="Description : Description : altair_peq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Description : altair_peq_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9320"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62" w:type="dxa"/>
            <w:shd w:val="clear" w:color="auto" w:fill="auto"/>
          </w:tcPr>
          <w:p w14:paraId="1586A9AF" w14:textId="77777777" w:rsidR="00556615" w:rsidRPr="00F26A4C" w:rsidRDefault="00556615" w:rsidP="00556615">
            <w:pPr>
              <w:spacing w:before="0"/>
              <w:ind w:right="-26" w:firstLine="426"/>
              <w:jc w:val="left"/>
              <w:rPr>
                <w:rFonts w:eastAsia="Calibri" w:cs="Arial"/>
                <w:b/>
                <w:noProof/>
                <w:color w:val="FFFFFF"/>
                <w:szCs w:val="22"/>
                <w:lang w:eastAsia="es-ES"/>
              </w:rPr>
            </w:pPr>
          </w:p>
          <w:p w14:paraId="6A286A66" w14:textId="77777777" w:rsidR="00556615" w:rsidRPr="00F26A4C" w:rsidRDefault="00556615" w:rsidP="00556615">
            <w:pPr>
              <w:spacing w:before="0"/>
              <w:ind w:right="-26" w:firstLine="426"/>
              <w:jc w:val="left"/>
              <w:rPr>
                <w:rFonts w:eastAsia="Calibri" w:cs="Arial"/>
                <w:b/>
                <w:noProof/>
                <w:color w:val="FFFFFF"/>
                <w:szCs w:val="22"/>
                <w:lang w:eastAsia="es-ES"/>
              </w:rPr>
            </w:pPr>
          </w:p>
          <w:p w14:paraId="2B86C45D" w14:textId="4C5DF2AC" w:rsidR="00556615" w:rsidRPr="00556615" w:rsidRDefault="00556615" w:rsidP="00556615">
            <w:pPr>
              <w:spacing w:before="0"/>
              <w:ind w:right="-26" w:firstLine="426"/>
              <w:jc w:val="left"/>
              <w:rPr>
                <w:rFonts w:eastAsia="Calibri" w:cs="Arial"/>
                <w:b/>
                <w:noProof/>
                <w:color w:val="FFFFFF"/>
                <w:szCs w:val="22"/>
                <w:lang w:val="en-GB" w:eastAsia="es-ES"/>
              </w:rPr>
            </w:pPr>
            <w:r w:rsidRPr="00556615">
              <w:rPr>
                <w:rFonts w:eastAsia="Calibri" w:cs="Arial"/>
                <w:b/>
                <w:noProof/>
                <w:color w:val="FFFFFF"/>
                <w:szCs w:val="22"/>
              </w:rPr>
              <w:drawing>
                <wp:inline distT="0" distB="0" distL="0" distR="0" wp14:anchorId="10296A7A" wp14:editId="211C0E51">
                  <wp:extent cx="733425" cy="619125"/>
                  <wp:effectExtent l="0" t="0" r="9525"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425" cy="619125"/>
                          </a:xfrm>
                          <a:prstGeom prst="rect">
                            <a:avLst/>
                          </a:prstGeom>
                          <a:noFill/>
                          <a:ln>
                            <a:noFill/>
                          </a:ln>
                        </pic:spPr>
                      </pic:pic>
                    </a:graphicData>
                  </a:graphic>
                </wp:inline>
              </w:drawing>
            </w:r>
          </w:p>
        </w:tc>
      </w:tr>
      <w:tr w:rsidR="00556615" w:rsidRPr="00556615" w14:paraId="384BB62E" w14:textId="77777777" w:rsidTr="00556615">
        <w:trPr>
          <w:trHeight w:val="1026"/>
        </w:trPr>
        <w:tc>
          <w:tcPr>
            <w:tcW w:w="3017" w:type="dxa"/>
            <w:shd w:val="clear" w:color="auto" w:fill="auto"/>
          </w:tcPr>
          <w:p w14:paraId="55A9CFC1" w14:textId="77777777" w:rsidR="00556615" w:rsidRPr="00430A25" w:rsidRDefault="00556615" w:rsidP="00556615">
            <w:pPr>
              <w:spacing w:before="0"/>
              <w:ind w:right="-26" w:firstLine="426"/>
              <w:jc w:val="left"/>
              <w:rPr>
                <w:rFonts w:eastAsia="Calibri" w:cs="Arial"/>
                <w:color w:val="FFFFFF"/>
                <w:szCs w:val="22"/>
                <w:lang w:eastAsia="en-US"/>
              </w:rPr>
            </w:pPr>
            <w:r w:rsidRPr="00430A25">
              <w:rPr>
                <w:rFonts w:eastAsia="Calibri" w:cs="Arial"/>
                <w:color w:val="FFFFFF"/>
                <w:szCs w:val="22"/>
                <w:lang w:eastAsia="en-US"/>
              </w:rPr>
              <w:t xml:space="preserve">Projet financé par </w:t>
            </w:r>
          </w:p>
          <w:p w14:paraId="6E93F14F" w14:textId="77777777" w:rsidR="00556615" w:rsidRPr="00430A25" w:rsidRDefault="00556615" w:rsidP="00556615">
            <w:pPr>
              <w:spacing w:before="0"/>
              <w:ind w:right="-26" w:firstLine="426"/>
              <w:jc w:val="left"/>
              <w:rPr>
                <w:rFonts w:eastAsia="Calibri" w:cs="Arial"/>
                <w:color w:val="FFFFFF"/>
                <w:szCs w:val="22"/>
                <w:lang w:eastAsia="en-US"/>
              </w:rPr>
            </w:pPr>
            <w:r w:rsidRPr="00430A25">
              <w:rPr>
                <w:rFonts w:eastAsia="Calibri" w:cs="Arial"/>
                <w:color w:val="FFFFFF"/>
                <w:szCs w:val="22"/>
                <w:lang w:eastAsia="en-US"/>
              </w:rPr>
              <w:t>l’Union Européenne</w:t>
            </w:r>
          </w:p>
        </w:tc>
        <w:tc>
          <w:tcPr>
            <w:tcW w:w="2984" w:type="dxa"/>
            <w:shd w:val="clear" w:color="auto" w:fill="auto"/>
          </w:tcPr>
          <w:p w14:paraId="3C9D4781" w14:textId="77777777" w:rsidR="00556615" w:rsidRPr="00430A25" w:rsidRDefault="00556615" w:rsidP="00556615">
            <w:pPr>
              <w:spacing w:before="0"/>
              <w:ind w:right="-28"/>
              <w:jc w:val="left"/>
              <w:rPr>
                <w:rFonts w:eastAsia="Calibri" w:cs="Arial"/>
                <w:b/>
                <w:color w:val="FFFFFF"/>
                <w:szCs w:val="22"/>
                <w:lang w:eastAsia="en-US"/>
              </w:rPr>
            </w:pPr>
            <w:r w:rsidRPr="00430A25">
              <w:rPr>
                <w:rFonts w:eastAsia="Calibri" w:cs="Arial"/>
                <w:color w:val="FFFFFF"/>
                <w:szCs w:val="22"/>
                <w:lang w:eastAsia="en-US"/>
              </w:rPr>
              <w:t>Mis en œuvre par ALTAIR Consortium</w:t>
            </w:r>
          </w:p>
          <w:p w14:paraId="78CCF79A" w14:textId="77777777" w:rsidR="00556615" w:rsidRPr="00430A25" w:rsidRDefault="00556615" w:rsidP="00556615">
            <w:pPr>
              <w:spacing w:before="0"/>
              <w:ind w:right="-28" w:firstLine="426"/>
              <w:jc w:val="left"/>
              <w:rPr>
                <w:rFonts w:eastAsia="Calibri" w:cs="Arial"/>
                <w:b/>
                <w:color w:val="FFFFFF"/>
                <w:szCs w:val="22"/>
                <w:lang w:eastAsia="en-US"/>
              </w:rPr>
            </w:pPr>
          </w:p>
        </w:tc>
        <w:tc>
          <w:tcPr>
            <w:tcW w:w="2862" w:type="dxa"/>
            <w:shd w:val="clear" w:color="auto" w:fill="auto"/>
          </w:tcPr>
          <w:p w14:paraId="6A43C3AE" w14:textId="77777777" w:rsidR="00556615" w:rsidRPr="00430A25" w:rsidRDefault="00556615" w:rsidP="00556615">
            <w:pPr>
              <w:spacing w:before="0"/>
              <w:ind w:right="-28"/>
              <w:jc w:val="left"/>
              <w:rPr>
                <w:rFonts w:eastAsia="Calibri" w:cs="Arial"/>
                <w:b/>
                <w:color w:val="FFFFFF"/>
                <w:szCs w:val="22"/>
                <w:lang w:eastAsia="en-US"/>
              </w:rPr>
            </w:pPr>
            <w:r w:rsidRPr="00430A25">
              <w:rPr>
                <w:rFonts w:eastAsia="Calibri" w:cs="Arial"/>
                <w:color w:val="FFFFFF"/>
                <w:szCs w:val="22"/>
                <w:lang w:eastAsia="en-US"/>
              </w:rPr>
              <w:t>Leading Implementing Partner</w:t>
            </w:r>
          </w:p>
          <w:p w14:paraId="44B6EA6A" w14:textId="77777777" w:rsidR="00556615" w:rsidRPr="00430A25" w:rsidRDefault="00556615" w:rsidP="00556615">
            <w:pPr>
              <w:spacing w:before="0"/>
              <w:ind w:right="-28" w:firstLine="426"/>
              <w:jc w:val="left"/>
              <w:rPr>
                <w:rFonts w:eastAsia="Calibri" w:cs="Arial"/>
                <w:color w:val="FFFFFF"/>
                <w:szCs w:val="22"/>
                <w:lang w:eastAsia="en-US"/>
              </w:rPr>
            </w:pPr>
          </w:p>
        </w:tc>
      </w:tr>
    </w:tbl>
    <w:p w14:paraId="4B98DC1A" w14:textId="77777777" w:rsidR="00556615" w:rsidRPr="00556615" w:rsidRDefault="00556615" w:rsidP="00556615">
      <w:pPr>
        <w:spacing w:before="0" w:after="200"/>
        <w:jc w:val="center"/>
        <w:rPr>
          <w:rFonts w:eastAsia="Calibri" w:cs="Arial"/>
          <w:color w:val="FFFFFF"/>
          <w:sz w:val="28"/>
          <w:szCs w:val="28"/>
          <w:lang w:eastAsia="en-US"/>
        </w:rPr>
      </w:pPr>
    </w:p>
    <w:p w14:paraId="42409FAC" w14:textId="77777777" w:rsidR="00556615" w:rsidRPr="00556615" w:rsidRDefault="00556615" w:rsidP="00556615">
      <w:pPr>
        <w:spacing w:before="0" w:after="200"/>
        <w:ind w:firstLine="426"/>
        <w:jc w:val="left"/>
        <w:rPr>
          <w:rFonts w:eastAsia="Calibri" w:cs="Arial"/>
          <w:b/>
          <w:color w:val="FFFFFF"/>
          <w:sz w:val="32"/>
          <w:szCs w:val="32"/>
          <w:lang w:eastAsia="en-US"/>
        </w:rPr>
      </w:pPr>
    </w:p>
    <w:p w14:paraId="6380D65C" w14:textId="77777777" w:rsidR="00430A25" w:rsidRDefault="00430A25" w:rsidP="00556615">
      <w:pPr>
        <w:spacing w:before="0" w:after="200" w:line="276" w:lineRule="auto"/>
        <w:rPr>
          <w:rFonts w:eastAsia="Calibri" w:cs="Arial"/>
          <w:bCs/>
          <w:i/>
          <w:iCs/>
          <w:szCs w:val="22"/>
          <w:lang w:eastAsia="en-US"/>
        </w:rPr>
        <w:sectPr w:rsidR="00430A25" w:rsidSect="00E2536C">
          <w:headerReference w:type="default" r:id="rId14"/>
          <w:footerReference w:type="default" r:id="rId15"/>
          <w:headerReference w:type="first" r:id="rId16"/>
          <w:pgSz w:w="11900" w:h="16840"/>
          <w:pgMar w:top="851" w:right="1134" w:bottom="851" w:left="1134" w:header="708" w:footer="708" w:gutter="0"/>
          <w:cols w:space="708"/>
          <w:docGrid w:linePitch="360"/>
        </w:sectPr>
      </w:pPr>
    </w:p>
    <w:p w14:paraId="23FEBCD8" w14:textId="7F22DD40" w:rsidR="00DB30FD" w:rsidRDefault="00DB30FD" w:rsidP="00DB30FD">
      <w:pPr>
        <w:rPr>
          <w:rFonts w:cs="Arial"/>
          <w:bCs/>
          <w:i/>
          <w:iCs/>
        </w:rPr>
      </w:pPr>
      <w:r>
        <w:rPr>
          <w:rFonts w:cs="Arial"/>
          <w:bCs/>
          <w:i/>
          <w:iCs/>
        </w:rPr>
        <w:lastRenderedPageBreak/>
        <w:t>Ce rapport a été rédigé</w:t>
      </w:r>
      <w:r w:rsidRPr="00F90E6F">
        <w:rPr>
          <w:rFonts w:cs="Arial"/>
          <w:bCs/>
          <w:i/>
          <w:iCs/>
        </w:rPr>
        <w:t xml:space="preserve"> suite à </w:t>
      </w:r>
      <w:r>
        <w:rPr>
          <w:rFonts w:cs="Arial"/>
          <w:bCs/>
          <w:i/>
          <w:iCs/>
        </w:rPr>
        <w:t xml:space="preserve">la </w:t>
      </w:r>
      <w:r w:rsidRPr="00F90E6F">
        <w:rPr>
          <w:rFonts w:cs="Arial"/>
          <w:bCs/>
          <w:i/>
          <w:iCs/>
        </w:rPr>
        <w:t>mission</w:t>
      </w:r>
      <w:r>
        <w:rPr>
          <w:rFonts w:cs="Arial"/>
          <w:bCs/>
          <w:i/>
          <w:iCs/>
        </w:rPr>
        <w:t xml:space="preserve"> intitulée « Gestion </w:t>
      </w:r>
      <w:r w:rsidR="00556615">
        <w:rPr>
          <w:rFonts w:cs="Arial"/>
          <w:bCs/>
          <w:i/>
          <w:iCs/>
        </w:rPr>
        <w:t>de l’information sur l’urbain »</w:t>
      </w:r>
      <w:r>
        <w:rPr>
          <w:rFonts w:cs="Arial"/>
          <w:bCs/>
          <w:i/>
          <w:iCs/>
        </w:rPr>
        <w:t xml:space="preserve"> du Projet d’Appui Interinstitutionnel des Fonctions Urbaines faite par la consultante Audrey CROCKER. La mission qui s’est déroulée entre décembre 2015 et octobre </w:t>
      </w:r>
      <w:r w:rsidRPr="00F90E6F">
        <w:rPr>
          <w:rFonts w:cs="Arial"/>
          <w:bCs/>
          <w:i/>
          <w:iCs/>
        </w:rPr>
        <w:t>201</w:t>
      </w:r>
      <w:r>
        <w:rPr>
          <w:rFonts w:cs="Arial"/>
          <w:bCs/>
          <w:i/>
          <w:iCs/>
        </w:rPr>
        <w:t xml:space="preserve">6, s’est faite sous la supervision du Directeur des Travaux Publics, Monsieur Alfred PIARD du Ministère des Travaux Publics, Transports et Communications, en collaboration avec les équipes de ce Ministère et ses partenaires institutionnels. </w:t>
      </w:r>
    </w:p>
    <w:p w14:paraId="7E9F650F" w14:textId="77777777" w:rsidR="00DB30FD" w:rsidRDefault="00DB30FD" w:rsidP="00DB30FD">
      <w:pPr>
        <w:rPr>
          <w:rFonts w:cs="Arial"/>
          <w:bCs/>
          <w:i/>
          <w:iCs/>
        </w:rPr>
      </w:pPr>
    </w:p>
    <w:p w14:paraId="43F4F24D" w14:textId="77777777" w:rsidR="00DB30FD" w:rsidRDefault="00DB30FD" w:rsidP="00DB30FD">
      <w:pPr>
        <w:rPr>
          <w:rFonts w:cs="Arial"/>
          <w:bCs/>
          <w:i/>
          <w:iCs/>
        </w:rPr>
      </w:pPr>
      <w:r w:rsidRPr="00D76860">
        <w:rPr>
          <w:rFonts w:cs="Arial"/>
          <w:bCs/>
          <w:i/>
          <w:iCs/>
        </w:rPr>
        <w:t>«</w:t>
      </w:r>
      <w:r w:rsidRPr="00F90E6F">
        <w:rPr>
          <w:rFonts w:cs="Arial"/>
          <w:bCs/>
          <w:i/>
          <w:iCs/>
        </w:rPr>
        <w:t xml:space="preserve"> Les opinions exprimées dans ce rapport sont celles du Consultant et ne sauraient en aucun cas refléter la position de la Commission européenne ni celle </w:t>
      </w:r>
      <w:r>
        <w:rPr>
          <w:rFonts w:cs="Arial"/>
          <w:bCs/>
          <w:i/>
          <w:iCs/>
        </w:rPr>
        <w:t xml:space="preserve">des bénéficiaires du projet en Haïti </w:t>
      </w:r>
      <w:r w:rsidRPr="00D76860">
        <w:rPr>
          <w:rFonts w:cs="Arial"/>
          <w:bCs/>
          <w:i/>
          <w:iCs/>
        </w:rPr>
        <w:t>».</w:t>
      </w:r>
    </w:p>
    <w:p w14:paraId="5079C476" w14:textId="77777777" w:rsidR="00DB30FD" w:rsidRDefault="00DB30FD" w:rsidP="00DB30FD">
      <w:pPr>
        <w:sectPr w:rsidR="00DB30FD" w:rsidSect="00E2536C">
          <w:pgSz w:w="11900" w:h="16840"/>
          <w:pgMar w:top="851" w:right="1134" w:bottom="851" w:left="1134" w:header="708" w:footer="708" w:gutter="0"/>
          <w:cols w:space="708"/>
          <w:docGrid w:linePitch="360"/>
        </w:sectPr>
      </w:pPr>
    </w:p>
    <w:p w14:paraId="065DEFBA" w14:textId="6A72B536" w:rsidR="000F34C0" w:rsidRDefault="00DB30FD" w:rsidP="00FB2DB2">
      <w:pPr>
        <w:pStyle w:val="Heading1"/>
        <w:numPr>
          <w:ilvl w:val="0"/>
          <w:numId w:val="0"/>
        </w:numPr>
        <w:ind w:left="567"/>
      </w:pPr>
      <w:bookmarkStart w:id="1" w:name="_Toc468189924"/>
      <w:r w:rsidRPr="00FB2DB2">
        <w:lastRenderedPageBreak/>
        <w:t>Sommaire</w:t>
      </w:r>
      <w:bookmarkEnd w:id="1"/>
    </w:p>
    <w:p w14:paraId="51962764" w14:textId="77777777" w:rsidR="00BB29FA" w:rsidRDefault="00607A57">
      <w:pPr>
        <w:pStyle w:val="TOC1"/>
        <w:rPr>
          <w:rFonts w:asciiTheme="minorHAnsi" w:eastAsiaTheme="minorEastAsia" w:hAnsiTheme="minorHAnsi" w:cstheme="minorBidi"/>
          <w:b w:val="0"/>
          <w:color w:val="auto"/>
          <w:sz w:val="22"/>
          <w:szCs w:val="22"/>
          <w:lang w:val="fr-FR"/>
        </w:rPr>
      </w:pPr>
      <w:r>
        <w:fldChar w:fldCharType="begin"/>
      </w:r>
      <w:r>
        <w:instrText xml:space="preserve"> TOC \o "1-3" \h \z \u </w:instrText>
      </w:r>
      <w:r>
        <w:fldChar w:fldCharType="separate"/>
      </w:r>
      <w:hyperlink w:anchor="_Toc468189924" w:history="1">
        <w:r w:rsidR="00BB29FA" w:rsidRPr="006A2ACA">
          <w:rPr>
            <w:rStyle w:val="Hyperlink"/>
          </w:rPr>
          <w:t>Sommaire</w:t>
        </w:r>
        <w:r w:rsidR="00BB29FA">
          <w:rPr>
            <w:webHidden/>
          </w:rPr>
          <w:tab/>
        </w:r>
        <w:r w:rsidR="00BB29FA">
          <w:rPr>
            <w:webHidden/>
          </w:rPr>
          <w:fldChar w:fldCharType="begin"/>
        </w:r>
        <w:r w:rsidR="00BB29FA">
          <w:rPr>
            <w:webHidden/>
          </w:rPr>
          <w:instrText xml:space="preserve"> PAGEREF _Toc468189924 \h </w:instrText>
        </w:r>
        <w:r w:rsidR="00BB29FA">
          <w:rPr>
            <w:webHidden/>
          </w:rPr>
        </w:r>
        <w:r w:rsidR="00BB29FA">
          <w:rPr>
            <w:webHidden/>
          </w:rPr>
          <w:fldChar w:fldCharType="separate"/>
        </w:r>
        <w:r w:rsidR="00BB29FA">
          <w:rPr>
            <w:webHidden/>
          </w:rPr>
          <w:t>3</w:t>
        </w:r>
        <w:r w:rsidR="00BB29FA">
          <w:rPr>
            <w:webHidden/>
          </w:rPr>
          <w:fldChar w:fldCharType="end"/>
        </w:r>
      </w:hyperlink>
    </w:p>
    <w:p w14:paraId="08720332" w14:textId="77777777" w:rsidR="00BB29FA" w:rsidRDefault="00693265">
      <w:pPr>
        <w:pStyle w:val="TOC2"/>
        <w:rPr>
          <w:rFonts w:asciiTheme="minorHAnsi" w:eastAsiaTheme="minorEastAsia" w:hAnsiTheme="minorHAnsi" w:cstheme="minorBidi"/>
          <w:b w:val="0"/>
          <w:iCs w:val="0"/>
          <w:color w:val="auto"/>
          <w:szCs w:val="22"/>
          <w:lang w:val="fr-FR"/>
        </w:rPr>
      </w:pPr>
      <w:hyperlink w:anchor="_Toc468189925" w:history="1">
        <w:r w:rsidR="00BB29FA" w:rsidRPr="006A2ACA">
          <w:rPr>
            <w:rStyle w:val="Hyperlink"/>
          </w:rPr>
          <w:t>Liste des abréviations</w:t>
        </w:r>
        <w:r w:rsidR="00BB29FA">
          <w:rPr>
            <w:webHidden/>
          </w:rPr>
          <w:tab/>
        </w:r>
        <w:r w:rsidR="00BB29FA">
          <w:rPr>
            <w:webHidden/>
          </w:rPr>
          <w:fldChar w:fldCharType="begin"/>
        </w:r>
        <w:r w:rsidR="00BB29FA">
          <w:rPr>
            <w:webHidden/>
          </w:rPr>
          <w:instrText xml:space="preserve"> PAGEREF _Toc468189925 \h </w:instrText>
        </w:r>
        <w:r w:rsidR="00BB29FA">
          <w:rPr>
            <w:webHidden/>
          </w:rPr>
        </w:r>
        <w:r w:rsidR="00BB29FA">
          <w:rPr>
            <w:webHidden/>
          </w:rPr>
          <w:fldChar w:fldCharType="separate"/>
        </w:r>
        <w:r w:rsidR="00BB29FA">
          <w:rPr>
            <w:webHidden/>
          </w:rPr>
          <w:t>4</w:t>
        </w:r>
        <w:r w:rsidR="00BB29FA">
          <w:rPr>
            <w:webHidden/>
          </w:rPr>
          <w:fldChar w:fldCharType="end"/>
        </w:r>
      </w:hyperlink>
    </w:p>
    <w:p w14:paraId="18F13CCE" w14:textId="77777777" w:rsidR="00BB29FA" w:rsidRDefault="00693265">
      <w:pPr>
        <w:pStyle w:val="TOC1"/>
        <w:rPr>
          <w:rFonts w:asciiTheme="minorHAnsi" w:eastAsiaTheme="minorEastAsia" w:hAnsiTheme="minorHAnsi" w:cstheme="minorBidi"/>
          <w:b w:val="0"/>
          <w:color w:val="auto"/>
          <w:sz w:val="22"/>
          <w:szCs w:val="22"/>
          <w:lang w:val="fr-FR"/>
        </w:rPr>
      </w:pPr>
      <w:hyperlink w:anchor="_Toc468189926" w:history="1">
        <w:r w:rsidR="00BB29FA" w:rsidRPr="006A2ACA">
          <w:rPr>
            <w:rStyle w:val="Hyperlink"/>
          </w:rPr>
          <w:t>A.</w:t>
        </w:r>
        <w:r w:rsidR="00BB29FA">
          <w:rPr>
            <w:rFonts w:asciiTheme="minorHAnsi" w:eastAsiaTheme="minorEastAsia" w:hAnsiTheme="minorHAnsi" w:cstheme="minorBidi"/>
            <w:b w:val="0"/>
            <w:color w:val="auto"/>
            <w:sz w:val="22"/>
            <w:szCs w:val="22"/>
            <w:lang w:val="fr-FR"/>
          </w:rPr>
          <w:tab/>
        </w:r>
        <w:r w:rsidR="00BB29FA" w:rsidRPr="006A2ACA">
          <w:rPr>
            <w:rStyle w:val="Hyperlink"/>
          </w:rPr>
          <w:t>PREAMBULE</w:t>
        </w:r>
        <w:r w:rsidR="00BB29FA">
          <w:rPr>
            <w:webHidden/>
          </w:rPr>
          <w:tab/>
        </w:r>
        <w:r w:rsidR="00BB29FA">
          <w:rPr>
            <w:webHidden/>
          </w:rPr>
          <w:fldChar w:fldCharType="begin"/>
        </w:r>
        <w:r w:rsidR="00BB29FA">
          <w:rPr>
            <w:webHidden/>
          </w:rPr>
          <w:instrText xml:space="preserve"> PAGEREF _Toc468189926 \h </w:instrText>
        </w:r>
        <w:r w:rsidR="00BB29FA">
          <w:rPr>
            <w:webHidden/>
          </w:rPr>
        </w:r>
        <w:r w:rsidR="00BB29FA">
          <w:rPr>
            <w:webHidden/>
          </w:rPr>
          <w:fldChar w:fldCharType="separate"/>
        </w:r>
        <w:r w:rsidR="00BB29FA">
          <w:rPr>
            <w:webHidden/>
          </w:rPr>
          <w:t>5</w:t>
        </w:r>
        <w:r w:rsidR="00BB29FA">
          <w:rPr>
            <w:webHidden/>
          </w:rPr>
          <w:fldChar w:fldCharType="end"/>
        </w:r>
      </w:hyperlink>
    </w:p>
    <w:p w14:paraId="79B661AE" w14:textId="77777777" w:rsidR="00BB29FA" w:rsidRDefault="00693265">
      <w:pPr>
        <w:pStyle w:val="TOC2"/>
        <w:tabs>
          <w:tab w:val="left" w:pos="1276"/>
        </w:tabs>
        <w:rPr>
          <w:rFonts w:asciiTheme="minorHAnsi" w:eastAsiaTheme="minorEastAsia" w:hAnsiTheme="minorHAnsi" w:cstheme="minorBidi"/>
          <w:b w:val="0"/>
          <w:iCs w:val="0"/>
          <w:color w:val="auto"/>
          <w:szCs w:val="22"/>
          <w:lang w:val="fr-FR"/>
        </w:rPr>
      </w:pPr>
      <w:hyperlink w:anchor="_Toc468189927" w:history="1">
        <w:r w:rsidR="00BB29FA" w:rsidRPr="006A2ACA">
          <w:rPr>
            <w:rStyle w:val="Hyperlink"/>
            <w:bCs/>
          </w:rPr>
          <w:t>A.1.</w:t>
        </w:r>
        <w:r w:rsidR="00BB29FA">
          <w:rPr>
            <w:rFonts w:asciiTheme="minorHAnsi" w:eastAsiaTheme="minorEastAsia" w:hAnsiTheme="minorHAnsi" w:cstheme="minorBidi"/>
            <w:b w:val="0"/>
            <w:iCs w:val="0"/>
            <w:color w:val="auto"/>
            <w:szCs w:val="22"/>
            <w:lang w:val="fr-FR"/>
          </w:rPr>
          <w:tab/>
        </w:r>
        <w:r w:rsidR="00BB29FA" w:rsidRPr="006A2ACA">
          <w:rPr>
            <w:rStyle w:val="Hyperlink"/>
          </w:rPr>
          <w:t>Rappel des interactions entre les actions d’appui institutionnel</w:t>
        </w:r>
        <w:r w:rsidR="00BB29FA">
          <w:rPr>
            <w:webHidden/>
          </w:rPr>
          <w:tab/>
        </w:r>
        <w:r w:rsidR="00BB29FA">
          <w:rPr>
            <w:webHidden/>
          </w:rPr>
          <w:fldChar w:fldCharType="begin"/>
        </w:r>
        <w:r w:rsidR="00BB29FA">
          <w:rPr>
            <w:webHidden/>
          </w:rPr>
          <w:instrText xml:space="preserve"> PAGEREF _Toc468189927 \h </w:instrText>
        </w:r>
        <w:r w:rsidR="00BB29FA">
          <w:rPr>
            <w:webHidden/>
          </w:rPr>
        </w:r>
        <w:r w:rsidR="00BB29FA">
          <w:rPr>
            <w:webHidden/>
          </w:rPr>
          <w:fldChar w:fldCharType="separate"/>
        </w:r>
        <w:r w:rsidR="00BB29FA">
          <w:rPr>
            <w:webHidden/>
          </w:rPr>
          <w:t>7</w:t>
        </w:r>
        <w:r w:rsidR="00BB29FA">
          <w:rPr>
            <w:webHidden/>
          </w:rPr>
          <w:fldChar w:fldCharType="end"/>
        </w:r>
      </w:hyperlink>
    </w:p>
    <w:p w14:paraId="64CE4EEA" w14:textId="77777777" w:rsidR="00BB29FA" w:rsidRDefault="00693265">
      <w:pPr>
        <w:pStyle w:val="TOC2"/>
        <w:tabs>
          <w:tab w:val="left" w:pos="1276"/>
        </w:tabs>
        <w:rPr>
          <w:rFonts w:asciiTheme="minorHAnsi" w:eastAsiaTheme="minorEastAsia" w:hAnsiTheme="minorHAnsi" w:cstheme="minorBidi"/>
          <w:b w:val="0"/>
          <w:iCs w:val="0"/>
          <w:color w:val="auto"/>
          <w:szCs w:val="22"/>
          <w:lang w:val="fr-FR"/>
        </w:rPr>
      </w:pPr>
      <w:hyperlink w:anchor="_Toc468189928" w:history="1">
        <w:r w:rsidR="00BB29FA" w:rsidRPr="006A2ACA">
          <w:rPr>
            <w:rStyle w:val="Hyperlink"/>
          </w:rPr>
          <w:t>A.2.</w:t>
        </w:r>
        <w:r w:rsidR="00BB29FA">
          <w:rPr>
            <w:rFonts w:asciiTheme="minorHAnsi" w:eastAsiaTheme="minorEastAsia" w:hAnsiTheme="minorHAnsi" w:cstheme="minorBidi"/>
            <w:b w:val="0"/>
            <w:iCs w:val="0"/>
            <w:color w:val="auto"/>
            <w:szCs w:val="22"/>
            <w:lang w:val="fr-FR"/>
          </w:rPr>
          <w:tab/>
        </w:r>
        <w:r w:rsidR="00BB29FA" w:rsidRPr="006A2ACA">
          <w:rPr>
            <w:rStyle w:val="Hyperlink"/>
          </w:rPr>
          <w:t>Des interrogations sur le fond</w:t>
        </w:r>
        <w:r w:rsidR="00BB29FA">
          <w:rPr>
            <w:webHidden/>
          </w:rPr>
          <w:tab/>
        </w:r>
        <w:r w:rsidR="00BB29FA">
          <w:rPr>
            <w:webHidden/>
          </w:rPr>
          <w:fldChar w:fldCharType="begin"/>
        </w:r>
        <w:r w:rsidR="00BB29FA">
          <w:rPr>
            <w:webHidden/>
          </w:rPr>
          <w:instrText xml:space="preserve"> PAGEREF _Toc468189928 \h </w:instrText>
        </w:r>
        <w:r w:rsidR="00BB29FA">
          <w:rPr>
            <w:webHidden/>
          </w:rPr>
        </w:r>
        <w:r w:rsidR="00BB29FA">
          <w:rPr>
            <w:webHidden/>
          </w:rPr>
          <w:fldChar w:fldCharType="separate"/>
        </w:r>
        <w:r w:rsidR="00BB29FA">
          <w:rPr>
            <w:webHidden/>
          </w:rPr>
          <w:t>8</w:t>
        </w:r>
        <w:r w:rsidR="00BB29FA">
          <w:rPr>
            <w:webHidden/>
          </w:rPr>
          <w:fldChar w:fldCharType="end"/>
        </w:r>
      </w:hyperlink>
    </w:p>
    <w:p w14:paraId="59B646D7"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29" w:history="1">
        <w:r w:rsidR="00BB29FA" w:rsidRPr="006A2ACA">
          <w:rPr>
            <w:rStyle w:val="Hyperlink"/>
          </w:rPr>
          <w:t>A.2.1.</w:t>
        </w:r>
        <w:r w:rsidR="00BB29FA">
          <w:rPr>
            <w:rFonts w:asciiTheme="minorHAnsi" w:eastAsiaTheme="minorEastAsia" w:hAnsiTheme="minorHAnsi" w:cstheme="minorBidi"/>
            <w:sz w:val="22"/>
            <w:szCs w:val="22"/>
            <w:lang w:val="fr-FR"/>
          </w:rPr>
          <w:tab/>
        </w:r>
        <w:r w:rsidR="00BB29FA" w:rsidRPr="006A2ACA">
          <w:rPr>
            <w:rStyle w:val="Hyperlink"/>
          </w:rPr>
          <w:t>Comment mieux définir et mettre en cohérence les différentes composantes du secteur urbain?</w:t>
        </w:r>
        <w:r w:rsidR="00BB29FA">
          <w:rPr>
            <w:webHidden/>
          </w:rPr>
          <w:tab/>
        </w:r>
        <w:r w:rsidR="00BB29FA">
          <w:rPr>
            <w:webHidden/>
          </w:rPr>
          <w:fldChar w:fldCharType="begin"/>
        </w:r>
        <w:r w:rsidR="00BB29FA">
          <w:rPr>
            <w:webHidden/>
          </w:rPr>
          <w:instrText xml:space="preserve"> PAGEREF _Toc468189929 \h </w:instrText>
        </w:r>
        <w:r w:rsidR="00BB29FA">
          <w:rPr>
            <w:webHidden/>
          </w:rPr>
        </w:r>
        <w:r w:rsidR="00BB29FA">
          <w:rPr>
            <w:webHidden/>
          </w:rPr>
          <w:fldChar w:fldCharType="separate"/>
        </w:r>
        <w:r w:rsidR="00BB29FA">
          <w:rPr>
            <w:webHidden/>
          </w:rPr>
          <w:t>8</w:t>
        </w:r>
        <w:r w:rsidR="00BB29FA">
          <w:rPr>
            <w:webHidden/>
          </w:rPr>
          <w:fldChar w:fldCharType="end"/>
        </w:r>
      </w:hyperlink>
    </w:p>
    <w:p w14:paraId="40C88C28"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30" w:history="1">
        <w:r w:rsidR="00BB29FA" w:rsidRPr="006A2ACA">
          <w:rPr>
            <w:rStyle w:val="Hyperlink"/>
            <w:rFonts w:eastAsia="MS Gothic"/>
          </w:rPr>
          <w:t>A.2.2.</w:t>
        </w:r>
        <w:r w:rsidR="00BB29FA">
          <w:rPr>
            <w:rFonts w:asciiTheme="minorHAnsi" w:eastAsiaTheme="minorEastAsia" w:hAnsiTheme="minorHAnsi" w:cstheme="minorBidi"/>
            <w:sz w:val="22"/>
            <w:szCs w:val="22"/>
            <w:lang w:val="fr-FR"/>
          </w:rPr>
          <w:tab/>
        </w:r>
        <w:r w:rsidR="00BB29FA" w:rsidRPr="006A2ACA">
          <w:rPr>
            <w:rStyle w:val="Hyperlink"/>
            <w:rFonts w:eastAsia="MS Gothic"/>
          </w:rPr>
          <w:t>A quoi peut servir une meilleure gestion de l’information sur l’urbain ?</w:t>
        </w:r>
        <w:r w:rsidR="00BB29FA">
          <w:rPr>
            <w:webHidden/>
          </w:rPr>
          <w:tab/>
        </w:r>
        <w:r w:rsidR="00BB29FA">
          <w:rPr>
            <w:webHidden/>
          </w:rPr>
          <w:fldChar w:fldCharType="begin"/>
        </w:r>
        <w:r w:rsidR="00BB29FA">
          <w:rPr>
            <w:webHidden/>
          </w:rPr>
          <w:instrText xml:space="preserve"> PAGEREF _Toc468189930 \h </w:instrText>
        </w:r>
        <w:r w:rsidR="00BB29FA">
          <w:rPr>
            <w:webHidden/>
          </w:rPr>
        </w:r>
        <w:r w:rsidR="00BB29FA">
          <w:rPr>
            <w:webHidden/>
          </w:rPr>
          <w:fldChar w:fldCharType="separate"/>
        </w:r>
        <w:r w:rsidR="00BB29FA">
          <w:rPr>
            <w:webHidden/>
          </w:rPr>
          <w:t>9</w:t>
        </w:r>
        <w:r w:rsidR="00BB29FA">
          <w:rPr>
            <w:webHidden/>
          </w:rPr>
          <w:fldChar w:fldCharType="end"/>
        </w:r>
      </w:hyperlink>
    </w:p>
    <w:p w14:paraId="68B5C381" w14:textId="77777777" w:rsidR="00BB29FA" w:rsidRDefault="00693265">
      <w:pPr>
        <w:pStyle w:val="TOC2"/>
        <w:tabs>
          <w:tab w:val="left" w:pos="1276"/>
        </w:tabs>
        <w:rPr>
          <w:rFonts w:asciiTheme="minorHAnsi" w:eastAsiaTheme="minorEastAsia" w:hAnsiTheme="minorHAnsi" w:cstheme="minorBidi"/>
          <w:b w:val="0"/>
          <w:iCs w:val="0"/>
          <w:color w:val="auto"/>
          <w:szCs w:val="22"/>
          <w:lang w:val="fr-FR"/>
        </w:rPr>
      </w:pPr>
      <w:hyperlink w:anchor="_Toc468189931" w:history="1">
        <w:r w:rsidR="00BB29FA" w:rsidRPr="006A2ACA">
          <w:rPr>
            <w:rStyle w:val="Hyperlink"/>
            <w:rFonts w:eastAsia="MS Gothic"/>
          </w:rPr>
          <w:t>A.3.</w:t>
        </w:r>
        <w:r w:rsidR="00BB29FA">
          <w:rPr>
            <w:rFonts w:asciiTheme="minorHAnsi" w:eastAsiaTheme="minorEastAsia" w:hAnsiTheme="minorHAnsi" w:cstheme="minorBidi"/>
            <w:b w:val="0"/>
            <w:iCs w:val="0"/>
            <w:color w:val="auto"/>
            <w:szCs w:val="22"/>
            <w:lang w:val="fr-FR"/>
          </w:rPr>
          <w:tab/>
        </w:r>
        <w:r w:rsidR="00BB29FA" w:rsidRPr="006A2ACA">
          <w:rPr>
            <w:rStyle w:val="Hyperlink"/>
            <w:rFonts w:eastAsia="MS Gothic"/>
          </w:rPr>
          <w:t>Comment revaloriser la fonction de planification urbaine?</w:t>
        </w:r>
        <w:r w:rsidR="00BB29FA">
          <w:rPr>
            <w:webHidden/>
          </w:rPr>
          <w:tab/>
        </w:r>
        <w:r w:rsidR="00BB29FA">
          <w:rPr>
            <w:webHidden/>
          </w:rPr>
          <w:fldChar w:fldCharType="begin"/>
        </w:r>
        <w:r w:rsidR="00BB29FA">
          <w:rPr>
            <w:webHidden/>
          </w:rPr>
          <w:instrText xml:space="preserve"> PAGEREF _Toc468189931 \h </w:instrText>
        </w:r>
        <w:r w:rsidR="00BB29FA">
          <w:rPr>
            <w:webHidden/>
          </w:rPr>
        </w:r>
        <w:r w:rsidR="00BB29FA">
          <w:rPr>
            <w:webHidden/>
          </w:rPr>
          <w:fldChar w:fldCharType="separate"/>
        </w:r>
        <w:r w:rsidR="00BB29FA">
          <w:rPr>
            <w:webHidden/>
          </w:rPr>
          <w:t>12</w:t>
        </w:r>
        <w:r w:rsidR="00BB29FA">
          <w:rPr>
            <w:webHidden/>
          </w:rPr>
          <w:fldChar w:fldCharType="end"/>
        </w:r>
      </w:hyperlink>
    </w:p>
    <w:p w14:paraId="201A1810" w14:textId="77777777" w:rsidR="00BB29FA" w:rsidRDefault="00693265">
      <w:pPr>
        <w:pStyle w:val="TOC2"/>
        <w:tabs>
          <w:tab w:val="left" w:pos="1276"/>
        </w:tabs>
        <w:rPr>
          <w:rFonts w:asciiTheme="minorHAnsi" w:eastAsiaTheme="minorEastAsia" w:hAnsiTheme="minorHAnsi" w:cstheme="minorBidi"/>
          <w:b w:val="0"/>
          <w:iCs w:val="0"/>
          <w:color w:val="auto"/>
          <w:szCs w:val="22"/>
          <w:lang w:val="fr-FR"/>
        </w:rPr>
      </w:pPr>
      <w:hyperlink w:anchor="_Toc468189932" w:history="1">
        <w:r w:rsidR="00BB29FA" w:rsidRPr="006A2ACA">
          <w:rPr>
            <w:rStyle w:val="Hyperlink"/>
            <w:rFonts w:eastAsia="MS Gothic"/>
          </w:rPr>
          <w:t>A.4.</w:t>
        </w:r>
        <w:r w:rsidR="00BB29FA">
          <w:rPr>
            <w:rFonts w:asciiTheme="minorHAnsi" w:eastAsiaTheme="minorEastAsia" w:hAnsiTheme="minorHAnsi" w:cstheme="minorBidi"/>
            <w:b w:val="0"/>
            <w:iCs w:val="0"/>
            <w:color w:val="auto"/>
            <w:szCs w:val="22"/>
            <w:lang w:val="fr-FR"/>
          </w:rPr>
          <w:tab/>
        </w:r>
        <w:r w:rsidR="00BB29FA" w:rsidRPr="006A2ACA">
          <w:rPr>
            <w:rStyle w:val="Hyperlink"/>
            <w:rFonts w:eastAsia="MS Gothic"/>
          </w:rPr>
          <w:t>Comment  insérer la  fonction de planification urbaine dans le dispositif institutionnel ?</w:t>
        </w:r>
        <w:r w:rsidR="00BB29FA">
          <w:rPr>
            <w:webHidden/>
          </w:rPr>
          <w:tab/>
        </w:r>
        <w:r w:rsidR="00BB29FA">
          <w:rPr>
            <w:webHidden/>
          </w:rPr>
          <w:fldChar w:fldCharType="begin"/>
        </w:r>
        <w:r w:rsidR="00BB29FA">
          <w:rPr>
            <w:webHidden/>
          </w:rPr>
          <w:instrText xml:space="preserve"> PAGEREF _Toc468189932 \h </w:instrText>
        </w:r>
        <w:r w:rsidR="00BB29FA">
          <w:rPr>
            <w:webHidden/>
          </w:rPr>
        </w:r>
        <w:r w:rsidR="00BB29FA">
          <w:rPr>
            <w:webHidden/>
          </w:rPr>
          <w:fldChar w:fldCharType="separate"/>
        </w:r>
        <w:r w:rsidR="00BB29FA">
          <w:rPr>
            <w:webHidden/>
          </w:rPr>
          <w:t>14</w:t>
        </w:r>
        <w:r w:rsidR="00BB29FA">
          <w:rPr>
            <w:webHidden/>
          </w:rPr>
          <w:fldChar w:fldCharType="end"/>
        </w:r>
      </w:hyperlink>
    </w:p>
    <w:p w14:paraId="2419DC61" w14:textId="77777777" w:rsidR="00BB29FA" w:rsidRDefault="00693265">
      <w:pPr>
        <w:pStyle w:val="TOC2"/>
        <w:tabs>
          <w:tab w:val="left" w:pos="1276"/>
        </w:tabs>
        <w:rPr>
          <w:rFonts w:asciiTheme="minorHAnsi" w:eastAsiaTheme="minorEastAsia" w:hAnsiTheme="minorHAnsi" w:cstheme="minorBidi"/>
          <w:b w:val="0"/>
          <w:iCs w:val="0"/>
          <w:color w:val="auto"/>
          <w:szCs w:val="22"/>
          <w:lang w:val="fr-FR"/>
        </w:rPr>
      </w:pPr>
      <w:hyperlink w:anchor="_Toc468189933" w:history="1">
        <w:r w:rsidR="00BB29FA" w:rsidRPr="006A2ACA">
          <w:rPr>
            <w:rStyle w:val="Hyperlink"/>
            <w:rFonts w:eastAsia="MS Gothic"/>
          </w:rPr>
          <w:t>A.5.</w:t>
        </w:r>
        <w:r w:rsidR="00BB29FA">
          <w:rPr>
            <w:rFonts w:asciiTheme="minorHAnsi" w:eastAsiaTheme="minorEastAsia" w:hAnsiTheme="minorHAnsi" w:cstheme="minorBidi"/>
            <w:b w:val="0"/>
            <w:iCs w:val="0"/>
            <w:color w:val="auto"/>
            <w:szCs w:val="22"/>
            <w:lang w:val="fr-FR"/>
          </w:rPr>
          <w:tab/>
        </w:r>
        <w:r w:rsidR="00BB29FA" w:rsidRPr="006A2ACA">
          <w:rPr>
            <w:rStyle w:val="Hyperlink"/>
            <w:rFonts w:eastAsia="MS Gothic"/>
          </w:rPr>
          <w:t>Comment mettre la déconcentration au service de la décentralisation ?</w:t>
        </w:r>
        <w:r w:rsidR="00BB29FA">
          <w:rPr>
            <w:webHidden/>
          </w:rPr>
          <w:tab/>
        </w:r>
        <w:r w:rsidR="00BB29FA">
          <w:rPr>
            <w:webHidden/>
          </w:rPr>
          <w:fldChar w:fldCharType="begin"/>
        </w:r>
        <w:r w:rsidR="00BB29FA">
          <w:rPr>
            <w:webHidden/>
          </w:rPr>
          <w:instrText xml:space="preserve"> PAGEREF _Toc468189933 \h </w:instrText>
        </w:r>
        <w:r w:rsidR="00BB29FA">
          <w:rPr>
            <w:webHidden/>
          </w:rPr>
        </w:r>
        <w:r w:rsidR="00BB29FA">
          <w:rPr>
            <w:webHidden/>
          </w:rPr>
          <w:fldChar w:fldCharType="separate"/>
        </w:r>
        <w:r w:rsidR="00BB29FA">
          <w:rPr>
            <w:webHidden/>
          </w:rPr>
          <w:t>15</w:t>
        </w:r>
        <w:r w:rsidR="00BB29FA">
          <w:rPr>
            <w:webHidden/>
          </w:rPr>
          <w:fldChar w:fldCharType="end"/>
        </w:r>
      </w:hyperlink>
    </w:p>
    <w:p w14:paraId="0F28426B" w14:textId="77777777" w:rsidR="00BB29FA" w:rsidRDefault="00693265">
      <w:pPr>
        <w:pStyle w:val="TOC2"/>
        <w:tabs>
          <w:tab w:val="left" w:pos="1276"/>
        </w:tabs>
        <w:rPr>
          <w:rFonts w:asciiTheme="minorHAnsi" w:eastAsiaTheme="minorEastAsia" w:hAnsiTheme="minorHAnsi" w:cstheme="minorBidi"/>
          <w:b w:val="0"/>
          <w:iCs w:val="0"/>
          <w:color w:val="auto"/>
          <w:szCs w:val="22"/>
          <w:lang w:val="fr-FR"/>
        </w:rPr>
      </w:pPr>
      <w:hyperlink w:anchor="_Toc468189934" w:history="1">
        <w:r w:rsidR="00BB29FA" w:rsidRPr="006A2ACA">
          <w:rPr>
            <w:rStyle w:val="Hyperlink"/>
            <w:rFonts w:eastAsia="MS Gothic"/>
          </w:rPr>
          <w:t>A.6.</w:t>
        </w:r>
        <w:r w:rsidR="00BB29FA">
          <w:rPr>
            <w:rFonts w:asciiTheme="minorHAnsi" w:eastAsiaTheme="minorEastAsia" w:hAnsiTheme="minorHAnsi" w:cstheme="minorBidi"/>
            <w:b w:val="0"/>
            <w:iCs w:val="0"/>
            <w:color w:val="auto"/>
            <w:szCs w:val="22"/>
            <w:lang w:val="fr-FR"/>
          </w:rPr>
          <w:tab/>
        </w:r>
        <w:r w:rsidR="00BB29FA" w:rsidRPr="006A2ACA">
          <w:rPr>
            <w:rStyle w:val="Hyperlink"/>
            <w:rFonts w:eastAsia="MS Gothic"/>
          </w:rPr>
          <w:t>Conclusion</w:t>
        </w:r>
        <w:r w:rsidR="00BB29FA">
          <w:rPr>
            <w:webHidden/>
          </w:rPr>
          <w:tab/>
        </w:r>
        <w:r w:rsidR="00BB29FA">
          <w:rPr>
            <w:webHidden/>
          </w:rPr>
          <w:fldChar w:fldCharType="begin"/>
        </w:r>
        <w:r w:rsidR="00BB29FA">
          <w:rPr>
            <w:webHidden/>
          </w:rPr>
          <w:instrText xml:space="preserve"> PAGEREF _Toc468189934 \h </w:instrText>
        </w:r>
        <w:r w:rsidR="00BB29FA">
          <w:rPr>
            <w:webHidden/>
          </w:rPr>
        </w:r>
        <w:r w:rsidR="00BB29FA">
          <w:rPr>
            <w:webHidden/>
          </w:rPr>
          <w:fldChar w:fldCharType="separate"/>
        </w:r>
        <w:r w:rsidR="00BB29FA">
          <w:rPr>
            <w:webHidden/>
          </w:rPr>
          <w:t>16</w:t>
        </w:r>
        <w:r w:rsidR="00BB29FA">
          <w:rPr>
            <w:webHidden/>
          </w:rPr>
          <w:fldChar w:fldCharType="end"/>
        </w:r>
      </w:hyperlink>
    </w:p>
    <w:p w14:paraId="1688B9CC" w14:textId="77777777" w:rsidR="00BB29FA" w:rsidRDefault="00693265">
      <w:pPr>
        <w:pStyle w:val="TOC1"/>
        <w:rPr>
          <w:rFonts w:asciiTheme="minorHAnsi" w:eastAsiaTheme="minorEastAsia" w:hAnsiTheme="minorHAnsi" w:cstheme="minorBidi"/>
          <w:b w:val="0"/>
          <w:color w:val="auto"/>
          <w:sz w:val="22"/>
          <w:szCs w:val="22"/>
          <w:lang w:val="fr-FR"/>
        </w:rPr>
      </w:pPr>
      <w:hyperlink w:anchor="_Toc468189935" w:history="1">
        <w:r w:rsidR="00BB29FA" w:rsidRPr="006A2ACA">
          <w:rPr>
            <w:rStyle w:val="Hyperlink"/>
            <w:rFonts w:eastAsia="MS Gothic"/>
          </w:rPr>
          <w:t>C.</w:t>
        </w:r>
        <w:r w:rsidR="00BB29FA">
          <w:rPr>
            <w:rFonts w:asciiTheme="minorHAnsi" w:eastAsiaTheme="minorEastAsia" w:hAnsiTheme="minorHAnsi" w:cstheme="minorBidi"/>
            <w:b w:val="0"/>
            <w:color w:val="auto"/>
            <w:sz w:val="22"/>
            <w:szCs w:val="22"/>
            <w:lang w:val="fr-FR"/>
          </w:rPr>
          <w:tab/>
        </w:r>
        <w:r w:rsidR="00BB29FA" w:rsidRPr="006A2ACA">
          <w:rPr>
            <w:rStyle w:val="Hyperlink"/>
            <w:rFonts w:eastAsia="MS Gothic"/>
          </w:rPr>
          <w:t>Rapport méthodologique proposant un cadre de suivi / évaluation du secteur urbain</w:t>
        </w:r>
        <w:r w:rsidR="00BB29FA">
          <w:rPr>
            <w:webHidden/>
          </w:rPr>
          <w:tab/>
        </w:r>
        <w:r w:rsidR="00BB29FA">
          <w:rPr>
            <w:webHidden/>
          </w:rPr>
          <w:fldChar w:fldCharType="begin"/>
        </w:r>
        <w:r w:rsidR="00BB29FA">
          <w:rPr>
            <w:webHidden/>
          </w:rPr>
          <w:instrText xml:space="preserve"> PAGEREF _Toc468189935 \h </w:instrText>
        </w:r>
        <w:r w:rsidR="00BB29FA">
          <w:rPr>
            <w:webHidden/>
          </w:rPr>
        </w:r>
        <w:r w:rsidR="00BB29FA">
          <w:rPr>
            <w:webHidden/>
          </w:rPr>
          <w:fldChar w:fldCharType="separate"/>
        </w:r>
        <w:r w:rsidR="00BB29FA">
          <w:rPr>
            <w:webHidden/>
          </w:rPr>
          <w:t>17</w:t>
        </w:r>
        <w:r w:rsidR="00BB29FA">
          <w:rPr>
            <w:webHidden/>
          </w:rPr>
          <w:fldChar w:fldCharType="end"/>
        </w:r>
      </w:hyperlink>
    </w:p>
    <w:p w14:paraId="164C800F" w14:textId="77777777" w:rsidR="00BB29FA" w:rsidRDefault="00693265">
      <w:pPr>
        <w:pStyle w:val="TOC2"/>
        <w:tabs>
          <w:tab w:val="left" w:pos="1276"/>
        </w:tabs>
        <w:rPr>
          <w:rFonts w:asciiTheme="minorHAnsi" w:eastAsiaTheme="minorEastAsia" w:hAnsiTheme="minorHAnsi" w:cstheme="minorBidi"/>
          <w:b w:val="0"/>
          <w:iCs w:val="0"/>
          <w:color w:val="auto"/>
          <w:szCs w:val="22"/>
          <w:lang w:val="fr-FR"/>
        </w:rPr>
      </w:pPr>
      <w:hyperlink w:anchor="_Toc468189936" w:history="1">
        <w:r w:rsidR="00BB29FA" w:rsidRPr="006A2ACA">
          <w:rPr>
            <w:rStyle w:val="Hyperlink"/>
            <w:rFonts w:eastAsia="MS Gothic"/>
          </w:rPr>
          <w:t>C.1.</w:t>
        </w:r>
        <w:r w:rsidR="00BB29FA">
          <w:rPr>
            <w:rFonts w:asciiTheme="minorHAnsi" w:eastAsiaTheme="minorEastAsia" w:hAnsiTheme="minorHAnsi" w:cstheme="minorBidi"/>
            <w:b w:val="0"/>
            <w:iCs w:val="0"/>
            <w:color w:val="auto"/>
            <w:szCs w:val="22"/>
            <w:lang w:val="fr-FR"/>
          </w:rPr>
          <w:tab/>
        </w:r>
        <w:r w:rsidR="00BB29FA" w:rsidRPr="006A2ACA">
          <w:rPr>
            <w:rStyle w:val="Hyperlink"/>
            <w:rFonts w:eastAsia="MS Gothic"/>
          </w:rPr>
          <w:t>Résumé exécutif</w:t>
        </w:r>
        <w:r w:rsidR="00BB29FA">
          <w:rPr>
            <w:webHidden/>
          </w:rPr>
          <w:tab/>
        </w:r>
        <w:r w:rsidR="00BB29FA">
          <w:rPr>
            <w:webHidden/>
          </w:rPr>
          <w:fldChar w:fldCharType="begin"/>
        </w:r>
        <w:r w:rsidR="00BB29FA">
          <w:rPr>
            <w:webHidden/>
          </w:rPr>
          <w:instrText xml:space="preserve"> PAGEREF _Toc468189936 \h </w:instrText>
        </w:r>
        <w:r w:rsidR="00BB29FA">
          <w:rPr>
            <w:webHidden/>
          </w:rPr>
        </w:r>
        <w:r w:rsidR="00BB29FA">
          <w:rPr>
            <w:webHidden/>
          </w:rPr>
          <w:fldChar w:fldCharType="separate"/>
        </w:r>
        <w:r w:rsidR="00BB29FA">
          <w:rPr>
            <w:webHidden/>
          </w:rPr>
          <w:t>18</w:t>
        </w:r>
        <w:r w:rsidR="00BB29FA">
          <w:rPr>
            <w:webHidden/>
          </w:rPr>
          <w:fldChar w:fldCharType="end"/>
        </w:r>
      </w:hyperlink>
    </w:p>
    <w:p w14:paraId="0FD974BA"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37" w:history="1">
        <w:r w:rsidR="00BB29FA" w:rsidRPr="006A2ACA">
          <w:rPr>
            <w:rStyle w:val="Hyperlink"/>
          </w:rPr>
          <w:t>C.1.1.</w:t>
        </w:r>
        <w:r w:rsidR="00BB29FA">
          <w:rPr>
            <w:rFonts w:asciiTheme="minorHAnsi" w:eastAsiaTheme="minorEastAsia" w:hAnsiTheme="minorHAnsi" w:cstheme="minorBidi"/>
            <w:sz w:val="22"/>
            <w:szCs w:val="22"/>
            <w:lang w:val="fr-FR"/>
          </w:rPr>
          <w:tab/>
        </w:r>
        <w:r w:rsidR="00BB29FA" w:rsidRPr="006A2ACA">
          <w:rPr>
            <w:rStyle w:val="Hyperlink"/>
          </w:rPr>
          <w:t>Un niveau opérationnel immédiat</w:t>
        </w:r>
        <w:r w:rsidR="00BB29FA">
          <w:rPr>
            <w:webHidden/>
          </w:rPr>
          <w:tab/>
        </w:r>
        <w:r w:rsidR="00BB29FA">
          <w:rPr>
            <w:webHidden/>
          </w:rPr>
          <w:fldChar w:fldCharType="begin"/>
        </w:r>
        <w:r w:rsidR="00BB29FA">
          <w:rPr>
            <w:webHidden/>
          </w:rPr>
          <w:instrText xml:space="preserve"> PAGEREF _Toc468189937 \h </w:instrText>
        </w:r>
        <w:r w:rsidR="00BB29FA">
          <w:rPr>
            <w:webHidden/>
          </w:rPr>
        </w:r>
        <w:r w:rsidR="00BB29FA">
          <w:rPr>
            <w:webHidden/>
          </w:rPr>
          <w:fldChar w:fldCharType="separate"/>
        </w:r>
        <w:r w:rsidR="00BB29FA">
          <w:rPr>
            <w:webHidden/>
          </w:rPr>
          <w:t>18</w:t>
        </w:r>
        <w:r w:rsidR="00BB29FA">
          <w:rPr>
            <w:webHidden/>
          </w:rPr>
          <w:fldChar w:fldCharType="end"/>
        </w:r>
      </w:hyperlink>
    </w:p>
    <w:p w14:paraId="245FBCAB"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38" w:history="1">
        <w:r w:rsidR="00BB29FA" w:rsidRPr="006A2ACA">
          <w:rPr>
            <w:rStyle w:val="Hyperlink"/>
          </w:rPr>
          <w:t>C.1.2.</w:t>
        </w:r>
        <w:r w:rsidR="00BB29FA">
          <w:rPr>
            <w:rFonts w:asciiTheme="minorHAnsi" w:eastAsiaTheme="minorEastAsia" w:hAnsiTheme="minorHAnsi" w:cstheme="minorBidi"/>
            <w:sz w:val="22"/>
            <w:szCs w:val="22"/>
            <w:lang w:val="fr-FR"/>
          </w:rPr>
          <w:tab/>
        </w:r>
        <w:r w:rsidR="00BB29FA" w:rsidRPr="006A2ACA">
          <w:rPr>
            <w:rStyle w:val="Hyperlink"/>
          </w:rPr>
          <w:t>Un niveau stratégique, à moyen terme pour alimenter une vision stratégique</w:t>
        </w:r>
        <w:r w:rsidR="00BB29FA">
          <w:rPr>
            <w:webHidden/>
          </w:rPr>
          <w:tab/>
        </w:r>
        <w:r w:rsidR="00BB29FA">
          <w:rPr>
            <w:webHidden/>
          </w:rPr>
          <w:fldChar w:fldCharType="begin"/>
        </w:r>
        <w:r w:rsidR="00BB29FA">
          <w:rPr>
            <w:webHidden/>
          </w:rPr>
          <w:instrText xml:space="preserve"> PAGEREF _Toc468189938 \h </w:instrText>
        </w:r>
        <w:r w:rsidR="00BB29FA">
          <w:rPr>
            <w:webHidden/>
          </w:rPr>
        </w:r>
        <w:r w:rsidR="00BB29FA">
          <w:rPr>
            <w:webHidden/>
          </w:rPr>
          <w:fldChar w:fldCharType="separate"/>
        </w:r>
        <w:r w:rsidR="00BB29FA">
          <w:rPr>
            <w:webHidden/>
          </w:rPr>
          <w:t>19</w:t>
        </w:r>
        <w:r w:rsidR="00BB29FA">
          <w:rPr>
            <w:webHidden/>
          </w:rPr>
          <w:fldChar w:fldCharType="end"/>
        </w:r>
      </w:hyperlink>
    </w:p>
    <w:p w14:paraId="07D5AF56"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39" w:history="1">
        <w:r w:rsidR="00BB29FA" w:rsidRPr="006A2ACA">
          <w:rPr>
            <w:rStyle w:val="Hyperlink"/>
          </w:rPr>
          <w:t>C.1.3.</w:t>
        </w:r>
        <w:r w:rsidR="00BB29FA">
          <w:rPr>
            <w:rFonts w:asciiTheme="minorHAnsi" w:eastAsiaTheme="minorEastAsia" w:hAnsiTheme="minorHAnsi" w:cstheme="minorBidi"/>
            <w:sz w:val="22"/>
            <w:szCs w:val="22"/>
            <w:lang w:val="fr-FR"/>
          </w:rPr>
          <w:tab/>
        </w:r>
        <w:r w:rsidR="00BB29FA" w:rsidRPr="006A2ACA">
          <w:rPr>
            <w:rStyle w:val="Hyperlink"/>
          </w:rPr>
          <w:t>Un niveau politico –institutionnel vers une politique nationale urbaine</w:t>
        </w:r>
        <w:r w:rsidR="00BB29FA">
          <w:rPr>
            <w:webHidden/>
          </w:rPr>
          <w:tab/>
        </w:r>
        <w:r w:rsidR="00BB29FA">
          <w:rPr>
            <w:webHidden/>
          </w:rPr>
          <w:fldChar w:fldCharType="begin"/>
        </w:r>
        <w:r w:rsidR="00BB29FA">
          <w:rPr>
            <w:webHidden/>
          </w:rPr>
          <w:instrText xml:space="preserve"> PAGEREF _Toc468189939 \h </w:instrText>
        </w:r>
        <w:r w:rsidR="00BB29FA">
          <w:rPr>
            <w:webHidden/>
          </w:rPr>
        </w:r>
        <w:r w:rsidR="00BB29FA">
          <w:rPr>
            <w:webHidden/>
          </w:rPr>
          <w:fldChar w:fldCharType="separate"/>
        </w:r>
        <w:r w:rsidR="00BB29FA">
          <w:rPr>
            <w:webHidden/>
          </w:rPr>
          <w:t>20</w:t>
        </w:r>
        <w:r w:rsidR="00BB29FA">
          <w:rPr>
            <w:webHidden/>
          </w:rPr>
          <w:fldChar w:fldCharType="end"/>
        </w:r>
      </w:hyperlink>
    </w:p>
    <w:p w14:paraId="2BB42719" w14:textId="77777777" w:rsidR="00BB29FA" w:rsidRDefault="00693265">
      <w:pPr>
        <w:pStyle w:val="TOC2"/>
        <w:tabs>
          <w:tab w:val="left" w:pos="1276"/>
        </w:tabs>
        <w:rPr>
          <w:rFonts w:asciiTheme="minorHAnsi" w:eastAsiaTheme="minorEastAsia" w:hAnsiTheme="minorHAnsi" w:cstheme="minorBidi"/>
          <w:b w:val="0"/>
          <w:iCs w:val="0"/>
          <w:color w:val="auto"/>
          <w:szCs w:val="22"/>
          <w:lang w:val="fr-FR"/>
        </w:rPr>
      </w:pPr>
      <w:hyperlink w:anchor="_Toc468189940" w:history="1">
        <w:r w:rsidR="00BB29FA" w:rsidRPr="006A2ACA">
          <w:rPr>
            <w:rStyle w:val="Hyperlink"/>
          </w:rPr>
          <w:t>C.2.</w:t>
        </w:r>
        <w:r w:rsidR="00BB29FA">
          <w:rPr>
            <w:rFonts w:asciiTheme="minorHAnsi" w:eastAsiaTheme="minorEastAsia" w:hAnsiTheme="minorHAnsi" w:cstheme="minorBidi"/>
            <w:b w:val="0"/>
            <w:iCs w:val="0"/>
            <w:color w:val="auto"/>
            <w:szCs w:val="22"/>
            <w:lang w:val="fr-FR"/>
          </w:rPr>
          <w:tab/>
        </w:r>
        <w:r w:rsidR="00BB29FA" w:rsidRPr="006A2ACA">
          <w:rPr>
            <w:rStyle w:val="Hyperlink"/>
          </w:rPr>
          <w:t>Introduction – objectifs de la mission</w:t>
        </w:r>
        <w:r w:rsidR="00BB29FA">
          <w:rPr>
            <w:webHidden/>
          </w:rPr>
          <w:tab/>
        </w:r>
        <w:r w:rsidR="00BB29FA">
          <w:rPr>
            <w:webHidden/>
          </w:rPr>
          <w:fldChar w:fldCharType="begin"/>
        </w:r>
        <w:r w:rsidR="00BB29FA">
          <w:rPr>
            <w:webHidden/>
          </w:rPr>
          <w:instrText xml:space="preserve"> PAGEREF _Toc468189940 \h </w:instrText>
        </w:r>
        <w:r w:rsidR="00BB29FA">
          <w:rPr>
            <w:webHidden/>
          </w:rPr>
        </w:r>
        <w:r w:rsidR="00BB29FA">
          <w:rPr>
            <w:webHidden/>
          </w:rPr>
          <w:fldChar w:fldCharType="separate"/>
        </w:r>
        <w:r w:rsidR="00BB29FA">
          <w:rPr>
            <w:webHidden/>
          </w:rPr>
          <w:t>21</w:t>
        </w:r>
        <w:r w:rsidR="00BB29FA">
          <w:rPr>
            <w:webHidden/>
          </w:rPr>
          <w:fldChar w:fldCharType="end"/>
        </w:r>
      </w:hyperlink>
    </w:p>
    <w:p w14:paraId="394CAE0B" w14:textId="77777777" w:rsidR="00BB29FA" w:rsidRDefault="00693265">
      <w:pPr>
        <w:pStyle w:val="TOC2"/>
        <w:tabs>
          <w:tab w:val="left" w:pos="1276"/>
        </w:tabs>
        <w:rPr>
          <w:rFonts w:asciiTheme="minorHAnsi" w:eastAsiaTheme="minorEastAsia" w:hAnsiTheme="minorHAnsi" w:cstheme="minorBidi"/>
          <w:b w:val="0"/>
          <w:iCs w:val="0"/>
          <w:color w:val="auto"/>
          <w:szCs w:val="22"/>
          <w:lang w:val="fr-FR"/>
        </w:rPr>
      </w:pPr>
      <w:hyperlink w:anchor="_Toc468189941" w:history="1">
        <w:r w:rsidR="00BB29FA" w:rsidRPr="006A2ACA">
          <w:rPr>
            <w:rStyle w:val="Hyperlink"/>
          </w:rPr>
          <w:t>C.3.</w:t>
        </w:r>
        <w:r w:rsidR="00BB29FA">
          <w:rPr>
            <w:rFonts w:asciiTheme="minorHAnsi" w:eastAsiaTheme="minorEastAsia" w:hAnsiTheme="minorHAnsi" w:cstheme="minorBidi"/>
            <w:b w:val="0"/>
            <w:iCs w:val="0"/>
            <w:color w:val="auto"/>
            <w:szCs w:val="22"/>
            <w:lang w:val="fr-FR"/>
          </w:rPr>
          <w:tab/>
        </w:r>
        <w:r w:rsidR="00BB29FA" w:rsidRPr="006A2ACA">
          <w:rPr>
            <w:rStyle w:val="Hyperlink"/>
          </w:rPr>
          <w:t>Niveau 1 : le suivi opérationnel des projets, leçons tirées des projets PARAQ</w:t>
        </w:r>
        <w:r w:rsidR="00BB29FA">
          <w:rPr>
            <w:webHidden/>
          </w:rPr>
          <w:tab/>
        </w:r>
        <w:r w:rsidR="00BB29FA">
          <w:rPr>
            <w:webHidden/>
          </w:rPr>
          <w:fldChar w:fldCharType="begin"/>
        </w:r>
        <w:r w:rsidR="00BB29FA">
          <w:rPr>
            <w:webHidden/>
          </w:rPr>
          <w:instrText xml:space="preserve"> PAGEREF _Toc468189941 \h </w:instrText>
        </w:r>
        <w:r w:rsidR="00BB29FA">
          <w:rPr>
            <w:webHidden/>
          </w:rPr>
        </w:r>
        <w:r w:rsidR="00BB29FA">
          <w:rPr>
            <w:webHidden/>
          </w:rPr>
          <w:fldChar w:fldCharType="separate"/>
        </w:r>
        <w:r w:rsidR="00BB29FA">
          <w:rPr>
            <w:webHidden/>
          </w:rPr>
          <w:t>23</w:t>
        </w:r>
        <w:r w:rsidR="00BB29FA">
          <w:rPr>
            <w:webHidden/>
          </w:rPr>
          <w:fldChar w:fldCharType="end"/>
        </w:r>
      </w:hyperlink>
    </w:p>
    <w:p w14:paraId="4DBDAC2B"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42" w:history="1">
        <w:r w:rsidR="00BB29FA" w:rsidRPr="006A2ACA">
          <w:rPr>
            <w:rStyle w:val="Hyperlink"/>
            <w:rFonts w:eastAsia="MS Gothic"/>
          </w:rPr>
          <w:t>C.3.1.</w:t>
        </w:r>
        <w:r w:rsidR="00BB29FA">
          <w:rPr>
            <w:rFonts w:asciiTheme="minorHAnsi" w:eastAsiaTheme="minorEastAsia" w:hAnsiTheme="minorHAnsi" w:cstheme="minorBidi"/>
            <w:sz w:val="22"/>
            <w:szCs w:val="22"/>
            <w:lang w:val="fr-FR"/>
          </w:rPr>
          <w:tab/>
        </w:r>
        <w:r w:rsidR="00BB29FA" w:rsidRPr="006A2ACA">
          <w:rPr>
            <w:rStyle w:val="Hyperlink"/>
            <w:rFonts w:eastAsia="MS Gothic"/>
          </w:rPr>
          <w:t>Redessiner les contours du rôle du SPU dans le suivi de la planification territoriale</w:t>
        </w:r>
        <w:r w:rsidR="00BB29FA">
          <w:rPr>
            <w:webHidden/>
          </w:rPr>
          <w:tab/>
        </w:r>
        <w:r w:rsidR="00BB29FA">
          <w:rPr>
            <w:webHidden/>
          </w:rPr>
          <w:fldChar w:fldCharType="begin"/>
        </w:r>
        <w:r w:rsidR="00BB29FA">
          <w:rPr>
            <w:webHidden/>
          </w:rPr>
          <w:instrText xml:space="preserve"> PAGEREF _Toc468189942 \h </w:instrText>
        </w:r>
        <w:r w:rsidR="00BB29FA">
          <w:rPr>
            <w:webHidden/>
          </w:rPr>
        </w:r>
        <w:r w:rsidR="00BB29FA">
          <w:rPr>
            <w:webHidden/>
          </w:rPr>
          <w:fldChar w:fldCharType="separate"/>
        </w:r>
        <w:r w:rsidR="00BB29FA">
          <w:rPr>
            <w:webHidden/>
          </w:rPr>
          <w:t>23</w:t>
        </w:r>
        <w:r w:rsidR="00BB29FA">
          <w:rPr>
            <w:webHidden/>
          </w:rPr>
          <w:fldChar w:fldCharType="end"/>
        </w:r>
      </w:hyperlink>
    </w:p>
    <w:p w14:paraId="0082D51A"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43" w:history="1">
        <w:r w:rsidR="00BB29FA" w:rsidRPr="006A2ACA">
          <w:rPr>
            <w:rStyle w:val="Hyperlink"/>
          </w:rPr>
          <w:t>C.3.2.</w:t>
        </w:r>
        <w:r w:rsidR="00BB29FA">
          <w:rPr>
            <w:rFonts w:asciiTheme="minorHAnsi" w:eastAsiaTheme="minorEastAsia" w:hAnsiTheme="minorHAnsi" w:cstheme="minorBidi"/>
            <w:sz w:val="22"/>
            <w:szCs w:val="22"/>
            <w:lang w:val="fr-FR"/>
          </w:rPr>
          <w:tab/>
        </w:r>
        <w:r w:rsidR="00BB29FA" w:rsidRPr="006A2ACA">
          <w:rPr>
            <w:rStyle w:val="Hyperlink"/>
          </w:rPr>
          <w:t>Suivi de l’avancement des projets</w:t>
        </w:r>
        <w:r w:rsidR="00BB29FA">
          <w:rPr>
            <w:webHidden/>
          </w:rPr>
          <w:tab/>
        </w:r>
        <w:r w:rsidR="00BB29FA">
          <w:rPr>
            <w:webHidden/>
          </w:rPr>
          <w:fldChar w:fldCharType="begin"/>
        </w:r>
        <w:r w:rsidR="00BB29FA">
          <w:rPr>
            <w:webHidden/>
          </w:rPr>
          <w:instrText xml:space="preserve"> PAGEREF _Toc468189943 \h </w:instrText>
        </w:r>
        <w:r w:rsidR="00BB29FA">
          <w:rPr>
            <w:webHidden/>
          </w:rPr>
        </w:r>
        <w:r w:rsidR="00BB29FA">
          <w:rPr>
            <w:webHidden/>
          </w:rPr>
          <w:fldChar w:fldCharType="separate"/>
        </w:r>
        <w:r w:rsidR="00BB29FA">
          <w:rPr>
            <w:webHidden/>
          </w:rPr>
          <w:t>32</w:t>
        </w:r>
        <w:r w:rsidR="00BB29FA">
          <w:rPr>
            <w:webHidden/>
          </w:rPr>
          <w:fldChar w:fldCharType="end"/>
        </w:r>
      </w:hyperlink>
    </w:p>
    <w:p w14:paraId="3635F401"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44" w:history="1">
        <w:r w:rsidR="00BB29FA" w:rsidRPr="006A2ACA">
          <w:rPr>
            <w:rStyle w:val="Hyperlink"/>
          </w:rPr>
          <w:t>C.3.3.</w:t>
        </w:r>
        <w:r w:rsidR="00BB29FA">
          <w:rPr>
            <w:rFonts w:asciiTheme="minorHAnsi" w:eastAsiaTheme="minorEastAsia" w:hAnsiTheme="minorHAnsi" w:cstheme="minorBidi"/>
            <w:sz w:val="22"/>
            <w:szCs w:val="22"/>
            <w:lang w:val="fr-FR"/>
          </w:rPr>
          <w:tab/>
        </w:r>
        <w:r w:rsidR="00BB29FA" w:rsidRPr="006A2ACA">
          <w:rPr>
            <w:rStyle w:val="Hyperlink"/>
          </w:rPr>
          <w:t>Plan d’action pour opérationnaliser rapidement le suivi des schémas d’aménagement.</w:t>
        </w:r>
        <w:r w:rsidR="00BB29FA">
          <w:rPr>
            <w:webHidden/>
          </w:rPr>
          <w:tab/>
        </w:r>
        <w:r w:rsidR="00BB29FA">
          <w:rPr>
            <w:webHidden/>
          </w:rPr>
          <w:fldChar w:fldCharType="begin"/>
        </w:r>
        <w:r w:rsidR="00BB29FA">
          <w:rPr>
            <w:webHidden/>
          </w:rPr>
          <w:instrText xml:space="preserve"> PAGEREF _Toc468189944 \h </w:instrText>
        </w:r>
        <w:r w:rsidR="00BB29FA">
          <w:rPr>
            <w:webHidden/>
          </w:rPr>
        </w:r>
        <w:r w:rsidR="00BB29FA">
          <w:rPr>
            <w:webHidden/>
          </w:rPr>
          <w:fldChar w:fldCharType="separate"/>
        </w:r>
        <w:r w:rsidR="00BB29FA">
          <w:rPr>
            <w:webHidden/>
          </w:rPr>
          <w:t>51</w:t>
        </w:r>
        <w:r w:rsidR="00BB29FA">
          <w:rPr>
            <w:webHidden/>
          </w:rPr>
          <w:fldChar w:fldCharType="end"/>
        </w:r>
      </w:hyperlink>
    </w:p>
    <w:p w14:paraId="4EDE8EA0"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45" w:history="1">
        <w:r w:rsidR="00BB29FA" w:rsidRPr="006A2ACA">
          <w:rPr>
            <w:rStyle w:val="Hyperlink"/>
          </w:rPr>
          <w:t>C.3.4.</w:t>
        </w:r>
        <w:r w:rsidR="00BB29FA">
          <w:rPr>
            <w:rFonts w:asciiTheme="minorHAnsi" w:eastAsiaTheme="minorEastAsia" w:hAnsiTheme="minorHAnsi" w:cstheme="minorBidi"/>
            <w:sz w:val="22"/>
            <w:szCs w:val="22"/>
            <w:lang w:val="fr-FR"/>
          </w:rPr>
          <w:tab/>
        </w:r>
        <w:r w:rsidR="00BB29FA" w:rsidRPr="006A2ACA">
          <w:rPr>
            <w:rStyle w:val="Hyperlink"/>
          </w:rPr>
          <w:t>Quelle place pour le ST/CIAT ?</w:t>
        </w:r>
        <w:r w:rsidR="00BB29FA">
          <w:rPr>
            <w:webHidden/>
          </w:rPr>
          <w:tab/>
        </w:r>
        <w:r w:rsidR="00BB29FA">
          <w:rPr>
            <w:webHidden/>
          </w:rPr>
          <w:fldChar w:fldCharType="begin"/>
        </w:r>
        <w:r w:rsidR="00BB29FA">
          <w:rPr>
            <w:webHidden/>
          </w:rPr>
          <w:instrText xml:space="preserve"> PAGEREF _Toc468189945 \h </w:instrText>
        </w:r>
        <w:r w:rsidR="00BB29FA">
          <w:rPr>
            <w:webHidden/>
          </w:rPr>
        </w:r>
        <w:r w:rsidR="00BB29FA">
          <w:rPr>
            <w:webHidden/>
          </w:rPr>
          <w:fldChar w:fldCharType="separate"/>
        </w:r>
        <w:r w:rsidR="00BB29FA">
          <w:rPr>
            <w:webHidden/>
          </w:rPr>
          <w:t>55</w:t>
        </w:r>
        <w:r w:rsidR="00BB29FA">
          <w:rPr>
            <w:webHidden/>
          </w:rPr>
          <w:fldChar w:fldCharType="end"/>
        </w:r>
      </w:hyperlink>
    </w:p>
    <w:p w14:paraId="4B126146" w14:textId="77777777" w:rsidR="00BB29FA" w:rsidRDefault="00693265">
      <w:pPr>
        <w:pStyle w:val="TOC2"/>
        <w:tabs>
          <w:tab w:val="left" w:pos="1276"/>
        </w:tabs>
        <w:rPr>
          <w:rFonts w:asciiTheme="minorHAnsi" w:eastAsiaTheme="minorEastAsia" w:hAnsiTheme="minorHAnsi" w:cstheme="minorBidi"/>
          <w:b w:val="0"/>
          <w:iCs w:val="0"/>
          <w:color w:val="auto"/>
          <w:szCs w:val="22"/>
          <w:lang w:val="fr-FR"/>
        </w:rPr>
      </w:pPr>
      <w:hyperlink w:anchor="_Toc468189946" w:history="1">
        <w:r w:rsidR="00BB29FA" w:rsidRPr="006A2ACA">
          <w:rPr>
            <w:rStyle w:val="Hyperlink"/>
          </w:rPr>
          <w:t>C.4.</w:t>
        </w:r>
        <w:r w:rsidR="00BB29FA">
          <w:rPr>
            <w:rFonts w:asciiTheme="minorHAnsi" w:eastAsiaTheme="minorEastAsia" w:hAnsiTheme="minorHAnsi" w:cstheme="minorBidi"/>
            <w:b w:val="0"/>
            <w:iCs w:val="0"/>
            <w:color w:val="auto"/>
            <w:szCs w:val="22"/>
            <w:lang w:val="fr-FR"/>
          </w:rPr>
          <w:tab/>
        </w:r>
        <w:r w:rsidR="00BB29FA" w:rsidRPr="006A2ACA">
          <w:rPr>
            <w:rStyle w:val="Hyperlink"/>
          </w:rPr>
          <w:t>Niveau 2 : un suivi qui alimente les discussions stratégiques sur l’urbain, vers une Base de Données Urbaines</w:t>
        </w:r>
        <w:r w:rsidR="00BB29FA">
          <w:rPr>
            <w:webHidden/>
          </w:rPr>
          <w:tab/>
        </w:r>
        <w:r w:rsidR="00BB29FA">
          <w:rPr>
            <w:webHidden/>
          </w:rPr>
          <w:fldChar w:fldCharType="begin"/>
        </w:r>
        <w:r w:rsidR="00BB29FA">
          <w:rPr>
            <w:webHidden/>
          </w:rPr>
          <w:instrText xml:space="preserve"> PAGEREF _Toc468189946 \h </w:instrText>
        </w:r>
        <w:r w:rsidR="00BB29FA">
          <w:rPr>
            <w:webHidden/>
          </w:rPr>
        </w:r>
        <w:r w:rsidR="00BB29FA">
          <w:rPr>
            <w:webHidden/>
          </w:rPr>
          <w:fldChar w:fldCharType="separate"/>
        </w:r>
        <w:r w:rsidR="00BB29FA">
          <w:rPr>
            <w:webHidden/>
          </w:rPr>
          <w:t>57</w:t>
        </w:r>
        <w:r w:rsidR="00BB29FA">
          <w:rPr>
            <w:webHidden/>
          </w:rPr>
          <w:fldChar w:fldCharType="end"/>
        </w:r>
      </w:hyperlink>
    </w:p>
    <w:p w14:paraId="1B2A8968"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47" w:history="1">
        <w:r w:rsidR="00BB29FA" w:rsidRPr="006A2ACA">
          <w:rPr>
            <w:rStyle w:val="Hyperlink"/>
          </w:rPr>
          <w:t>C.4.1.</w:t>
        </w:r>
        <w:r w:rsidR="00BB29FA">
          <w:rPr>
            <w:rFonts w:asciiTheme="minorHAnsi" w:eastAsiaTheme="minorEastAsia" w:hAnsiTheme="minorHAnsi" w:cstheme="minorBidi"/>
            <w:sz w:val="22"/>
            <w:szCs w:val="22"/>
            <w:lang w:val="fr-FR"/>
          </w:rPr>
          <w:tab/>
        </w:r>
        <w:r w:rsidR="00BB29FA" w:rsidRPr="006A2ACA">
          <w:rPr>
            <w:rStyle w:val="Hyperlink"/>
          </w:rPr>
          <w:t>Qu’est-ce qu’une base de données Urbaine ?</w:t>
        </w:r>
        <w:r w:rsidR="00BB29FA">
          <w:rPr>
            <w:webHidden/>
          </w:rPr>
          <w:tab/>
        </w:r>
        <w:r w:rsidR="00BB29FA">
          <w:rPr>
            <w:webHidden/>
          </w:rPr>
          <w:fldChar w:fldCharType="begin"/>
        </w:r>
        <w:r w:rsidR="00BB29FA">
          <w:rPr>
            <w:webHidden/>
          </w:rPr>
          <w:instrText xml:space="preserve"> PAGEREF _Toc468189947 \h </w:instrText>
        </w:r>
        <w:r w:rsidR="00BB29FA">
          <w:rPr>
            <w:webHidden/>
          </w:rPr>
        </w:r>
        <w:r w:rsidR="00BB29FA">
          <w:rPr>
            <w:webHidden/>
          </w:rPr>
          <w:fldChar w:fldCharType="separate"/>
        </w:r>
        <w:r w:rsidR="00BB29FA">
          <w:rPr>
            <w:webHidden/>
          </w:rPr>
          <w:t>57</w:t>
        </w:r>
        <w:r w:rsidR="00BB29FA">
          <w:rPr>
            <w:webHidden/>
          </w:rPr>
          <w:fldChar w:fldCharType="end"/>
        </w:r>
      </w:hyperlink>
    </w:p>
    <w:p w14:paraId="49E61F7D"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48" w:history="1">
        <w:r w:rsidR="00BB29FA" w:rsidRPr="006A2ACA">
          <w:rPr>
            <w:rStyle w:val="Hyperlink"/>
          </w:rPr>
          <w:t>C.4.2.</w:t>
        </w:r>
        <w:r w:rsidR="00BB29FA">
          <w:rPr>
            <w:rFonts w:asciiTheme="minorHAnsi" w:eastAsiaTheme="minorEastAsia" w:hAnsiTheme="minorHAnsi" w:cstheme="minorBidi"/>
            <w:sz w:val="22"/>
            <w:szCs w:val="22"/>
            <w:lang w:val="fr-FR"/>
          </w:rPr>
          <w:tab/>
        </w:r>
        <w:r w:rsidR="00BB29FA" w:rsidRPr="006A2ACA">
          <w:rPr>
            <w:rStyle w:val="Hyperlink"/>
          </w:rPr>
          <w:t>Qu’est-ce qu’un observatoire urbain</w:t>
        </w:r>
        <w:r w:rsidR="00BB29FA">
          <w:rPr>
            <w:webHidden/>
          </w:rPr>
          <w:tab/>
        </w:r>
        <w:r w:rsidR="00BB29FA">
          <w:rPr>
            <w:webHidden/>
          </w:rPr>
          <w:fldChar w:fldCharType="begin"/>
        </w:r>
        <w:r w:rsidR="00BB29FA">
          <w:rPr>
            <w:webHidden/>
          </w:rPr>
          <w:instrText xml:space="preserve"> PAGEREF _Toc468189948 \h </w:instrText>
        </w:r>
        <w:r w:rsidR="00BB29FA">
          <w:rPr>
            <w:webHidden/>
          </w:rPr>
        </w:r>
        <w:r w:rsidR="00BB29FA">
          <w:rPr>
            <w:webHidden/>
          </w:rPr>
          <w:fldChar w:fldCharType="separate"/>
        </w:r>
        <w:r w:rsidR="00BB29FA">
          <w:rPr>
            <w:webHidden/>
          </w:rPr>
          <w:t>58</w:t>
        </w:r>
        <w:r w:rsidR="00BB29FA">
          <w:rPr>
            <w:webHidden/>
          </w:rPr>
          <w:fldChar w:fldCharType="end"/>
        </w:r>
      </w:hyperlink>
    </w:p>
    <w:p w14:paraId="1C52EDE8"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49" w:history="1">
        <w:r w:rsidR="00BB29FA" w:rsidRPr="006A2ACA">
          <w:rPr>
            <w:rStyle w:val="Hyperlink"/>
          </w:rPr>
          <w:t>C.4.3.</w:t>
        </w:r>
        <w:r w:rsidR="00BB29FA">
          <w:rPr>
            <w:rFonts w:asciiTheme="minorHAnsi" w:eastAsiaTheme="minorEastAsia" w:hAnsiTheme="minorHAnsi" w:cstheme="minorBidi"/>
            <w:sz w:val="22"/>
            <w:szCs w:val="22"/>
            <w:lang w:val="fr-FR"/>
          </w:rPr>
          <w:tab/>
        </w:r>
        <w:r w:rsidR="00BB29FA" w:rsidRPr="006A2ACA">
          <w:rPr>
            <w:rStyle w:val="Hyperlink"/>
          </w:rPr>
          <w:t>Un préalable à la mise en place d’une BDU : existence d’un cadre permanent de concertation et de dialogue sur la question urbaine</w:t>
        </w:r>
        <w:r w:rsidR="00BB29FA">
          <w:rPr>
            <w:webHidden/>
          </w:rPr>
          <w:tab/>
        </w:r>
        <w:r w:rsidR="00BB29FA">
          <w:rPr>
            <w:webHidden/>
          </w:rPr>
          <w:fldChar w:fldCharType="begin"/>
        </w:r>
        <w:r w:rsidR="00BB29FA">
          <w:rPr>
            <w:webHidden/>
          </w:rPr>
          <w:instrText xml:space="preserve"> PAGEREF _Toc468189949 \h </w:instrText>
        </w:r>
        <w:r w:rsidR="00BB29FA">
          <w:rPr>
            <w:webHidden/>
          </w:rPr>
        </w:r>
        <w:r w:rsidR="00BB29FA">
          <w:rPr>
            <w:webHidden/>
          </w:rPr>
          <w:fldChar w:fldCharType="separate"/>
        </w:r>
        <w:r w:rsidR="00BB29FA">
          <w:rPr>
            <w:webHidden/>
          </w:rPr>
          <w:t>59</w:t>
        </w:r>
        <w:r w:rsidR="00BB29FA">
          <w:rPr>
            <w:webHidden/>
          </w:rPr>
          <w:fldChar w:fldCharType="end"/>
        </w:r>
      </w:hyperlink>
    </w:p>
    <w:p w14:paraId="347D9B8C"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50" w:history="1">
        <w:r w:rsidR="00BB29FA" w:rsidRPr="006A2ACA">
          <w:rPr>
            <w:rStyle w:val="Hyperlink"/>
          </w:rPr>
          <w:t>C.4.4.</w:t>
        </w:r>
        <w:r w:rsidR="00BB29FA">
          <w:rPr>
            <w:rFonts w:asciiTheme="minorHAnsi" w:eastAsiaTheme="minorEastAsia" w:hAnsiTheme="minorHAnsi" w:cstheme="minorBidi"/>
            <w:sz w:val="22"/>
            <w:szCs w:val="22"/>
            <w:lang w:val="fr-FR"/>
          </w:rPr>
          <w:tab/>
        </w:r>
        <w:r w:rsidR="00BB29FA" w:rsidRPr="006A2ACA">
          <w:rPr>
            <w:rStyle w:val="Hyperlink"/>
          </w:rPr>
          <w:t>Amorcer la mise en place d’une BDU</w:t>
        </w:r>
        <w:r w:rsidR="00BB29FA">
          <w:rPr>
            <w:webHidden/>
          </w:rPr>
          <w:tab/>
        </w:r>
        <w:r w:rsidR="00BB29FA">
          <w:rPr>
            <w:webHidden/>
          </w:rPr>
          <w:fldChar w:fldCharType="begin"/>
        </w:r>
        <w:r w:rsidR="00BB29FA">
          <w:rPr>
            <w:webHidden/>
          </w:rPr>
          <w:instrText xml:space="preserve"> PAGEREF _Toc468189950 \h </w:instrText>
        </w:r>
        <w:r w:rsidR="00BB29FA">
          <w:rPr>
            <w:webHidden/>
          </w:rPr>
        </w:r>
        <w:r w:rsidR="00BB29FA">
          <w:rPr>
            <w:webHidden/>
          </w:rPr>
          <w:fldChar w:fldCharType="separate"/>
        </w:r>
        <w:r w:rsidR="00BB29FA">
          <w:rPr>
            <w:webHidden/>
          </w:rPr>
          <w:t>63</w:t>
        </w:r>
        <w:r w:rsidR="00BB29FA">
          <w:rPr>
            <w:webHidden/>
          </w:rPr>
          <w:fldChar w:fldCharType="end"/>
        </w:r>
      </w:hyperlink>
    </w:p>
    <w:p w14:paraId="51C52186" w14:textId="77777777" w:rsidR="00BB29FA" w:rsidRDefault="00693265">
      <w:pPr>
        <w:pStyle w:val="TOC2"/>
        <w:tabs>
          <w:tab w:val="left" w:pos="1276"/>
        </w:tabs>
        <w:rPr>
          <w:rFonts w:asciiTheme="minorHAnsi" w:eastAsiaTheme="minorEastAsia" w:hAnsiTheme="minorHAnsi" w:cstheme="minorBidi"/>
          <w:b w:val="0"/>
          <w:iCs w:val="0"/>
          <w:color w:val="auto"/>
          <w:szCs w:val="22"/>
          <w:lang w:val="fr-FR"/>
        </w:rPr>
      </w:pPr>
      <w:hyperlink w:anchor="_Toc468189951" w:history="1">
        <w:r w:rsidR="00BB29FA" w:rsidRPr="006A2ACA">
          <w:rPr>
            <w:rStyle w:val="Hyperlink"/>
          </w:rPr>
          <w:t>C.5.</w:t>
        </w:r>
        <w:r w:rsidR="00BB29FA">
          <w:rPr>
            <w:rFonts w:asciiTheme="minorHAnsi" w:eastAsiaTheme="minorEastAsia" w:hAnsiTheme="minorHAnsi" w:cstheme="minorBidi"/>
            <w:b w:val="0"/>
            <w:iCs w:val="0"/>
            <w:color w:val="auto"/>
            <w:szCs w:val="22"/>
            <w:lang w:val="fr-FR"/>
          </w:rPr>
          <w:tab/>
        </w:r>
        <w:r w:rsidR="00BB29FA" w:rsidRPr="006A2ACA">
          <w:rPr>
            <w:rStyle w:val="Hyperlink"/>
          </w:rPr>
          <w:t>Niveau 3 : Définition de d’indicateurs clefs pour le développement urbain en Haiti</w:t>
        </w:r>
        <w:r w:rsidR="00BB29FA">
          <w:rPr>
            <w:webHidden/>
          </w:rPr>
          <w:tab/>
        </w:r>
        <w:r w:rsidR="00BB29FA">
          <w:rPr>
            <w:webHidden/>
          </w:rPr>
          <w:fldChar w:fldCharType="begin"/>
        </w:r>
        <w:r w:rsidR="00BB29FA">
          <w:rPr>
            <w:webHidden/>
          </w:rPr>
          <w:instrText xml:space="preserve"> PAGEREF _Toc468189951 \h </w:instrText>
        </w:r>
        <w:r w:rsidR="00BB29FA">
          <w:rPr>
            <w:webHidden/>
          </w:rPr>
        </w:r>
        <w:r w:rsidR="00BB29FA">
          <w:rPr>
            <w:webHidden/>
          </w:rPr>
          <w:fldChar w:fldCharType="separate"/>
        </w:r>
        <w:r w:rsidR="00BB29FA">
          <w:rPr>
            <w:webHidden/>
          </w:rPr>
          <w:t>69</w:t>
        </w:r>
        <w:r w:rsidR="00BB29FA">
          <w:rPr>
            <w:webHidden/>
          </w:rPr>
          <w:fldChar w:fldCharType="end"/>
        </w:r>
      </w:hyperlink>
    </w:p>
    <w:p w14:paraId="12A3FF74"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52" w:history="1">
        <w:r w:rsidR="00BB29FA" w:rsidRPr="006A2ACA">
          <w:rPr>
            <w:rStyle w:val="Hyperlink"/>
          </w:rPr>
          <w:t>C.5.1.</w:t>
        </w:r>
        <w:r w:rsidR="00BB29FA">
          <w:rPr>
            <w:rFonts w:asciiTheme="minorHAnsi" w:eastAsiaTheme="minorEastAsia" w:hAnsiTheme="minorHAnsi" w:cstheme="minorBidi"/>
            <w:sz w:val="22"/>
            <w:szCs w:val="22"/>
            <w:lang w:val="fr-FR"/>
          </w:rPr>
          <w:tab/>
        </w:r>
        <w:r w:rsidR="00BB29FA" w:rsidRPr="006A2ACA">
          <w:rPr>
            <w:rStyle w:val="Hyperlink"/>
          </w:rPr>
          <w:t>Des indicateurs montrant l’évolution de la prise en compte du fait urbain en Haiti</w:t>
        </w:r>
        <w:r w:rsidR="00BB29FA">
          <w:rPr>
            <w:webHidden/>
          </w:rPr>
          <w:tab/>
        </w:r>
        <w:r w:rsidR="00BB29FA">
          <w:rPr>
            <w:webHidden/>
          </w:rPr>
          <w:fldChar w:fldCharType="begin"/>
        </w:r>
        <w:r w:rsidR="00BB29FA">
          <w:rPr>
            <w:webHidden/>
          </w:rPr>
          <w:instrText xml:space="preserve"> PAGEREF _Toc468189952 \h </w:instrText>
        </w:r>
        <w:r w:rsidR="00BB29FA">
          <w:rPr>
            <w:webHidden/>
          </w:rPr>
        </w:r>
        <w:r w:rsidR="00BB29FA">
          <w:rPr>
            <w:webHidden/>
          </w:rPr>
          <w:fldChar w:fldCharType="separate"/>
        </w:r>
        <w:r w:rsidR="00BB29FA">
          <w:rPr>
            <w:webHidden/>
          </w:rPr>
          <w:t>69</w:t>
        </w:r>
        <w:r w:rsidR="00BB29FA">
          <w:rPr>
            <w:webHidden/>
          </w:rPr>
          <w:fldChar w:fldCharType="end"/>
        </w:r>
      </w:hyperlink>
    </w:p>
    <w:p w14:paraId="388BBC97" w14:textId="77777777" w:rsidR="00BB29FA" w:rsidRDefault="00693265">
      <w:pPr>
        <w:pStyle w:val="TOC3"/>
        <w:tabs>
          <w:tab w:val="left" w:pos="1540"/>
        </w:tabs>
        <w:rPr>
          <w:rFonts w:asciiTheme="minorHAnsi" w:eastAsiaTheme="minorEastAsia" w:hAnsiTheme="minorHAnsi" w:cstheme="minorBidi"/>
          <w:sz w:val="22"/>
          <w:szCs w:val="22"/>
          <w:lang w:val="fr-FR"/>
        </w:rPr>
      </w:pPr>
      <w:hyperlink w:anchor="_Toc468189953" w:history="1">
        <w:r w:rsidR="00BB29FA" w:rsidRPr="006A2ACA">
          <w:rPr>
            <w:rStyle w:val="Hyperlink"/>
          </w:rPr>
          <w:t>C.5.2.</w:t>
        </w:r>
        <w:r w:rsidR="00BB29FA">
          <w:rPr>
            <w:rFonts w:asciiTheme="minorHAnsi" w:eastAsiaTheme="minorEastAsia" w:hAnsiTheme="minorHAnsi" w:cstheme="minorBidi"/>
            <w:sz w:val="22"/>
            <w:szCs w:val="22"/>
            <w:lang w:val="fr-FR"/>
          </w:rPr>
          <w:tab/>
        </w:r>
        <w:r w:rsidR="00BB29FA" w:rsidRPr="006A2ACA">
          <w:rPr>
            <w:rStyle w:val="Hyperlink"/>
          </w:rPr>
          <w:t>Des indicateurs montrant l’évolution du fait urbain : les indicateurs de qualité de vie</w:t>
        </w:r>
        <w:r w:rsidR="00BB29FA">
          <w:rPr>
            <w:webHidden/>
          </w:rPr>
          <w:tab/>
        </w:r>
        <w:r w:rsidR="00BB29FA">
          <w:rPr>
            <w:webHidden/>
          </w:rPr>
          <w:fldChar w:fldCharType="begin"/>
        </w:r>
        <w:r w:rsidR="00BB29FA">
          <w:rPr>
            <w:webHidden/>
          </w:rPr>
          <w:instrText xml:space="preserve"> PAGEREF _Toc468189953 \h </w:instrText>
        </w:r>
        <w:r w:rsidR="00BB29FA">
          <w:rPr>
            <w:webHidden/>
          </w:rPr>
        </w:r>
        <w:r w:rsidR="00BB29FA">
          <w:rPr>
            <w:webHidden/>
          </w:rPr>
          <w:fldChar w:fldCharType="separate"/>
        </w:r>
        <w:r w:rsidR="00BB29FA">
          <w:rPr>
            <w:webHidden/>
          </w:rPr>
          <w:t>71</w:t>
        </w:r>
        <w:r w:rsidR="00BB29FA">
          <w:rPr>
            <w:webHidden/>
          </w:rPr>
          <w:fldChar w:fldCharType="end"/>
        </w:r>
      </w:hyperlink>
    </w:p>
    <w:p w14:paraId="63CEB037" w14:textId="77777777" w:rsidR="00BB29FA" w:rsidRDefault="00693265">
      <w:pPr>
        <w:pStyle w:val="TOC2"/>
        <w:rPr>
          <w:rFonts w:asciiTheme="minorHAnsi" w:eastAsiaTheme="minorEastAsia" w:hAnsiTheme="minorHAnsi" w:cstheme="minorBidi"/>
          <w:b w:val="0"/>
          <w:iCs w:val="0"/>
          <w:color w:val="auto"/>
          <w:szCs w:val="22"/>
          <w:lang w:val="fr-FR"/>
        </w:rPr>
      </w:pPr>
      <w:hyperlink w:anchor="_Toc468189954" w:history="1">
        <w:r w:rsidR="00BB29FA" w:rsidRPr="006A2ACA">
          <w:rPr>
            <w:rStyle w:val="Hyperlink"/>
          </w:rPr>
          <w:t>Annexes</w:t>
        </w:r>
        <w:r w:rsidR="00BB29FA">
          <w:rPr>
            <w:webHidden/>
          </w:rPr>
          <w:tab/>
        </w:r>
        <w:r w:rsidR="00BB29FA">
          <w:rPr>
            <w:webHidden/>
          </w:rPr>
          <w:fldChar w:fldCharType="begin"/>
        </w:r>
        <w:r w:rsidR="00BB29FA">
          <w:rPr>
            <w:webHidden/>
          </w:rPr>
          <w:instrText xml:space="preserve"> PAGEREF _Toc468189954 \h </w:instrText>
        </w:r>
        <w:r w:rsidR="00BB29FA">
          <w:rPr>
            <w:webHidden/>
          </w:rPr>
        </w:r>
        <w:r w:rsidR="00BB29FA">
          <w:rPr>
            <w:webHidden/>
          </w:rPr>
          <w:fldChar w:fldCharType="separate"/>
        </w:r>
        <w:r w:rsidR="00BB29FA">
          <w:rPr>
            <w:webHidden/>
          </w:rPr>
          <w:t>72</w:t>
        </w:r>
        <w:r w:rsidR="00BB29FA">
          <w:rPr>
            <w:webHidden/>
          </w:rPr>
          <w:fldChar w:fldCharType="end"/>
        </w:r>
      </w:hyperlink>
    </w:p>
    <w:p w14:paraId="0B4B1323" w14:textId="77777777" w:rsidR="00BB29FA" w:rsidRDefault="00693265">
      <w:pPr>
        <w:pStyle w:val="TOC3"/>
        <w:rPr>
          <w:rFonts w:asciiTheme="minorHAnsi" w:eastAsiaTheme="minorEastAsia" w:hAnsiTheme="minorHAnsi" w:cstheme="minorBidi"/>
          <w:sz w:val="22"/>
          <w:szCs w:val="22"/>
          <w:lang w:val="fr-FR"/>
        </w:rPr>
      </w:pPr>
      <w:hyperlink w:anchor="_Toc468189955" w:history="1">
        <w:r w:rsidR="00BB29FA" w:rsidRPr="006A2ACA">
          <w:rPr>
            <w:rStyle w:val="Hyperlink"/>
          </w:rPr>
          <w:t>Annexe 1 : Listing des documents d’urbanisme disponibles</w:t>
        </w:r>
        <w:r w:rsidR="00BB29FA">
          <w:rPr>
            <w:webHidden/>
          </w:rPr>
          <w:tab/>
        </w:r>
        <w:r w:rsidR="00BB29FA">
          <w:rPr>
            <w:webHidden/>
          </w:rPr>
          <w:fldChar w:fldCharType="begin"/>
        </w:r>
        <w:r w:rsidR="00BB29FA">
          <w:rPr>
            <w:webHidden/>
          </w:rPr>
          <w:instrText xml:space="preserve"> PAGEREF _Toc468189955 \h </w:instrText>
        </w:r>
        <w:r w:rsidR="00BB29FA">
          <w:rPr>
            <w:webHidden/>
          </w:rPr>
        </w:r>
        <w:r w:rsidR="00BB29FA">
          <w:rPr>
            <w:webHidden/>
          </w:rPr>
          <w:fldChar w:fldCharType="separate"/>
        </w:r>
        <w:r w:rsidR="00BB29FA">
          <w:rPr>
            <w:webHidden/>
          </w:rPr>
          <w:t>72</w:t>
        </w:r>
        <w:r w:rsidR="00BB29FA">
          <w:rPr>
            <w:webHidden/>
          </w:rPr>
          <w:fldChar w:fldCharType="end"/>
        </w:r>
      </w:hyperlink>
    </w:p>
    <w:p w14:paraId="5A29E16E" w14:textId="77777777" w:rsidR="00BB29FA" w:rsidRDefault="00693265">
      <w:pPr>
        <w:pStyle w:val="TOC3"/>
        <w:rPr>
          <w:rFonts w:asciiTheme="minorHAnsi" w:eastAsiaTheme="minorEastAsia" w:hAnsiTheme="minorHAnsi" w:cstheme="minorBidi"/>
          <w:sz w:val="22"/>
          <w:szCs w:val="22"/>
          <w:lang w:val="fr-FR"/>
        </w:rPr>
      </w:pPr>
      <w:hyperlink w:anchor="_Toc468189956" w:history="1">
        <w:r w:rsidR="00BB29FA" w:rsidRPr="006A2ACA">
          <w:rPr>
            <w:rStyle w:val="Hyperlink"/>
          </w:rPr>
          <w:t>Annexe 2 : L’observatoire des services et du Patrimoine urbains de Nouakchott</w:t>
        </w:r>
        <w:r w:rsidR="00BB29FA">
          <w:rPr>
            <w:webHidden/>
          </w:rPr>
          <w:tab/>
        </w:r>
        <w:r w:rsidR="00BB29FA">
          <w:rPr>
            <w:webHidden/>
          </w:rPr>
          <w:fldChar w:fldCharType="begin"/>
        </w:r>
        <w:r w:rsidR="00BB29FA">
          <w:rPr>
            <w:webHidden/>
          </w:rPr>
          <w:instrText xml:space="preserve"> PAGEREF _Toc468189956 \h </w:instrText>
        </w:r>
        <w:r w:rsidR="00BB29FA">
          <w:rPr>
            <w:webHidden/>
          </w:rPr>
        </w:r>
        <w:r w:rsidR="00BB29FA">
          <w:rPr>
            <w:webHidden/>
          </w:rPr>
          <w:fldChar w:fldCharType="separate"/>
        </w:r>
        <w:r w:rsidR="00BB29FA">
          <w:rPr>
            <w:webHidden/>
          </w:rPr>
          <w:t>85</w:t>
        </w:r>
        <w:r w:rsidR="00BB29FA">
          <w:rPr>
            <w:webHidden/>
          </w:rPr>
          <w:fldChar w:fldCharType="end"/>
        </w:r>
      </w:hyperlink>
    </w:p>
    <w:p w14:paraId="13BA3040" w14:textId="77777777" w:rsidR="00BB29FA" w:rsidRDefault="00693265">
      <w:pPr>
        <w:pStyle w:val="TOC3"/>
        <w:rPr>
          <w:rFonts w:asciiTheme="minorHAnsi" w:eastAsiaTheme="minorEastAsia" w:hAnsiTheme="minorHAnsi" w:cstheme="minorBidi"/>
          <w:sz w:val="22"/>
          <w:szCs w:val="22"/>
          <w:lang w:val="fr-FR"/>
        </w:rPr>
      </w:pPr>
      <w:hyperlink w:anchor="_Toc468189957" w:history="1">
        <w:r w:rsidR="00BB29FA" w:rsidRPr="006A2ACA">
          <w:rPr>
            <w:rStyle w:val="Hyperlink"/>
          </w:rPr>
          <w:t>Annexe 3 : Le Malaysian Urban Indicators Network (MURNInets)</w:t>
        </w:r>
        <w:r w:rsidR="00BB29FA">
          <w:rPr>
            <w:webHidden/>
          </w:rPr>
          <w:tab/>
        </w:r>
        <w:r w:rsidR="00BB29FA">
          <w:rPr>
            <w:webHidden/>
          </w:rPr>
          <w:fldChar w:fldCharType="begin"/>
        </w:r>
        <w:r w:rsidR="00BB29FA">
          <w:rPr>
            <w:webHidden/>
          </w:rPr>
          <w:instrText xml:space="preserve"> PAGEREF _Toc468189957 \h </w:instrText>
        </w:r>
        <w:r w:rsidR="00BB29FA">
          <w:rPr>
            <w:webHidden/>
          </w:rPr>
        </w:r>
        <w:r w:rsidR="00BB29FA">
          <w:rPr>
            <w:webHidden/>
          </w:rPr>
          <w:fldChar w:fldCharType="separate"/>
        </w:r>
        <w:r w:rsidR="00BB29FA">
          <w:rPr>
            <w:webHidden/>
          </w:rPr>
          <w:t>86</w:t>
        </w:r>
        <w:r w:rsidR="00BB29FA">
          <w:rPr>
            <w:webHidden/>
          </w:rPr>
          <w:fldChar w:fldCharType="end"/>
        </w:r>
      </w:hyperlink>
    </w:p>
    <w:p w14:paraId="68D9C151" w14:textId="77777777" w:rsidR="00BB29FA" w:rsidRDefault="00693265">
      <w:pPr>
        <w:pStyle w:val="TOC3"/>
        <w:rPr>
          <w:rFonts w:asciiTheme="minorHAnsi" w:eastAsiaTheme="minorEastAsia" w:hAnsiTheme="minorHAnsi" w:cstheme="minorBidi"/>
          <w:sz w:val="22"/>
          <w:szCs w:val="22"/>
          <w:lang w:val="fr-FR"/>
        </w:rPr>
      </w:pPr>
      <w:hyperlink w:anchor="_Toc468189958" w:history="1">
        <w:r w:rsidR="00BB29FA" w:rsidRPr="006A2ACA">
          <w:rPr>
            <w:rStyle w:val="Hyperlink"/>
          </w:rPr>
          <w:t>Annexe 4 : BDU du Cameroun</w:t>
        </w:r>
        <w:r w:rsidR="00BB29FA">
          <w:rPr>
            <w:webHidden/>
          </w:rPr>
          <w:tab/>
        </w:r>
        <w:r w:rsidR="00BB29FA">
          <w:rPr>
            <w:webHidden/>
          </w:rPr>
          <w:fldChar w:fldCharType="begin"/>
        </w:r>
        <w:r w:rsidR="00BB29FA">
          <w:rPr>
            <w:webHidden/>
          </w:rPr>
          <w:instrText xml:space="preserve"> PAGEREF _Toc468189958 \h </w:instrText>
        </w:r>
        <w:r w:rsidR="00BB29FA">
          <w:rPr>
            <w:webHidden/>
          </w:rPr>
        </w:r>
        <w:r w:rsidR="00BB29FA">
          <w:rPr>
            <w:webHidden/>
          </w:rPr>
          <w:fldChar w:fldCharType="separate"/>
        </w:r>
        <w:r w:rsidR="00BB29FA">
          <w:rPr>
            <w:webHidden/>
          </w:rPr>
          <w:t>88</w:t>
        </w:r>
        <w:r w:rsidR="00BB29FA">
          <w:rPr>
            <w:webHidden/>
          </w:rPr>
          <w:fldChar w:fldCharType="end"/>
        </w:r>
      </w:hyperlink>
    </w:p>
    <w:p w14:paraId="20C38105" w14:textId="77777777" w:rsidR="00607A57" w:rsidRDefault="00607A57" w:rsidP="00DB30FD">
      <w:r>
        <w:fldChar w:fldCharType="end"/>
      </w:r>
    </w:p>
    <w:p w14:paraId="4937FEDC" w14:textId="04391092" w:rsidR="00DB30FD" w:rsidRDefault="00DB30FD" w:rsidP="00607A57">
      <w:pPr>
        <w:pStyle w:val="Heading2"/>
        <w:numPr>
          <w:ilvl w:val="0"/>
          <w:numId w:val="0"/>
        </w:numPr>
        <w:ind w:left="851"/>
        <w:jc w:val="center"/>
      </w:pPr>
      <w:bookmarkStart w:id="2" w:name="_Toc468189925"/>
      <w:r>
        <w:lastRenderedPageBreak/>
        <w:t>Liste des abréviations</w:t>
      </w:r>
      <w:bookmarkEnd w:id="2"/>
    </w:p>
    <w:p w14:paraId="2048B7E5" w14:textId="77777777" w:rsidR="00607A57" w:rsidRPr="00607A57" w:rsidRDefault="00607A57" w:rsidP="00607A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91"/>
      </w:tblGrid>
      <w:tr w:rsidR="00DB30FD" w:rsidRPr="0037109E" w14:paraId="5A07E2F9" w14:textId="77777777" w:rsidTr="00607A57">
        <w:tc>
          <w:tcPr>
            <w:tcW w:w="1271" w:type="dxa"/>
            <w:vAlign w:val="center"/>
          </w:tcPr>
          <w:p w14:paraId="65C8D08C" w14:textId="77777777" w:rsidR="00DB30FD" w:rsidRPr="00333D03" w:rsidRDefault="00DB30FD" w:rsidP="00607A57">
            <w:pPr>
              <w:jc w:val="left"/>
              <w:rPr>
                <w:color w:val="538135"/>
                <w:sz w:val="24"/>
              </w:rPr>
            </w:pPr>
            <w:r w:rsidRPr="0037109E">
              <w:t>BDU</w:t>
            </w:r>
          </w:p>
        </w:tc>
        <w:tc>
          <w:tcPr>
            <w:tcW w:w="7791" w:type="dxa"/>
            <w:vAlign w:val="center"/>
          </w:tcPr>
          <w:p w14:paraId="63F57149" w14:textId="77777777" w:rsidR="00DB30FD" w:rsidRPr="0037109E" w:rsidRDefault="00DB30FD" w:rsidP="00607A57">
            <w:pPr>
              <w:jc w:val="left"/>
            </w:pPr>
            <w:r w:rsidRPr="0037109E">
              <w:t>Base de Données Urbaines</w:t>
            </w:r>
          </w:p>
        </w:tc>
      </w:tr>
      <w:tr w:rsidR="00DB30FD" w:rsidRPr="00333D03" w14:paraId="089CDFD4" w14:textId="77777777" w:rsidTr="00607A57">
        <w:tc>
          <w:tcPr>
            <w:tcW w:w="1271" w:type="dxa"/>
            <w:shd w:val="clear" w:color="auto" w:fill="auto"/>
            <w:vAlign w:val="center"/>
          </w:tcPr>
          <w:p w14:paraId="7B9B420B" w14:textId="77777777" w:rsidR="00DB30FD" w:rsidRPr="0037109E" w:rsidRDefault="00DB30FD" w:rsidP="00607A57">
            <w:pPr>
              <w:jc w:val="left"/>
            </w:pPr>
            <w:r w:rsidRPr="0037109E">
              <w:t>CNIGS</w:t>
            </w:r>
          </w:p>
        </w:tc>
        <w:tc>
          <w:tcPr>
            <w:tcW w:w="7791" w:type="dxa"/>
            <w:vAlign w:val="center"/>
          </w:tcPr>
          <w:p w14:paraId="0E41AD2A" w14:textId="77777777" w:rsidR="00DB30FD" w:rsidRPr="00201CB7" w:rsidRDefault="00DB30FD" w:rsidP="00607A57">
            <w:pPr>
              <w:jc w:val="left"/>
            </w:pPr>
            <w:r w:rsidRPr="00201CB7">
              <w:rPr>
                <w:rStyle w:val="st"/>
              </w:rPr>
              <w:t>Centre National de l'Information Géo-Spatiale</w:t>
            </w:r>
          </w:p>
        </w:tc>
      </w:tr>
      <w:tr w:rsidR="00DB30FD" w:rsidRPr="0037109E" w14:paraId="0DEE282D" w14:textId="77777777" w:rsidTr="00607A57">
        <w:tc>
          <w:tcPr>
            <w:tcW w:w="1271" w:type="dxa"/>
            <w:vAlign w:val="center"/>
          </w:tcPr>
          <w:p w14:paraId="05438B01" w14:textId="77777777" w:rsidR="00DB30FD" w:rsidRPr="00333D03" w:rsidRDefault="00DB30FD" w:rsidP="00607A57">
            <w:pPr>
              <w:jc w:val="left"/>
              <w:rPr>
                <w:color w:val="538135"/>
                <w:sz w:val="24"/>
              </w:rPr>
            </w:pPr>
            <w:r w:rsidRPr="0037109E">
              <w:t>DCT</w:t>
            </w:r>
          </w:p>
        </w:tc>
        <w:tc>
          <w:tcPr>
            <w:tcW w:w="7791" w:type="dxa"/>
            <w:vAlign w:val="center"/>
          </w:tcPr>
          <w:p w14:paraId="0B3867AE" w14:textId="77777777" w:rsidR="00DB30FD" w:rsidRPr="00B92A27" w:rsidRDefault="00DB30FD" w:rsidP="00607A57">
            <w:pPr>
              <w:jc w:val="left"/>
            </w:pPr>
            <w:r w:rsidRPr="00845B8F">
              <w:t xml:space="preserve">Direction des Collectivités Territoriales </w:t>
            </w:r>
          </w:p>
        </w:tc>
      </w:tr>
      <w:tr w:rsidR="00DB30FD" w:rsidRPr="00333D03" w14:paraId="43D9EA49" w14:textId="77777777" w:rsidTr="00607A57">
        <w:tc>
          <w:tcPr>
            <w:tcW w:w="1271" w:type="dxa"/>
            <w:vAlign w:val="center"/>
          </w:tcPr>
          <w:p w14:paraId="0487EF0A" w14:textId="77777777" w:rsidR="00DB30FD" w:rsidRPr="00333D03" w:rsidRDefault="00DB30FD" w:rsidP="00607A57">
            <w:pPr>
              <w:jc w:val="left"/>
              <w:rPr>
                <w:color w:val="538135"/>
                <w:sz w:val="24"/>
              </w:rPr>
            </w:pPr>
            <w:r w:rsidRPr="0037109E">
              <w:t>DATDLR</w:t>
            </w:r>
          </w:p>
        </w:tc>
        <w:tc>
          <w:tcPr>
            <w:tcW w:w="7791" w:type="dxa"/>
            <w:vAlign w:val="center"/>
          </w:tcPr>
          <w:p w14:paraId="6DE9F7F2" w14:textId="77777777" w:rsidR="00DB30FD" w:rsidRPr="00B92A27" w:rsidRDefault="00DB30FD" w:rsidP="00607A57">
            <w:pPr>
              <w:jc w:val="left"/>
            </w:pPr>
            <w:r w:rsidRPr="00845B8F">
              <w:t xml:space="preserve">Direction de l’Aménagement du Territoire du Développement local et Régional  </w:t>
            </w:r>
          </w:p>
        </w:tc>
      </w:tr>
      <w:tr w:rsidR="00DB30FD" w:rsidRPr="00333D03" w14:paraId="7FDFF8B4" w14:textId="77777777" w:rsidTr="00607A57">
        <w:tc>
          <w:tcPr>
            <w:tcW w:w="1271" w:type="dxa"/>
            <w:vAlign w:val="center"/>
          </w:tcPr>
          <w:p w14:paraId="19FDD79A" w14:textId="77777777" w:rsidR="00DB30FD" w:rsidRPr="00333D03" w:rsidRDefault="00DB30FD" w:rsidP="00607A57">
            <w:pPr>
              <w:jc w:val="left"/>
              <w:rPr>
                <w:color w:val="538135"/>
                <w:sz w:val="24"/>
              </w:rPr>
            </w:pPr>
            <w:r w:rsidRPr="0037109E">
              <w:t>DTP</w:t>
            </w:r>
          </w:p>
        </w:tc>
        <w:tc>
          <w:tcPr>
            <w:tcW w:w="7791" w:type="dxa"/>
            <w:vAlign w:val="center"/>
          </w:tcPr>
          <w:p w14:paraId="3A44E3B2" w14:textId="77777777" w:rsidR="00DB30FD" w:rsidRPr="0037109E" w:rsidRDefault="00DB30FD" w:rsidP="00607A57">
            <w:pPr>
              <w:jc w:val="left"/>
            </w:pPr>
            <w:r w:rsidRPr="0037109E">
              <w:t>Direction des Tavaux publics (MTPTC)</w:t>
            </w:r>
          </w:p>
        </w:tc>
      </w:tr>
      <w:tr w:rsidR="00DB30FD" w:rsidRPr="0037109E" w14:paraId="7DDEA9E1" w14:textId="77777777" w:rsidTr="00607A57">
        <w:tc>
          <w:tcPr>
            <w:tcW w:w="1271" w:type="dxa"/>
            <w:vAlign w:val="center"/>
          </w:tcPr>
          <w:p w14:paraId="4E5517D0" w14:textId="77777777" w:rsidR="00DB30FD" w:rsidRPr="00333D03" w:rsidRDefault="00DB30FD" w:rsidP="00607A57">
            <w:pPr>
              <w:jc w:val="left"/>
              <w:rPr>
                <w:color w:val="538135"/>
                <w:sz w:val="24"/>
              </w:rPr>
            </w:pPr>
            <w:r w:rsidRPr="0037109E">
              <w:t>DUE</w:t>
            </w:r>
          </w:p>
        </w:tc>
        <w:tc>
          <w:tcPr>
            <w:tcW w:w="7791" w:type="dxa"/>
            <w:vAlign w:val="center"/>
          </w:tcPr>
          <w:p w14:paraId="317F5B4F" w14:textId="77777777" w:rsidR="00DB30FD" w:rsidRPr="0037109E" w:rsidRDefault="00DB30FD" w:rsidP="00607A57">
            <w:pPr>
              <w:jc w:val="left"/>
            </w:pPr>
            <w:r w:rsidRPr="0037109E">
              <w:t>Délégation de l’Union Européenne</w:t>
            </w:r>
          </w:p>
        </w:tc>
      </w:tr>
      <w:tr w:rsidR="00DB30FD" w:rsidRPr="0037109E" w14:paraId="6EC51E90" w14:textId="77777777" w:rsidTr="00607A57">
        <w:tc>
          <w:tcPr>
            <w:tcW w:w="1271" w:type="dxa"/>
            <w:vAlign w:val="center"/>
          </w:tcPr>
          <w:p w14:paraId="6228282E" w14:textId="77777777" w:rsidR="00DB30FD" w:rsidRPr="00333D03" w:rsidRDefault="00DB30FD" w:rsidP="00607A57">
            <w:pPr>
              <w:jc w:val="left"/>
              <w:rPr>
                <w:color w:val="538135"/>
                <w:sz w:val="24"/>
              </w:rPr>
            </w:pPr>
            <w:r w:rsidRPr="0037109E">
              <w:t>MICT</w:t>
            </w:r>
          </w:p>
        </w:tc>
        <w:tc>
          <w:tcPr>
            <w:tcW w:w="7791" w:type="dxa"/>
            <w:vAlign w:val="center"/>
          </w:tcPr>
          <w:p w14:paraId="399A47E6" w14:textId="77777777" w:rsidR="00DB30FD" w:rsidRPr="00B92A27" w:rsidRDefault="00DB30FD" w:rsidP="00607A57">
            <w:pPr>
              <w:jc w:val="left"/>
            </w:pPr>
            <w:r w:rsidRPr="00845B8F">
              <w:t xml:space="preserve">Ministère </w:t>
            </w:r>
            <w:r w:rsidRPr="00B92A27">
              <w:t>des Collectivités Territoriales</w:t>
            </w:r>
          </w:p>
        </w:tc>
      </w:tr>
      <w:tr w:rsidR="00DB30FD" w:rsidRPr="00333D03" w14:paraId="011CA754" w14:textId="77777777" w:rsidTr="00607A57">
        <w:tc>
          <w:tcPr>
            <w:tcW w:w="1271" w:type="dxa"/>
            <w:vAlign w:val="center"/>
          </w:tcPr>
          <w:p w14:paraId="1B327C9E" w14:textId="77777777" w:rsidR="00DB30FD" w:rsidRPr="00333D03" w:rsidRDefault="00DB30FD" w:rsidP="00607A57">
            <w:pPr>
              <w:jc w:val="left"/>
              <w:rPr>
                <w:color w:val="538135"/>
                <w:sz w:val="24"/>
              </w:rPr>
            </w:pPr>
            <w:r w:rsidRPr="0037109E">
              <w:t>MPCE</w:t>
            </w:r>
          </w:p>
        </w:tc>
        <w:tc>
          <w:tcPr>
            <w:tcW w:w="7791" w:type="dxa"/>
            <w:vAlign w:val="center"/>
          </w:tcPr>
          <w:p w14:paraId="7AE36813" w14:textId="77777777" w:rsidR="00DB30FD" w:rsidRPr="00B92A27" w:rsidRDefault="00DB30FD" w:rsidP="00607A57">
            <w:pPr>
              <w:jc w:val="left"/>
            </w:pPr>
            <w:r w:rsidRPr="00845B8F">
              <w:t>Ministère de la Planification et de la Coopération Externe</w:t>
            </w:r>
          </w:p>
        </w:tc>
      </w:tr>
      <w:tr w:rsidR="00DB30FD" w:rsidRPr="00333D03" w14:paraId="35255934" w14:textId="77777777" w:rsidTr="00607A57">
        <w:tc>
          <w:tcPr>
            <w:tcW w:w="1271" w:type="dxa"/>
            <w:vAlign w:val="center"/>
          </w:tcPr>
          <w:p w14:paraId="434BEFE5" w14:textId="77777777" w:rsidR="00DB30FD" w:rsidRPr="00333D03" w:rsidRDefault="00DB30FD" w:rsidP="00607A57">
            <w:pPr>
              <w:jc w:val="left"/>
              <w:rPr>
                <w:color w:val="538135"/>
                <w:sz w:val="24"/>
              </w:rPr>
            </w:pPr>
            <w:r w:rsidRPr="0037109E">
              <w:t>MTPTC</w:t>
            </w:r>
          </w:p>
        </w:tc>
        <w:tc>
          <w:tcPr>
            <w:tcW w:w="7791" w:type="dxa"/>
            <w:vAlign w:val="center"/>
          </w:tcPr>
          <w:p w14:paraId="533F0EBD" w14:textId="77777777" w:rsidR="00DB30FD" w:rsidRPr="0037109E" w:rsidRDefault="00DB30FD" w:rsidP="00607A57">
            <w:pPr>
              <w:jc w:val="left"/>
            </w:pPr>
            <w:r w:rsidRPr="0037109E">
              <w:t>Ministères des Travaux Publics, Transports et Communication</w:t>
            </w:r>
          </w:p>
        </w:tc>
      </w:tr>
      <w:tr w:rsidR="00DB30FD" w:rsidRPr="00333D03" w14:paraId="32AE758A" w14:textId="77777777" w:rsidTr="00607A57">
        <w:tc>
          <w:tcPr>
            <w:tcW w:w="1271" w:type="dxa"/>
            <w:vAlign w:val="center"/>
          </w:tcPr>
          <w:p w14:paraId="74DBF2FC" w14:textId="77777777" w:rsidR="00DB30FD" w:rsidRPr="00333D03" w:rsidRDefault="00DB30FD" w:rsidP="00607A57">
            <w:pPr>
              <w:jc w:val="left"/>
              <w:rPr>
                <w:color w:val="538135"/>
                <w:sz w:val="24"/>
              </w:rPr>
            </w:pPr>
            <w:r w:rsidRPr="0037109E">
              <w:t>PAIFU</w:t>
            </w:r>
          </w:p>
        </w:tc>
        <w:tc>
          <w:tcPr>
            <w:tcW w:w="7791" w:type="dxa"/>
            <w:vAlign w:val="center"/>
          </w:tcPr>
          <w:p w14:paraId="3505983F" w14:textId="77777777" w:rsidR="00DB30FD" w:rsidRPr="0037109E" w:rsidRDefault="00DB30FD" w:rsidP="00607A57">
            <w:pPr>
              <w:jc w:val="left"/>
            </w:pPr>
            <w:r w:rsidRPr="0037109E">
              <w:t>Projet d’Appui inter</w:t>
            </w:r>
            <w:r w:rsidRPr="0037109E">
              <w:rPr>
                <w:rFonts w:cs="Arial"/>
              </w:rPr>
              <w:t xml:space="preserve"> </w:t>
            </w:r>
            <w:r w:rsidRPr="0037109E">
              <w:t xml:space="preserve">Institutionnel aux Fonctions Urbaines </w:t>
            </w:r>
          </w:p>
        </w:tc>
      </w:tr>
      <w:tr w:rsidR="00DB30FD" w:rsidRPr="0037109E" w14:paraId="5C8DF58B" w14:textId="77777777" w:rsidTr="00607A57">
        <w:tc>
          <w:tcPr>
            <w:tcW w:w="1271" w:type="dxa"/>
            <w:vAlign w:val="center"/>
          </w:tcPr>
          <w:p w14:paraId="69E00200" w14:textId="77777777" w:rsidR="00DB30FD" w:rsidRPr="0037109E" w:rsidRDefault="00DB30FD" w:rsidP="00607A57">
            <w:pPr>
              <w:jc w:val="left"/>
            </w:pPr>
            <w:r w:rsidRPr="0037109E">
              <w:t>PCD</w:t>
            </w:r>
          </w:p>
        </w:tc>
        <w:tc>
          <w:tcPr>
            <w:tcW w:w="7791" w:type="dxa"/>
            <w:vAlign w:val="center"/>
          </w:tcPr>
          <w:p w14:paraId="51B9B628" w14:textId="77777777" w:rsidR="00DB30FD" w:rsidRPr="0037109E" w:rsidRDefault="00DB30FD" w:rsidP="00607A57">
            <w:pPr>
              <w:jc w:val="left"/>
            </w:pPr>
            <w:r w:rsidRPr="0037109E">
              <w:t>Plan Communal de Développement</w:t>
            </w:r>
          </w:p>
        </w:tc>
      </w:tr>
      <w:tr w:rsidR="00DB30FD" w:rsidRPr="00333D03" w14:paraId="6D72D139" w14:textId="77777777" w:rsidTr="00607A57">
        <w:tc>
          <w:tcPr>
            <w:tcW w:w="1271" w:type="dxa"/>
            <w:vAlign w:val="center"/>
          </w:tcPr>
          <w:p w14:paraId="4D11CD9B" w14:textId="77777777" w:rsidR="00DB30FD" w:rsidRPr="0037109E" w:rsidRDefault="00DB30FD" w:rsidP="00607A57">
            <w:pPr>
              <w:jc w:val="left"/>
            </w:pPr>
            <w:r>
              <w:t>PSDH</w:t>
            </w:r>
          </w:p>
        </w:tc>
        <w:tc>
          <w:tcPr>
            <w:tcW w:w="7791" w:type="dxa"/>
            <w:vAlign w:val="center"/>
          </w:tcPr>
          <w:p w14:paraId="3F0993AB" w14:textId="77777777" w:rsidR="00DB30FD" w:rsidRPr="00845B8F" w:rsidRDefault="00DB30FD" w:rsidP="00607A57">
            <w:pPr>
              <w:jc w:val="left"/>
            </w:pPr>
            <w:r>
              <w:t>Plan stratégique de développement  - Haïti</w:t>
            </w:r>
          </w:p>
        </w:tc>
      </w:tr>
      <w:tr w:rsidR="00DB30FD" w:rsidRPr="0037109E" w14:paraId="775405D2" w14:textId="77777777" w:rsidTr="00607A57">
        <w:tc>
          <w:tcPr>
            <w:tcW w:w="1271" w:type="dxa"/>
            <w:vAlign w:val="center"/>
          </w:tcPr>
          <w:p w14:paraId="68D16A32" w14:textId="77777777" w:rsidR="00DB30FD" w:rsidRPr="00333D03" w:rsidRDefault="00DB30FD" w:rsidP="00607A57">
            <w:pPr>
              <w:jc w:val="left"/>
              <w:rPr>
                <w:color w:val="538135"/>
                <w:sz w:val="24"/>
              </w:rPr>
            </w:pPr>
            <w:r w:rsidRPr="0037109E">
              <w:t xml:space="preserve">SPU  </w:t>
            </w:r>
          </w:p>
        </w:tc>
        <w:tc>
          <w:tcPr>
            <w:tcW w:w="7791" w:type="dxa"/>
            <w:vAlign w:val="center"/>
          </w:tcPr>
          <w:p w14:paraId="44E3EEFC" w14:textId="77777777" w:rsidR="00DB30FD" w:rsidRPr="00845B8F" w:rsidRDefault="00DB30FD" w:rsidP="00607A57">
            <w:pPr>
              <w:jc w:val="left"/>
            </w:pPr>
            <w:r w:rsidRPr="00845B8F">
              <w:t>Service de Planification Urbaine</w:t>
            </w:r>
          </w:p>
        </w:tc>
      </w:tr>
      <w:tr w:rsidR="00DB30FD" w:rsidRPr="0037109E" w14:paraId="239E1FC8" w14:textId="77777777" w:rsidTr="00607A57">
        <w:tc>
          <w:tcPr>
            <w:tcW w:w="1271" w:type="dxa"/>
            <w:vAlign w:val="center"/>
          </w:tcPr>
          <w:p w14:paraId="6D70460B" w14:textId="77777777" w:rsidR="00DB30FD" w:rsidRPr="00333D03" w:rsidRDefault="00DB30FD" w:rsidP="00607A57">
            <w:pPr>
              <w:jc w:val="left"/>
              <w:rPr>
                <w:color w:val="538135"/>
                <w:sz w:val="24"/>
              </w:rPr>
            </w:pPr>
            <w:r w:rsidRPr="0037109E">
              <w:t>SSE</w:t>
            </w:r>
          </w:p>
        </w:tc>
        <w:tc>
          <w:tcPr>
            <w:tcW w:w="7791" w:type="dxa"/>
            <w:vAlign w:val="center"/>
          </w:tcPr>
          <w:p w14:paraId="073BFE79" w14:textId="77777777" w:rsidR="00DB30FD" w:rsidRPr="00845B8F" w:rsidRDefault="00DB30FD" w:rsidP="00607A57">
            <w:pPr>
              <w:jc w:val="left"/>
            </w:pPr>
            <w:r w:rsidRPr="00845B8F">
              <w:t xml:space="preserve">Système de suivi évaluation </w:t>
            </w:r>
          </w:p>
        </w:tc>
      </w:tr>
      <w:tr w:rsidR="00DB30FD" w:rsidRPr="00333D03" w14:paraId="1D79A888" w14:textId="77777777" w:rsidTr="00607A57">
        <w:tc>
          <w:tcPr>
            <w:tcW w:w="1271" w:type="dxa"/>
            <w:vAlign w:val="center"/>
          </w:tcPr>
          <w:p w14:paraId="0435FB80" w14:textId="77777777" w:rsidR="00DB30FD" w:rsidRPr="0037109E" w:rsidRDefault="00DB30FD" w:rsidP="00607A57">
            <w:pPr>
              <w:jc w:val="left"/>
            </w:pPr>
            <w:r w:rsidRPr="0037109E">
              <w:t xml:space="preserve">ST/ CIAT  </w:t>
            </w:r>
          </w:p>
        </w:tc>
        <w:tc>
          <w:tcPr>
            <w:tcW w:w="7791" w:type="dxa"/>
            <w:vAlign w:val="center"/>
          </w:tcPr>
          <w:p w14:paraId="25FE07B0" w14:textId="77777777" w:rsidR="00DB30FD" w:rsidRPr="00845B8F" w:rsidRDefault="00DB30FD" w:rsidP="00607A57">
            <w:pPr>
              <w:jc w:val="left"/>
            </w:pPr>
            <w:r w:rsidRPr="00845B8F">
              <w:t xml:space="preserve">Secrétariat Exécutif  du Comité Interministériel d’Aménagement du Territoire </w:t>
            </w:r>
          </w:p>
        </w:tc>
      </w:tr>
      <w:tr w:rsidR="00DB30FD" w:rsidRPr="0037109E" w14:paraId="33EC6F0C" w14:textId="77777777" w:rsidTr="00607A57">
        <w:tc>
          <w:tcPr>
            <w:tcW w:w="1271" w:type="dxa"/>
            <w:vAlign w:val="center"/>
          </w:tcPr>
          <w:p w14:paraId="5F4328B8" w14:textId="77777777" w:rsidR="00DB30FD" w:rsidRPr="00333D03" w:rsidRDefault="00DB30FD" w:rsidP="00607A57">
            <w:pPr>
              <w:jc w:val="left"/>
              <w:rPr>
                <w:color w:val="538135"/>
                <w:sz w:val="24"/>
              </w:rPr>
            </w:pPr>
            <w:r w:rsidRPr="0037109E">
              <w:t>TDR</w:t>
            </w:r>
          </w:p>
        </w:tc>
        <w:tc>
          <w:tcPr>
            <w:tcW w:w="7791" w:type="dxa"/>
            <w:vAlign w:val="center"/>
          </w:tcPr>
          <w:p w14:paraId="2E7E0757" w14:textId="77777777" w:rsidR="00DB30FD" w:rsidRPr="0037109E" w:rsidRDefault="00DB30FD" w:rsidP="00607A57">
            <w:pPr>
              <w:jc w:val="left"/>
            </w:pPr>
            <w:r w:rsidRPr="0037109E">
              <w:t>Termes de références</w:t>
            </w:r>
          </w:p>
        </w:tc>
      </w:tr>
      <w:tr w:rsidR="00DB30FD" w:rsidRPr="00333D03" w14:paraId="0A6CF574" w14:textId="77777777" w:rsidTr="00607A57">
        <w:tc>
          <w:tcPr>
            <w:tcW w:w="1271" w:type="dxa"/>
            <w:vAlign w:val="center"/>
          </w:tcPr>
          <w:p w14:paraId="106CDC0E" w14:textId="77777777" w:rsidR="00DB30FD" w:rsidRPr="0037109E" w:rsidRDefault="00DB30FD" w:rsidP="00607A57">
            <w:pPr>
              <w:jc w:val="left"/>
            </w:pPr>
            <w:r w:rsidRPr="0037109E">
              <w:t>ZMPP</w:t>
            </w:r>
          </w:p>
        </w:tc>
        <w:tc>
          <w:tcPr>
            <w:tcW w:w="7791" w:type="dxa"/>
            <w:vAlign w:val="center"/>
          </w:tcPr>
          <w:p w14:paraId="3B42BD82" w14:textId="77777777" w:rsidR="00DB30FD" w:rsidRPr="00845B8F" w:rsidRDefault="00DB30FD" w:rsidP="00607A57">
            <w:pPr>
              <w:jc w:val="left"/>
            </w:pPr>
            <w:r w:rsidRPr="00845B8F">
              <w:t>Zone Métropolitaine de Port-au-Prince</w:t>
            </w:r>
          </w:p>
        </w:tc>
      </w:tr>
    </w:tbl>
    <w:p w14:paraId="570803CB" w14:textId="77777777" w:rsidR="00DB30FD" w:rsidRDefault="00DB30FD" w:rsidP="00DB30FD">
      <w:pPr>
        <w:sectPr w:rsidR="00DB30FD" w:rsidSect="00E2536C">
          <w:pgSz w:w="11900" w:h="16840"/>
          <w:pgMar w:top="851" w:right="1134" w:bottom="851" w:left="1134" w:header="708" w:footer="708" w:gutter="0"/>
          <w:cols w:space="708"/>
          <w:docGrid w:linePitch="360"/>
        </w:sectPr>
      </w:pPr>
    </w:p>
    <w:p w14:paraId="5A540ECE" w14:textId="6986729D" w:rsidR="00DB30FD" w:rsidRDefault="00DB30FD" w:rsidP="00DB30FD">
      <w:pPr>
        <w:pStyle w:val="Heading1"/>
      </w:pPr>
      <w:bookmarkStart w:id="3" w:name="_Toc468189926"/>
      <w:r>
        <w:lastRenderedPageBreak/>
        <w:t>PREAMBULE</w:t>
      </w:r>
      <w:bookmarkEnd w:id="3"/>
    </w:p>
    <w:p w14:paraId="445A90C0" w14:textId="77777777" w:rsidR="00DB30FD" w:rsidRDefault="00DB30FD" w:rsidP="00DB30FD">
      <w:pPr>
        <w:ind w:right="-52"/>
        <w:rPr>
          <w:bCs/>
        </w:rPr>
      </w:pPr>
    </w:p>
    <w:p w14:paraId="6422AA70" w14:textId="4DF37750" w:rsidR="00DB30FD" w:rsidRPr="00F8176C" w:rsidRDefault="00DB30FD" w:rsidP="00DB30FD">
      <w:pPr>
        <w:ind w:right="-52"/>
        <w:rPr>
          <w:bCs/>
        </w:rPr>
      </w:pPr>
      <w:r w:rsidRPr="00F8176C">
        <w:rPr>
          <w:bCs/>
        </w:rPr>
        <w:t>Ce préambule est destiné à introduire la présentation des deux rapports commandité</w:t>
      </w:r>
      <w:r w:rsidR="00430A25">
        <w:rPr>
          <w:bCs/>
        </w:rPr>
        <w:t>s dans le cadre de la mission «</w:t>
      </w:r>
      <w:r w:rsidRPr="00F8176C">
        <w:rPr>
          <w:bCs/>
        </w:rPr>
        <w:t xml:space="preserve"> gestion de l’information sur l’urbain » du volet appui institutionnel du Projet PA</w:t>
      </w:r>
      <w:r>
        <w:rPr>
          <w:bCs/>
        </w:rPr>
        <w:t xml:space="preserve">RAQ sous les titres suivants : </w:t>
      </w:r>
    </w:p>
    <w:p w14:paraId="20F1802D" w14:textId="778EE672" w:rsidR="00DB30FD" w:rsidRPr="00AC2C74" w:rsidRDefault="00DB30FD" w:rsidP="00DB30FD">
      <w:pPr>
        <w:spacing w:after="120"/>
        <w:ind w:right="374"/>
        <w:rPr>
          <w:b/>
          <w:bCs/>
          <w:i/>
        </w:rPr>
      </w:pPr>
      <w:r w:rsidRPr="00F8176C">
        <w:rPr>
          <w:b/>
          <w:bCs/>
          <w:i/>
        </w:rPr>
        <w:t>-</w:t>
      </w:r>
      <w:r w:rsidRPr="00AC2C74">
        <w:rPr>
          <w:bCs/>
          <w:i/>
        </w:rPr>
        <w:t xml:space="preserve"> </w:t>
      </w:r>
      <w:r w:rsidRPr="00AC2C74">
        <w:rPr>
          <w:b/>
          <w:bCs/>
          <w:i/>
        </w:rPr>
        <w:t>Note sur l’organisation et le contenu de la base documentaire</w:t>
      </w:r>
      <w:r>
        <w:rPr>
          <w:b/>
          <w:bCs/>
          <w:i/>
        </w:rPr>
        <w:t xml:space="preserve"> (B)</w:t>
      </w:r>
    </w:p>
    <w:p w14:paraId="6BCF10FE" w14:textId="61486326" w:rsidR="00DB30FD" w:rsidRPr="00AC2C74" w:rsidRDefault="00DB30FD" w:rsidP="00DB30FD">
      <w:pPr>
        <w:spacing w:after="120"/>
        <w:ind w:right="374"/>
        <w:rPr>
          <w:bCs/>
        </w:rPr>
      </w:pPr>
      <w:r w:rsidRPr="00AC2C74">
        <w:rPr>
          <w:b/>
          <w:bCs/>
          <w:i/>
        </w:rPr>
        <w:t>- Rapport méthodologique proposant un cadre de suivi</w:t>
      </w:r>
      <w:r>
        <w:rPr>
          <w:b/>
          <w:bCs/>
          <w:i/>
        </w:rPr>
        <w:t xml:space="preserve"> </w:t>
      </w:r>
      <w:r w:rsidRPr="00AC2C74">
        <w:rPr>
          <w:b/>
          <w:bCs/>
          <w:i/>
        </w:rPr>
        <w:t>/</w:t>
      </w:r>
      <w:r>
        <w:rPr>
          <w:b/>
          <w:bCs/>
          <w:i/>
        </w:rPr>
        <w:t xml:space="preserve"> </w:t>
      </w:r>
      <w:r w:rsidR="00556615">
        <w:rPr>
          <w:b/>
          <w:bCs/>
          <w:i/>
        </w:rPr>
        <w:t>évaluation du secteur urbain</w:t>
      </w:r>
      <w:r w:rsidRPr="00AC2C74">
        <w:rPr>
          <w:b/>
          <w:bCs/>
          <w:i/>
        </w:rPr>
        <w:t xml:space="preserve"> </w:t>
      </w:r>
      <w:r>
        <w:rPr>
          <w:b/>
          <w:bCs/>
          <w:i/>
        </w:rPr>
        <w:t>(C)</w:t>
      </w:r>
    </w:p>
    <w:p w14:paraId="7BD52200" w14:textId="42CB95C9" w:rsidR="00FB2DB2" w:rsidRDefault="00FB2DB2" w:rsidP="00DB30FD"/>
    <w:p w14:paraId="29648FEF" w14:textId="77777777" w:rsidR="00FB2DB2" w:rsidRPr="00FB2DB2" w:rsidRDefault="00FB2DB2" w:rsidP="00FB2DB2"/>
    <w:p w14:paraId="23D69196" w14:textId="77777777" w:rsidR="00FB2DB2" w:rsidRPr="00FB2DB2" w:rsidRDefault="00FB2DB2" w:rsidP="00FB2DB2"/>
    <w:p w14:paraId="6EC40461" w14:textId="77777777" w:rsidR="00FB2DB2" w:rsidRPr="00FB2DB2" w:rsidRDefault="00FB2DB2" w:rsidP="00FB2DB2"/>
    <w:p w14:paraId="331C4326" w14:textId="77777777" w:rsidR="00FB2DB2" w:rsidRPr="00FB2DB2" w:rsidRDefault="00FB2DB2" w:rsidP="00FB2DB2"/>
    <w:p w14:paraId="28B958D4" w14:textId="77777777" w:rsidR="00FB2DB2" w:rsidRPr="00FB2DB2" w:rsidRDefault="00FB2DB2" w:rsidP="00FB2DB2"/>
    <w:p w14:paraId="0E9D8088" w14:textId="77777777" w:rsidR="00FB2DB2" w:rsidRPr="00FB2DB2" w:rsidRDefault="00FB2DB2" w:rsidP="00FB2DB2"/>
    <w:p w14:paraId="203D74CF" w14:textId="77777777" w:rsidR="00FB2DB2" w:rsidRPr="00FB2DB2" w:rsidRDefault="00FB2DB2" w:rsidP="00FB2DB2"/>
    <w:p w14:paraId="371C3265" w14:textId="77777777" w:rsidR="00FB2DB2" w:rsidRPr="00FB2DB2" w:rsidRDefault="00FB2DB2" w:rsidP="00FB2DB2"/>
    <w:p w14:paraId="173E14D7" w14:textId="6C0CC80B" w:rsidR="00FB2DB2" w:rsidRDefault="00FB2DB2" w:rsidP="00FB2DB2">
      <w:pPr>
        <w:tabs>
          <w:tab w:val="left" w:pos="810"/>
        </w:tabs>
      </w:pPr>
      <w:r>
        <w:tab/>
      </w:r>
    </w:p>
    <w:p w14:paraId="7C1DAAFA" w14:textId="19353115" w:rsidR="00FB2DB2" w:rsidRDefault="00FB2DB2" w:rsidP="00FB2DB2"/>
    <w:p w14:paraId="28A8BAA3" w14:textId="77777777" w:rsidR="00DB30FD" w:rsidRPr="00FB2DB2" w:rsidRDefault="00DB30FD" w:rsidP="00FB2DB2">
      <w:pPr>
        <w:sectPr w:rsidR="00DB30FD" w:rsidRPr="00FB2DB2" w:rsidSect="00E2536C">
          <w:pgSz w:w="11900" w:h="16840"/>
          <w:pgMar w:top="851" w:right="1134" w:bottom="851" w:left="1134" w:header="708" w:footer="708" w:gutter="0"/>
          <w:cols w:space="708"/>
          <w:docGrid w:linePitch="360"/>
        </w:sectPr>
      </w:pPr>
    </w:p>
    <w:p w14:paraId="33CD3F05" w14:textId="77777777" w:rsidR="00DB30FD" w:rsidRPr="00AC2C74" w:rsidRDefault="00DB30FD" w:rsidP="00DB30FD">
      <w:pPr>
        <w:ind w:right="-52"/>
        <w:rPr>
          <w:bCs/>
        </w:rPr>
      </w:pPr>
      <w:r w:rsidRPr="00AC2C74">
        <w:rPr>
          <w:bCs/>
        </w:rPr>
        <w:lastRenderedPageBreak/>
        <w:t xml:space="preserve">La remise du précédent rapport sur l’organisation du dialogue sectoriel n’a pu conclure à ce jour sur la mise en place d’un d’accord inter institutionnel sur les échanges à mettre en place, c’est pourquoi il nous paraît nécessaire de formuler quelques réflexions préliminaires avant de présenter ces deux documents. Elles ont pour but de souligner des interrogations de fond portant sur la structuration du secteur urbain qui ressurgissent dans le contexte actuel et visent à accompagner  son évolution institutionnelle. En l’absence de cadre de concertation formalisé, sur lequel des solutions durables pourraient s’appuyer, nous pensons utile de lancer des pistes de réflexion car le traitement et la circulation de toute information relevant du  secteur urbain dépend fortement  de la façon dont il se structure. </w:t>
      </w:r>
    </w:p>
    <w:p w14:paraId="63F77144" w14:textId="77777777" w:rsidR="00DB30FD" w:rsidRPr="00AC2C74" w:rsidRDefault="00DB30FD" w:rsidP="00DB30FD">
      <w:pPr>
        <w:ind w:right="-52"/>
        <w:rPr>
          <w:bCs/>
        </w:rPr>
      </w:pPr>
      <w:r w:rsidRPr="00AC2C74">
        <w:rPr>
          <w:bCs/>
        </w:rPr>
        <w:t>Depuis 2008 plusieurs  travaux d’analyse</w:t>
      </w:r>
      <w:r w:rsidRPr="00AC2C74">
        <w:rPr>
          <w:rStyle w:val="FootnoteReference"/>
          <w:bCs/>
        </w:rPr>
        <w:footnoteReference w:id="1"/>
      </w:r>
      <w:r w:rsidRPr="00AC2C74">
        <w:rPr>
          <w:bCs/>
        </w:rPr>
        <w:t xml:space="preserve"> ont mis l’accent sur les insuffisances et les faiblesses de l’organisation institutionnelle du secteur urbain en Haïti, qui reste aujourd’hui très discutée. Passée la période d’urgence d’après le tremblement de terre, et à l’occasion des opérations de réhabilitation des quartiers qui ont suivi, de nouveaux outils et procédures de planification / gestion urbaine ont été expérimentés.  Bien que cela se soit réalisé dans un contexte de reconstitution institutionnelle où le secteur urbain se confondait nécessairement avec celui de la reconstruction, les résultats de ces expériences ont mis en évidence des avancées concrètes qui ont été clairement reconnues par les acteurs institutionnels</w:t>
      </w:r>
      <w:r w:rsidRPr="00AC2C74">
        <w:rPr>
          <w:rStyle w:val="FootnoteReference"/>
          <w:bCs/>
        </w:rPr>
        <w:footnoteReference w:id="2"/>
      </w:r>
      <w:r w:rsidRPr="00AC2C74">
        <w:rPr>
          <w:bCs/>
        </w:rPr>
        <w:t xml:space="preserve">. Ces résultats montrent l’importance de maintenir un dialogue sectoriel continu entre les institutions pour éviter les conflits de compétences ou de statuts. Les difficultés résultant d’une période récente, où l’administration s’est trouvée fortement affaiblie, ajoutées à celles d’un secteur en pleine mutation ces dernières décennies, ne peuvent se résoudre sans des transformations profondes sur le plan institutionnel, transformations qui prendront du temps. </w:t>
      </w:r>
    </w:p>
    <w:p w14:paraId="26C11E5D" w14:textId="77777777" w:rsidR="00DB30FD" w:rsidRPr="00AC2C74" w:rsidRDefault="00DB30FD" w:rsidP="00DB30FD">
      <w:pPr>
        <w:ind w:right="-52"/>
        <w:rPr>
          <w:bCs/>
        </w:rPr>
      </w:pPr>
      <w:r w:rsidRPr="00AC2C74">
        <w:rPr>
          <w:bCs/>
        </w:rPr>
        <w:t xml:space="preserve">Notre présentation revient donc sur quelques questions de fond que rencontre le secteur urbain en Haïti. Sans ces précisions, les propositions contenues dans ces rapports pourraient prêter à confusion et laisser croire que la simple mise en place d’outils pour la gestion de l’information suffirait à résoudre des difficultés qui sont aussi d’ordre structurel. </w:t>
      </w:r>
    </w:p>
    <w:p w14:paraId="60BD95A4" w14:textId="59B69566" w:rsidR="00DB30FD" w:rsidRDefault="00DB30FD" w:rsidP="00DB30FD">
      <w:pPr>
        <w:rPr>
          <w:bCs/>
        </w:rPr>
      </w:pPr>
      <w:r w:rsidRPr="00AC2C74">
        <w:rPr>
          <w:bCs/>
        </w:rPr>
        <w:t>Les propositions émises dans les deux rapports, l’un sur la création d’une base documentaire au sein de la Direction des Travaux Publics (DTP), l’autre sur la mise en place d’un cadre de suivi et évaluation du secteur urbain, sont par ailleurs une invitation à la relance de la concertation, afin de dépasser certains obstacles dans le fonctionnement inter institutionnel qui, à défaut d’être levés à court terme, peuvent être pris en considération et resitués da</w:t>
      </w:r>
      <w:r>
        <w:rPr>
          <w:bCs/>
        </w:rPr>
        <w:t>ns une perspective évolutive.</w:t>
      </w:r>
    </w:p>
    <w:p w14:paraId="01059FE4" w14:textId="77777777" w:rsidR="00DB30FD" w:rsidRPr="00DB30FD" w:rsidRDefault="00DB30FD" w:rsidP="00DB30FD">
      <w:pPr>
        <w:pStyle w:val="Heading2"/>
        <w:rPr>
          <w:bCs/>
        </w:rPr>
      </w:pPr>
      <w:bookmarkStart w:id="4" w:name="_Toc468189927"/>
      <w:r w:rsidRPr="00DB30FD">
        <w:lastRenderedPageBreak/>
        <w:t>Rappel des interactions entre les actions d’appui institutionnel</w:t>
      </w:r>
      <w:bookmarkEnd w:id="4"/>
    </w:p>
    <w:p w14:paraId="704F5C7A" w14:textId="4FD3AFC4" w:rsidR="00DB30FD" w:rsidRPr="00AC2C74" w:rsidRDefault="00DB30FD" w:rsidP="00DB30FD">
      <w:pPr>
        <w:spacing w:after="120"/>
        <w:ind w:right="-52"/>
        <w:rPr>
          <w:bCs/>
        </w:rPr>
      </w:pPr>
      <w:r w:rsidRPr="00AC2C74">
        <w:rPr>
          <w:bCs/>
        </w:rPr>
        <w:t xml:space="preserve">Le volet d’appui institutionnel du Projet PAIFU pour ce qui concerne les fonds restant disponibles fin 2014, a retenu trois actions complémentaires destinées à fonctionner en synergie.  </w:t>
      </w:r>
    </w:p>
    <w:p w14:paraId="2F9B9AF9" w14:textId="77777777" w:rsidR="00DB30FD" w:rsidRDefault="00DB30FD" w:rsidP="00F70EF1">
      <w:pPr>
        <w:widowControl w:val="0"/>
        <w:numPr>
          <w:ilvl w:val="0"/>
          <w:numId w:val="8"/>
        </w:numPr>
        <w:suppressAutoHyphens/>
        <w:spacing w:before="0" w:after="120" w:line="276" w:lineRule="auto"/>
        <w:ind w:right="-51"/>
        <w:contextualSpacing/>
        <w:rPr>
          <w:bCs/>
        </w:rPr>
      </w:pPr>
      <w:r w:rsidRPr="00AC2C74">
        <w:rPr>
          <w:bCs/>
        </w:rPr>
        <w:t>Le renforcement des capacités et compétences en matière de planification et de gestion urbaine pour un groupe interministériel d’agents de l’administration,</w:t>
      </w:r>
    </w:p>
    <w:p w14:paraId="7F951699" w14:textId="77777777" w:rsidR="00DB30FD" w:rsidRDefault="00DB30FD" w:rsidP="00F70EF1">
      <w:pPr>
        <w:widowControl w:val="0"/>
        <w:numPr>
          <w:ilvl w:val="0"/>
          <w:numId w:val="8"/>
        </w:numPr>
        <w:suppressAutoHyphens/>
        <w:spacing w:before="0" w:after="120" w:line="276" w:lineRule="auto"/>
        <w:ind w:right="-51"/>
        <w:contextualSpacing/>
        <w:rPr>
          <w:bCs/>
        </w:rPr>
      </w:pPr>
      <w:r w:rsidRPr="00F8176C">
        <w:rPr>
          <w:bCs/>
        </w:rPr>
        <w:t>(2) L’amélioration et la rationalisation de la gestion de l’information sur l’urbain,</w:t>
      </w:r>
    </w:p>
    <w:p w14:paraId="1590EB1D" w14:textId="77777777" w:rsidR="00DB30FD" w:rsidRPr="00F8176C" w:rsidRDefault="00DB30FD" w:rsidP="00F70EF1">
      <w:pPr>
        <w:widowControl w:val="0"/>
        <w:numPr>
          <w:ilvl w:val="0"/>
          <w:numId w:val="8"/>
        </w:numPr>
        <w:suppressAutoHyphens/>
        <w:spacing w:before="0" w:after="120" w:line="276" w:lineRule="auto"/>
        <w:ind w:right="-51"/>
        <w:contextualSpacing/>
        <w:rPr>
          <w:bCs/>
        </w:rPr>
      </w:pPr>
      <w:r w:rsidRPr="00F8176C">
        <w:rPr>
          <w:bCs/>
        </w:rPr>
        <w:t>(3) La modernisation d’un cadre méthodologique et légal du développement urbain en Haïti.</w:t>
      </w:r>
    </w:p>
    <w:p w14:paraId="73987101" w14:textId="77777777" w:rsidR="00DB30FD" w:rsidRPr="00AC2C74" w:rsidRDefault="00DB30FD" w:rsidP="00DB30FD">
      <w:pPr>
        <w:spacing w:after="120"/>
        <w:ind w:right="-52"/>
        <w:rPr>
          <w:b/>
          <w:bCs/>
        </w:rPr>
      </w:pPr>
      <w:r w:rsidRPr="00AC2C74">
        <w:rPr>
          <w:bCs/>
        </w:rPr>
        <w:t>Ces trois actions distinctes, qui devaient au départ s’appuyer sur un programme commun d’assistance technique, ont finalement fait l’objet de commandes séparées.</w:t>
      </w:r>
      <w:r w:rsidRPr="00AC2C74">
        <w:rPr>
          <w:b/>
          <w:bCs/>
        </w:rPr>
        <w:t xml:space="preserve"> A ce jour elles ont progressé de façon inégale et ont produit des effets eux aussi inégaux; il est encore trop tôt pour connaître leurs véritables interactions.  </w:t>
      </w:r>
    </w:p>
    <w:p w14:paraId="3A34196B" w14:textId="5E1F468C" w:rsidR="00DB30FD" w:rsidRPr="00AC2C74" w:rsidRDefault="00DB30FD" w:rsidP="00DB30FD">
      <w:pPr>
        <w:spacing w:after="120"/>
        <w:ind w:right="-52"/>
        <w:rPr>
          <w:bCs/>
        </w:rPr>
      </w:pPr>
      <w:r w:rsidRPr="00AC2C74">
        <w:rPr>
          <w:bCs/>
        </w:rPr>
        <w:t xml:space="preserve">La première action, une action de formation, est aujourd’hui largement avancée. Elle mobilise actuellement un groupe de 28 participants formés et introduits à une approche pluridisciplinaire et interinstitutionnelle de l’urbain. Elle devrait aboutir d’ici la fin 2016 et permettre aux participants </w:t>
      </w:r>
      <w:r w:rsidR="00430A25">
        <w:rPr>
          <w:bCs/>
        </w:rPr>
        <w:t>de se situer par rapport à un «</w:t>
      </w:r>
      <w:r w:rsidRPr="00AC2C74">
        <w:rPr>
          <w:bCs/>
        </w:rPr>
        <w:t xml:space="preserve"> référentiel commun » des problématiques urbaines, notamment celles qui portent sur la planification urbaine et  sur  son opérationnalité dans le contexte haïtien. </w:t>
      </w:r>
    </w:p>
    <w:p w14:paraId="7BBFE0A1" w14:textId="77777777" w:rsidR="00DB30FD" w:rsidRPr="00AC2C74" w:rsidRDefault="00DB30FD" w:rsidP="00DB30FD">
      <w:pPr>
        <w:spacing w:after="120"/>
        <w:ind w:right="-52"/>
        <w:rPr>
          <w:bCs/>
        </w:rPr>
      </w:pPr>
      <w:r w:rsidRPr="00AC2C74">
        <w:rPr>
          <w:bCs/>
        </w:rPr>
        <w:t xml:space="preserve">Les TDR de la troisième action sont aujourd’hui revus au travers d’une réflexion plus approfondie sur le cadre de planification urbaine. Les travaux sur la modernisation du cadre légal et méthodologique seront donc développés, dans le meilleur des cas à partir de 2017.  </w:t>
      </w:r>
    </w:p>
    <w:p w14:paraId="0B197AA0" w14:textId="77777777" w:rsidR="00DB30FD" w:rsidRPr="00AC2C74" w:rsidRDefault="00DB30FD" w:rsidP="00DB30FD">
      <w:pPr>
        <w:spacing w:after="120"/>
        <w:ind w:right="-52"/>
        <w:rPr>
          <w:bCs/>
        </w:rPr>
      </w:pPr>
      <w:r w:rsidRPr="00AC2C74">
        <w:rPr>
          <w:bCs/>
        </w:rPr>
        <w:t xml:space="preserve">La deuxième action a été pensée, pour équilibrer les tâches et les responsabilités, sous la conduite de la DTP. Elle est réalisée au cours de la présente mission et s’appuie sur trois activités principales considérées comme prioritaires </w:t>
      </w:r>
      <w:r w:rsidRPr="00AC2C74">
        <w:rPr>
          <w:rStyle w:val="FootnoteReference"/>
          <w:bCs/>
        </w:rPr>
        <w:footnoteReference w:id="3"/>
      </w:r>
      <w:r w:rsidRPr="00AC2C74">
        <w:rPr>
          <w:bCs/>
        </w:rPr>
        <w:t xml:space="preserve"> : </w:t>
      </w:r>
    </w:p>
    <w:p w14:paraId="6B820298" w14:textId="77777777" w:rsidR="00DB30FD" w:rsidRPr="00AC2C74" w:rsidRDefault="00DB30FD" w:rsidP="00F70EF1">
      <w:pPr>
        <w:widowControl w:val="0"/>
        <w:numPr>
          <w:ilvl w:val="0"/>
          <w:numId w:val="9"/>
        </w:numPr>
        <w:suppressAutoHyphens/>
        <w:spacing w:before="0" w:after="120" w:line="276" w:lineRule="auto"/>
        <w:ind w:right="-52"/>
        <w:contextualSpacing/>
        <w:rPr>
          <w:bCs/>
        </w:rPr>
      </w:pPr>
      <w:r w:rsidRPr="00AC2C74">
        <w:rPr>
          <w:bCs/>
        </w:rPr>
        <w:t xml:space="preserve">l’instauration d’un dialogue sectoriel au travers d’un protocole d’accord inter institutionnel, </w:t>
      </w:r>
    </w:p>
    <w:p w14:paraId="75AA8371" w14:textId="77777777" w:rsidR="00DB30FD" w:rsidRPr="00AC2C74" w:rsidRDefault="00DB30FD" w:rsidP="00F70EF1">
      <w:pPr>
        <w:widowControl w:val="0"/>
        <w:numPr>
          <w:ilvl w:val="0"/>
          <w:numId w:val="9"/>
        </w:numPr>
        <w:suppressAutoHyphens/>
        <w:spacing w:before="0" w:after="120" w:line="276" w:lineRule="auto"/>
        <w:ind w:right="-52"/>
        <w:contextualSpacing/>
        <w:rPr>
          <w:bCs/>
        </w:rPr>
      </w:pPr>
      <w:r w:rsidRPr="00AC2C74">
        <w:rPr>
          <w:bCs/>
        </w:rPr>
        <w:t xml:space="preserve">l’organisation d’une base documentaire qui serait domiciliée à la DTP, </w:t>
      </w:r>
    </w:p>
    <w:p w14:paraId="29817A91" w14:textId="77777777" w:rsidR="00DB30FD" w:rsidRPr="00AC2C74" w:rsidRDefault="00DB30FD" w:rsidP="00F70EF1">
      <w:pPr>
        <w:widowControl w:val="0"/>
        <w:numPr>
          <w:ilvl w:val="0"/>
          <w:numId w:val="9"/>
        </w:numPr>
        <w:suppressAutoHyphens/>
        <w:spacing w:before="0" w:after="120" w:line="276" w:lineRule="auto"/>
        <w:ind w:right="-52"/>
        <w:contextualSpacing/>
        <w:rPr>
          <w:bCs/>
        </w:rPr>
      </w:pPr>
      <w:r w:rsidRPr="00AC2C74">
        <w:rPr>
          <w:bCs/>
        </w:rPr>
        <w:t xml:space="preserve">et les premiers éléments de cadrage d’un système de suivi et évaluation des activités du secteur urbain. </w:t>
      </w:r>
    </w:p>
    <w:p w14:paraId="6747D188" w14:textId="77777777" w:rsidR="00DB30FD" w:rsidRPr="00AC2C74" w:rsidRDefault="00DB30FD" w:rsidP="00DB30FD">
      <w:pPr>
        <w:spacing w:after="120"/>
        <w:ind w:right="-52"/>
        <w:rPr>
          <w:bCs/>
        </w:rPr>
      </w:pPr>
      <w:r w:rsidRPr="00AC2C74">
        <w:rPr>
          <w:bCs/>
        </w:rPr>
        <w:t>Comme indiqué plus haut, un des obstacles principaux à la réussite de la mission a résidé dans l’impossibilité de mettre en place en préalable un cadre de concertation formalisé. Les tentatives pour établir ce lien, qui se sont déroulées durant les premiers  mois de 2016 (période peu favorable, marquée par des  changements de Directions dans  certains Ministères), n’ont pas débouché sur un accord entre les principales institutions concernées. Le sujet a été exposé dans le rapport sur l’organisation du dialogue sectoriel remis en avril 2016</w:t>
      </w:r>
      <w:r w:rsidRPr="00AC2C74">
        <w:rPr>
          <w:rStyle w:val="FootnoteReference"/>
          <w:bCs/>
        </w:rPr>
        <w:footnoteReference w:id="4"/>
      </w:r>
      <w:r w:rsidRPr="00AC2C74">
        <w:rPr>
          <w:bCs/>
        </w:rPr>
        <w:t xml:space="preserve">.  </w:t>
      </w:r>
    </w:p>
    <w:p w14:paraId="493E4BD6" w14:textId="77777777" w:rsidR="00DB30FD" w:rsidRPr="00AC2C74" w:rsidRDefault="00DB30FD" w:rsidP="00DB30FD">
      <w:pPr>
        <w:spacing w:after="120"/>
        <w:ind w:right="-52"/>
        <w:rPr>
          <w:bCs/>
        </w:rPr>
      </w:pPr>
      <w:r w:rsidRPr="00AC2C74">
        <w:rPr>
          <w:bCs/>
        </w:rPr>
        <w:t>Malgré cet obstacle, il a été décidé de poursuivre les activités prévues. De fait, la poursuite de celles-ci n’a, pour l’instant, que très partiellement fait l’objet d’une réflexion commune entre ces institutions, soit parce qu’elles ne concernaient qu’une seule institution - telle l’organisation des événements liés au Forum urbain national qui relèvent de la responsabilité du ST/CIAT,  ou la base documentaire dont la domiciliation avait été  fixée au niveau de la DTP - soit parce que les attentes étaient très diverses, comme celles concernant la mise en place d’un système de suivi évaluation.</w:t>
      </w:r>
    </w:p>
    <w:p w14:paraId="176692E1" w14:textId="58AFAF65" w:rsidR="00DB30FD" w:rsidRDefault="00DB30FD" w:rsidP="00DB30FD"/>
    <w:p w14:paraId="69E2053A" w14:textId="77777777" w:rsidR="00DB30FD" w:rsidRDefault="00DB30FD" w:rsidP="00DB30FD">
      <w:pPr>
        <w:pStyle w:val="Heading2"/>
      </w:pPr>
      <w:bookmarkStart w:id="5" w:name="_Toc468189928"/>
      <w:r w:rsidRPr="00DB30FD">
        <w:t>Des interrogations sur le fond</w:t>
      </w:r>
      <w:bookmarkEnd w:id="5"/>
    </w:p>
    <w:p w14:paraId="62CAA71A" w14:textId="77777777" w:rsidR="00DB30FD" w:rsidRPr="00AC2C74" w:rsidRDefault="00DB30FD" w:rsidP="00DB30FD">
      <w:pPr>
        <w:spacing w:after="120"/>
        <w:ind w:right="89"/>
        <w:rPr>
          <w:bCs/>
        </w:rPr>
      </w:pPr>
      <w:r w:rsidRPr="00AC2C74">
        <w:rPr>
          <w:bCs/>
        </w:rPr>
        <w:t>Les activités conduites pour parvenir à une meilleure gestion de l’information se sont déroulées parallèlement à un processus de redéfinition des actions urbaines avec la préparation du 11ième FED – qui mobilise des moyens conséquents sur ce secteur, mais dont la réalisation ne se fera qu’à partir de 2017. Les résultats attendus de notre mission, fixés sur un court terme, qui se sont déroulés parallèlement à l’identification du futur programme, se présentent de fai</w:t>
      </w:r>
      <w:r>
        <w:rPr>
          <w:bCs/>
        </w:rPr>
        <w:t>t dans une phase de transition.</w:t>
      </w:r>
      <w:r w:rsidRPr="00AC2C74">
        <w:rPr>
          <w:bCs/>
        </w:rPr>
        <w:t xml:space="preserve"> L’appui institutionnel, initié dans le cadre du 10</w:t>
      </w:r>
      <w:r w:rsidRPr="00AC2C74">
        <w:rPr>
          <w:bCs/>
          <w:vertAlign w:val="superscript"/>
        </w:rPr>
        <w:t>ième</w:t>
      </w:r>
      <w:r w:rsidRPr="00AC2C74">
        <w:rPr>
          <w:bCs/>
        </w:rPr>
        <w:t xml:space="preserve"> FED,  devra fort probablement se poursuivre dans les prochaines années.  </w:t>
      </w:r>
    </w:p>
    <w:p w14:paraId="435CA97A" w14:textId="5C9D5926" w:rsidR="00DB30FD" w:rsidRDefault="00DB30FD" w:rsidP="00DB30FD">
      <w:r w:rsidRPr="00AC2C74">
        <w:rPr>
          <w:bCs/>
        </w:rPr>
        <w:t>Faute d’une lecture plus précise de l’évolution d’un contexte dans lequel la base documentaire et le cadre de suivi évaluation du secteur devront trouver leur place, nous esquissons des pistes de réponses à des interrogations de fond qui pourraient influer sur le cadre institutionnel et fonctionnel pour donner plus de cohérence aux propositions développées</w:t>
      </w:r>
      <w:r>
        <w:rPr>
          <w:bCs/>
        </w:rPr>
        <w:t xml:space="preserve"> dans chacun des deux rapports.</w:t>
      </w:r>
    </w:p>
    <w:p w14:paraId="1B71EFB5" w14:textId="77777777" w:rsidR="00DB30FD" w:rsidRDefault="00DB30FD" w:rsidP="00DB30FD"/>
    <w:p w14:paraId="7D05B19E" w14:textId="1A848712" w:rsidR="00DB30FD" w:rsidRDefault="00DB30FD" w:rsidP="00DB30FD">
      <w:pPr>
        <w:pStyle w:val="Heading3"/>
      </w:pPr>
      <w:bookmarkStart w:id="6" w:name="_Toc468189929"/>
      <w:r w:rsidRPr="00DB30FD">
        <w:t>Comment mieux définir et mettre en cohérence les différentes composantes du secteur urbain?</w:t>
      </w:r>
      <w:bookmarkEnd w:id="6"/>
    </w:p>
    <w:p w14:paraId="472CB7CC" w14:textId="77777777" w:rsidR="00373C0B" w:rsidRPr="00DA491F" w:rsidRDefault="00373C0B" w:rsidP="00373C0B">
      <w:pPr>
        <w:tabs>
          <w:tab w:val="left" w:pos="294"/>
        </w:tabs>
        <w:spacing w:after="120"/>
        <w:rPr>
          <w:rFonts w:cs="Arial"/>
          <w:b/>
          <w:i/>
        </w:rPr>
      </w:pPr>
      <w:r w:rsidRPr="00DA491F">
        <w:rPr>
          <w:rFonts w:cs="Arial"/>
          <w:b/>
          <w:i/>
        </w:rPr>
        <w:t>Revenir en préalable et plus fondamentalement à une définition de l’u</w:t>
      </w:r>
      <w:r>
        <w:rPr>
          <w:rFonts w:cs="Arial"/>
          <w:b/>
          <w:i/>
        </w:rPr>
        <w:t>rbain, reconnue et partagée par</w:t>
      </w:r>
      <w:r w:rsidRPr="00DA491F">
        <w:rPr>
          <w:rFonts w:cs="Arial"/>
          <w:b/>
          <w:i/>
        </w:rPr>
        <w:t xml:space="preserve"> les institutions, qui puisse rendre compte des dynamiques urbaines  en cours. </w:t>
      </w:r>
    </w:p>
    <w:p w14:paraId="1993F883" w14:textId="77777777" w:rsidR="00373C0B" w:rsidRPr="00AC2C74" w:rsidRDefault="00373C0B" w:rsidP="00373C0B">
      <w:pPr>
        <w:tabs>
          <w:tab w:val="left" w:pos="294"/>
        </w:tabs>
        <w:spacing w:after="120"/>
        <w:rPr>
          <w:rFonts w:cs="Arial"/>
        </w:rPr>
      </w:pPr>
      <w:r w:rsidRPr="00AC2C74">
        <w:rPr>
          <w:rFonts w:cs="Arial"/>
        </w:rPr>
        <w:t xml:space="preserve">Les fonctions institutionnelles liées au développement urbain sont réparties entre plusieurs entités, rattachées à plusieurs Ministères et autres institutions. Dans l’organisation administrative actuelle, il n’y a pas d’organe institutionnel « supra » ayant compétence et autorité en matière d’urbanisme. En 2009, le consultant Jean Berthier, dans un diagnostic sur l’organisation du Ministère des Travaux Publics, Transports et Communications (MTPTC), avait suggéré au-delà d’un renforcement immédiat des compétences des services de la DTP, la création à terme d’une Direction de l’Urbanisme et de l’Habitat, non seulement pour consolider des fonctions essentielles mais aussi pour renforcer une cohérence institutionnelle. </w:t>
      </w:r>
    </w:p>
    <w:p w14:paraId="5CB17FA5" w14:textId="326FF92E" w:rsidR="00373C0B" w:rsidRPr="00AC2C74" w:rsidRDefault="00373C0B" w:rsidP="00373C0B">
      <w:pPr>
        <w:tabs>
          <w:tab w:val="left" w:pos="294"/>
        </w:tabs>
        <w:spacing w:after="120"/>
        <w:rPr>
          <w:rFonts w:cs="Arial"/>
        </w:rPr>
      </w:pPr>
      <w:r w:rsidRPr="00AC2C74">
        <w:rPr>
          <w:rFonts w:cs="Arial"/>
        </w:rPr>
        <w:t>Les Ministères MTPTC et MPCE représentent à eux seuls 83% des dépenses en investissements publics du développement urbain</w:t>
      </w:r>
      <w:r w:rsidRPr="00AC2C74">
        <w:rPr>
          <w:rStyle w:val="FootnoteReference"/>
          <w:rFonts w:cs="Arial"/>
        </w:rPr>
        <w:footnoteReference w:id="5"/>
      </w:r>
      <w:r w:rsidRPr="00AC2C74">
        <w:rPr>
          <w:rFonts w:cs="Arial"/>
        </w:rPr>
        <w:t>. Le MTPTC détient une autorité traditionnelle sur la production du cadre bâti et la construction, les bâtiments et les travaux publics. Le MPCE chapeaute la planification territoriale. Si on se réfère à l’origine des documents de planification urbaine produits dans les huit dernières années, ceux-ci émanent de six à sept commanditaires publics différents, plus ou moins directement concernés par la question urbaine</w:t>
      </w:r>
      <w:r w:rsidRPr="00AC2C74">
        <w:rPr>
          <w:rStyle w:val="FootnoteReference"/>
          <w:rFonts w:cs="Arial"/>
        </w:rPr>
        <w:footnoteReference w:id="6"/>
      </w:r>
      <w:r w:rsidRPr="00AC2C74">
        <w:rPr>
          <w:rFonts w:cs="Arial"/>
        </w:rPr>
        <w:t>. Dans la plupart des administrations publiques nationales existantes, l’urbanisme et l’habitat sont deux domaines regroupés dans une même institution ou fortement liés afin de faciliter les jonctions indispensables. La création de l’UCLBP, dépendant de la primature du gouvernement haïtien, chargée de coordonner les programmes de reconstruction, a sans doute facilité la conduite de ceux-ci, mais a engendré une certaine confusion sur la politique en matière d’habitat dont il est le principal pilote. D’autres secteurs comme celui de la gestion foncière, de la prévention des risques, des transports urbains, de la gestion des déchets, supposent une coordination renforcée des administrations haïtiennes pour harmoniser la conduit</w:t>
      </w:r>
      <w:r w:rsidR="004C23C7">
        <w:rPr>
          <w:rFonts w:cs="Arial"/>
        </w:rPr>
        <w:t xml:space="preserve">e des programmes. Par ailleurs </w:t>
      </w:r>
      <w:r w:rsidRPr="00AC2C74">
        <w:rPr>
          <w:rFonts w:cs="Arial"/>
        </w:rPr>
        <w:t xml:space="preserve">la plupart de ces fonctions urbaines sont partagées par les Communes. </w:t>
      </w:r>
    </w:p>
    <w:p w14:paraId="207AD6C7" w14:textId="6A9221C8" w:rsidR="00373C0B" w:rsidRPr="00AC2C74" w:rsidRDefault="00373C0B" w:rsidP="00373C0B">
      <w:pPr>
        <w:tabs>
          <w:tab w:val="left" w:pos="294"/>
        </w:tabs>
        <w:spacing w:after="120"/>
        <w:rPr>
          <w:rFonts w:cs="Arial"/>
        </w:rPr>
      </w:pPr>
      <w:r w:rsidRPr="00AC2C74">
        <w:rPr>
          <w:rFonts w:cs="Arial"/>
        </w:rPr>
        <w:t>Cet éparpillement révèle une difficulté fondamentale de l’Administration du pays à appréhender la ville dans sa globalité, à rassembler, gérer et coordonner les informations qui la concernent. Les thématiques constitutives de la ville et les productions qui en découlent sont cloisonnées entre institutions comme des compétences techniques séparées. Chaque organisme a naturellement tendance à suivre une logique qui conforte ses intérêts. La pratique d’un urbanisme moderne qui imbrique les différentes fon</w:t>
      </w:r>
      <w:r w:rsidR="004C23C7">
        <w:rPr>
          <w:rFonts w:cs="Arial"/>
        </w:rPr>
        <w:t>ctions urbaines (l’habitat, les</w:t>
      </w:r>
      <w:r w:rsidRPr="00AC2C74">
        <w:rPr>
          <w:rFonts w:cs="Arial"/>
        </w:rPr>
        <w:t xml:space="preserve"> équipements publics, les services, la gestion des risques, de l’espace public, de l’environnement) devient un exercice d’autant plus complexe qu’elle est diversement interprétée. La notion de ville reste en Haïti équivoque, elle évolue peu alors que le pays est dans une période de forte croissance urbaine, où l’occupation de l’espace est nécessairement difficile à partager et se manifeste par une forte pression de l‘économie informelle sur le domaine public. </w:t>
      </w:r>
    </w:p>
    <w:p w14:paraId="238E511C" w14:textId="77777777" w:rsidR="00373C0B" w:rsidRPr="00AC2C74" w:rsidRDefault="00373C0B" w:rsidP="00373C0B">
      <w:pPr>
        <w:tabs>
          <w:tab w:val="left" w:pos="294"/>
        </w:tabs>
        <w:spacing w:after="120"/>
        <w:rPr>
          <w:rFonts w:cs="Arial"/>
        </w:rPr>
      </w:pPr>
      <w:r w:rsidRPr="00AC2C74">
        <w:rPr>
          <w:rFonts w:cs="Arial"/>
        </w:rPr>
        <w:t>Comment définir la ville haïtienne ? Sa définition doit être suffisamment précise pour pouvoir de se référer à des délimitations territoriales clairement identifiables. Mais elle doit pouvoir aussi rendre compte d’un pro</w:t>
      </w:r>
      <w:r>
        <w:rPr>
          <w:rFonts w:cs="Arial"/>
        </w:rPr>
        <w:t>cessus d’urbanisation en pleine</w:t>
      </w:r>
      <w:r w:rsidRPr="00AC2C74">
        <w:rPr>
          <w:rFonts w:cs="Arial"/>
        </w:rPr>
        <w:t xml:space="preserve"> évolution qui se traduit par de profondes transfo</w:t>
      </w:r>
      <w:r>
        <w:rPr>
          <w:rFonts w:cs="Arial"/>
        </w:rPr>
        <w:t xml:space="preserve">rmations des espaces ruraux et </w:t>
      </w:r>
      <w:r w:rsidRPr="00AC2C74">
        <w:rPr>
          <w:rFonts w:cs="Arial"/>
        </w:rPr>
        <w:t xml:space="preserve">urbains. La création de zone d’habitat spontané, comme à Canaan, les extensions en périphérie de villes de type « banlieue », les phénomènes de regroupements d’unités d’habitation qui peuvent prendre la taille de petites villes, sont des cas de figures qui se multiplient. Une définition actualisée de la ville devrait permettre de comprendre le processus de sa fabrication, et de la transformation de l’espace et des activités qu’il engendre (la notion de « quartiers » donnée par l’IHSI ne traduit qu’imparfaitement ce phénomène). Les agglomérations, dans le sens de regroupements d’habitations ou d’étalement urbain non maitrisé, deviennent progressivement des ensembles urbains soumis aux mêmes besoins et contraintes d’organisation et de services que ceux d’une ville. </w:t>
      </w:r>
    </w:p>
    <w:p w14:paraId="25CA5738" w14:textId="77777777" w:rsidR="00373C0B" w:rsidRPr="00AC2C74" w:rsidRDefault="00373C0B" w:rsidP="00373C0B">
      <w:pPr>
        <w:autoSpaceDE w:val="0"/>
        <w:autoSpaceDN w:val="0"/>
        <w:adjustRightInd w:val="0"/>
        <w:spacing w:after="120"/>
      </w:pPr>
      <w:r w:rsidRPr="00AC2C74">
        <w:rPr>
          <w:rFonts w:cs="Arial"/>
        </w:rPr>
        <w:t>Les conséquences de l’absence de définition reconnue de l’urbain dans la production des données a été pointée avec force dans l’</w:t>
      </w:r>
      <w:r w:rsidRPr="00AC2C74">
        <w:t>Étude pour l'identification et la formulation du programme de développement urbain du 11ème FED en Haïti</w:t>
      </w:r>
      <w:r w:rsidRPr="00AC2C74">
        <w:rPr>
          <w:rStyle w:val="FootnoteReference"/>
        </w:rPr>
        <w:footnoteReference w:id="7"/>
      </w:r>
      <w:r w:rsidRPr="00AC2C74">
        <w:t> :</w:t>
      </w:r>
    </w:p>
    <w:p w14:paraId="0AD27705" w14:textId="5E80D416" w:rsidR="00373C0B" w:rsidRDefault="00373C0B" w:rsidP="00373C0B">
      <w:pPr>
        <w:rPr>
          <w:rFonts w:cs="Arial"/>
        </w:rPr>
      </w:pPr>
      <w:r w:rsidRPr="00AC2C74">
        <w:rPr>
          <w:rFonts w:cs="Arial"/>
          <w:i/>
        </w:rPr>
        <w:t xml:space="preserve">« L’absence de définition consensuelle de l’urbain engendre une série de difficultés dans le passage à des enjeux institutionnels et opérationnels sur la ville, puisqu’elle conditionne la question des statistiques urbaines et de la production des données en général, ou encore la question des délimitations territoriales (administratives mais aussi électorales). Le débat engagé sur une définition reconnue et partagée semble donc être un préalable indispensable à toute politique publique dans l’urbain : un travail sur une harmonisation légale des définitions urbaines, à entériner officiellement, est sollicité par l’ensemble des acteurs. » </w:t>
      </w:r>
      <w:r w:rsidRPr="00AC2C74">
        <w:rPr>
          <w:rFonts w:cs="Arial"/>
        </w:rPr>
        <w:t>Une nouvelle définition en Haïti devra pouvoir traduire aussi une forme de recomposition institutionnelle.</w:t>
      </w:r>
    </w:p>
    <w:p w14:paraId="7034B704" w14:textId="77777777" w:rsidR="00373C0B" w:rsidRPr="00DA491F" w:rsidRDefault="00373C0B" w:rsidP="00373C0B">
      <w:pPr>
        <w:pStyle w:val="Heading3"/>
        <w:rPr>
          <w:rFonts w:eastAsia="MS Gothic"/>
        </w:rPr>
      </w:pPr>
      <w:bookmarkStart w:id="7" w:name="_Toc468189930"/>
      <w:r w:rsidRPr="00DA491F">
        <w:rPr>
          <w:rFonts w:eastAsia="MS Gothic"/>
        </w:rPr>
        <w:t>A quoi peut servir une meilleure gestion de l’information sur l’urbain ?</w:t>
      </w:r>
      <w:bookmarkEnd w:id="7"/>
      <w:r w:rsidRPr="00DA491F">
        <w:rPr>
          <w:rFonts w:eastAsia="MS Gothic"/>
        </w:rPr>
        <w:t xml:space="preserve"> </w:t>
      </w:r>
    </w:p>
    <w:p w14:paraId="315E02E6" w14:textId="77777777" w:rsidR="00373C0B" w:rsidRDefault="00373C0B" w:rsidP="00373C0B">
      <w:pPr>
        <w:tabs>
          <w:tab w:val="left" w:pos="294"/>
        </w:tabs>
        <w:spacing w:after="120"/>
        <w:rPr>
          <w:b/>
          <w:bCs/>
        </w:rPr>
      </w:pPr>
      <w:r w:rsidRPr="00AC2C74">
        <w:rPr>
          <w:b/>
          <w:bCs/>
          <w:i/>
        </w:rPr>
        <w:t>Mettre en avant des finalités communes dans l’utilisation des données et sur la gestion de l’information du secteur urbain.</w:t>
      </w:r>
      <w:r w:rsidRPr="00AC2C74">
        <w:rPr>
          <w:b/>
          <w:bCs/>
        </w:rPr>
        <w:t xml:space="preserve"> </w:t>
      </w:r>
    </w:p>
    <w:p w14:paraId="7EA20180" w14:textId="77777777" w:rsidR="00373C0B" w:rsidRPr="00AC2C74" w:rsidRDefault="00373C0B" w:rsidP="00373C0B">
      <w:pPr>
        <w:tabs>
          <w:tab w:val="left" w:pos="294"/>
        </w:tabs>
        <w:spacing w:after="120"/>
        <w:rPr>
          <w:rFonts w:cs="Arial"/>
        </w:rPr>
      </w:pPr>
      <w:r w:rsidRPr="00AC2C74">
        <w:rPr>
          <w:rFonts w:cs="Arial"/>
        </w:rPr>
        <w:t>Les données produites sur les questions urbaines, dès lors qu’elles se trouvent réparties entre plusieurs institutions, ne peuvent faire l’objet d’une compréhension partagée que si ces institutions s’entendent sur l’utilisation qui peut en  être faite, dans une approche commune du développement urbain</w:t>
      </w:r>
      <w:r w:rsidRPr="00AC2C74">
        <w:rPr>
          <w:rStyle w:val="FootnoteReference"/>
          <w:rFonts w:cs="Arial"/>
        </w:rPr>
        <w:footnoteReference w:id="8"/>
      </w:r>
      <w:r w:rsidRPr="00AC2C74">
        <w:rPr>
          <w:rFonts w:cs="Arial"/>
        </w:rPr>
        <w:t xml:space="preserve">. Quelques propositions  sont mises ici en avant pour mieux guider cette information.  </w:t>
      </w:r>
    </w:p>
    <w:p w14:paraId="28208470" w14:textId="41E687EB" w:rsidR="00373C0B" w:rsidRPr="00F927A2" w:rsidRDefault="00373C0B" w:rsidP="00F927A2">
      <w:pPr>
        <w:pStyle w:val="Heading4"/>
        <w:rPr>
          <w:rFonts w:eastAsia="MS Gothic"/>
        </w:rPr>
      </w:pPr>
      <w:bookmarkStart w:id="8" w:name="_Toc335405371"/>
      <w:bookmarkStart w:id="9" w:name="_Toc462130716"/>
      <w:r w:rsidRPr="00F927A2">
        <w:rPr>
          <w:rFonts w:eastAsia="MS Gothic"/>
        </w:rPr>
        <w:t>Améliorer la connaissance des villes et des agglomérations urbaines pour mieux orienter le développement urbain</w:t>
      </w:r>
      <w:bookmarkEnd w:id="8"/>
      <w:bookmarkEnd w:id="9"/>
    </w:p>
    <w:p w14:paraId="028576C3" w14:textId="40EC5A35" w:rsidR="00373C0B" w:rsidRPr="00AC2C74" w:rsidRDefault="00373C0B" w:rsidP="00373C0B">
      <w:pPr>
        <w:tabs>
          <w:tab w:val="left" w:pos="294"/>
        </w:tabs>
        <w:spacing w:after="120"/>
        <w:rPr>
          <w:bCs/>
        </w:rPr>
      </w:pPr>
      <w:r w:rsidRPr="00AC2C74">
        <w:rPr>
          <w:rFonts w:cs="Arial"/>
        </w:rPr>
        <w:t>On ne dispose pas toujours de données fiables pour décrire les villes, alors qu’elles  constituent la première étape pour connaître celles-c</w:t>
      </w:r>
      <w:r w:rsidR="00556615">
        <w:rPr>
          <w:rFonts w:cs="Arial"/>
        </w:rPr>
        <w:t>i. Si les données géographiques</w:t>
      </w:r>
      <w:r w:rsidRPr="00AC2C74">
        <w:rPr>
          <w:rFonts w:cs="Arial"/>
        </w:rPr>
        <w:t xml:space="preserve"> classiques sont généralement bien repérées parce qu’elles sont visibles, il est plus difficile de connaître le statut d’occupation du sol, les statistiques sur les activités économiques, l’emploi. Mais </w:t>
      </w:r>
      <w:r w:rsidRPr="00AC2C74">
        <w:rPr>
          <w:bCs/>
        </w:rPr>
        <w:t xml:space="preserve">les techniques de numérisation et de télédétection offrent de nombreuses possibilités nouvelles pour faire avancer ce travail de  description </w:t>
      </w:r>
      <w:r w:rsidRPr="00AC2C74">
        <w:rPr>
          <w:rFonts w:cs="Arial"/>
        </w:rPr>
        <w:t xml:space="preserve">avec les deux principaux types de données utiles qui peuvent être combinées : </w:t>
      </w:r>
      <w:r w:rsidRPr="00AC2C74">
        <w:rPr>
          <w:bCs/>
        </w:rPr>
        <w:t xml:space="preserve">les données </w:t>
      </w:r>
      <w:r w:rsidR="00556615" w:rsidRPr="00AC2C74">
        <w:rPr>
          <w:bCs/>
        </w:rPr>
        <w:t>socio-économiques</w:t>
      </w:r>
      <w:r w:rsidRPr="00AC2C74">
        <w:rPr>
          <w:bCs/>
        </w:rPr>
        <w:t xml:space="preserve"> ou statistiques et les données spatiales ou géo-localisées. Cela démontre l’importance d’intensifier les partenariats existants ou passés entre l’institution chargée de la production/compréhension de l’urbain et des structures telles que l’IHSI et le CNIGS qui disposent de connaissances spécifiques pour gérer ces données</w:t>
      </w:r>
      <w:r w:rsidRPr="00AC2C74">
        <w:rPr>
          <w:rStyle w:val="FootnoteReference"/>
          <w:bCs/>
        </w:rPr>
        <w:footnoteReference w:id="9"/>
      </w:r>
      <w:r w:rsidRPr="00AC2C74">
        <w:rPr>
          <w:bCs/>
        </w:rPr>
        <w:t xml:space="preserve">. </w:t>
      </w:r>
    </w:p>
    <w:p w14:paraId="5529C18C" w14:textId="77777777" w:rsidR="00373C0B" w:rsidRDefault="00373C0B" w:rsidP="00373C0B">
      <w:pPr>
        <w:tabs>
          <w:tab w:val="left" w:pos="294"/>
        </w:tabs>
        <w:rPr>
          <w:bCs/>
        </w:rPr>
      </w:pPr>
      <w:r w:rsidRPr="00AC2C74">
        <w:rPr>
          <w:b/>
          <w:bCs/>
        </w:rPr>
        <w:t>La description d’un territoire, pour être utile, doit permettre de comprendre les enjeux de son développement</w:t>
      </w:r>
      <w:r w:rsidRPr="00AC2C74">
        <w:rPr>
          <w:bCs/>
        </w:rPr>
        <w:t xml:space="preserve">. Pour être significatives, les données ne peuvent être simplement compilées, elles doivent être traitées, hiérarchisées, pour décider d’une ou des orientations en matière de développement urbain qui pourront être attachées à une ou plusieurs thématiques particulières (protection de l’environnement, services, habitat, etc.). Chaque situation est particulière, même si nombre d’entre elles présentent des caractères répétitifs. L’observation, l’enquête de terrain restent des compléments indispensables qui, croisées avec l’interprétation des données, permettent de dégager des choix et d’orienter le développement urbain, ou à défaut d’interroger les sources utiles pour rechercher les données manquantes. </w:t>
      </w:r>
    </w:p>
    <w:p w14:paraId="15A41444" w14:textId="77777777" w:rsidR="00373C0B" w:rsidRPr="00AC2C74" w:rsidRDefault="00373C0B" w:rsidP="00373C0B">
      <w:pPr>
        <w:tabs>
          <w:tab w:val="left" w:pos="294"/>
        </w:tabs>
        <w:rPr>
          <w:bCs/>
        </w:rPr>
      </w:pPr>
    </w:p>
    <w:p w14:paraId="542B6BD9" w14:textId="669D49D1" w:rsidR="00373C0B" w:rsidRPr="00F927A2" w:rsidRDefault="00373C0B" w:rsidP="00F927A2">
      <w:pPr>
        <w:pStyle w:val="Heading4"/>
        <w:rPr>
          <w:rFonts w:eastAsia="MS Gothic"/>
        </w:rPr>
      </w:pPr>
      <w:r w:rsidRPr="00F927A2">
        <w:rPr>
          <w:rFonts w:eastAsia="MS Gothic"/>
        </w:rPr>
        <w:t>Pourvoir échanger, croiser et recouper des données et  des connaissances et les mettre en réseau</w:t>
      </w:r>
    </w:p>
    <w:p w14:paraId="20D552E1" w14:textId="77777777" w:rsidR="00373C0B" w:rsidRPr="00AC2C74" w:rsidRDefault="00373C0B" w:rsidP="00373C0B">
      <w:pPr>
        <w:spacing w:after="120"/>
        <w:ind w:right="89"/>
        <w:rPr>
          <w:bCs/>
        </w:rPr>
      </w:pPr>
      <w:r w:rsidRPr="00AC2C74">
        <w:rPr>
          <w:bCs/>
        </w:rPr>
        <w:t xml:space="preserve">Certaines données peuvent être répétitives et être considérées comme des données de base, qui s’utilisent pour caractériser et différentier des territoires ou des catégories d’acteurs. Il n’existe pour le secteur urbain que peu de données qui  soient utilisées par un seul utilisateur ; généralement les données urbaines sont utilisées et traitées par plusieurs afin d’élaborer des d’informations spécifiques dans leur  champ de compétence. </w:t>
      </w:r>
    </w:p>
    <w:p w14:paraId="32D93C8F" w14:textId="77777777" w:rsidR="00373C0B" w:rsidRPr="00AC2C74" w:rsidRDefault="00373C0B" w:rsidP="00373C0B">
      <w:pPr>
        <w:spacing w:after="120"/>
        <w:ind w:right="89"/>
        <w:rPr>
          <w:bCs/>
        </w:rPr>
      </w:pPr>
      <w:r w:rsidRPr="00AC2C74">
        <w:rPr>
          <w:bCs/>
        </w:rPr>
        <w:t xml:space="preserve">Les raisons de multiplier les croisements et les échanges de données sont donc nombreuses  et ne peuvent être que bénéfiques. Il est,  a priori,  évident qu’on a tout intérêt à regrouper et partager les données urbaines, puisque le nombre des utilisateurs justifie une mutualisation des moyens et évite la multiplication du temps de circulation. La création de SIG et de base de données à un niveau central est donc à priori pertinente. </w:t>
      </w:r>
    </w:p>
    <w:p w14:paraId="52F503FA" w14:textId="753F7D82" w:rsidR="00373C0B" w:rsidRPr="00AC2C74" w:rsidRDefault="00373C0B" w:rsidP="00373C0B">
      <w:pPr>
        <w:spacing w:after="120"/>
        <w:ind w:right="89"/>
        <w:rPr>
          <w:bCs/>
        </w:rPr>
      </w:pPr>
      <w:r w:rsidRPr="00AC2C74">
        <w:rPr>
          <w:bCs/>
        </w:rPr>
        <w:t>Tous les responsables urbains rencontrés en Haïti conviennent de l’intérêt du principe de partage et de la libre circulati</w:t>
      </w:r>
      <w:r w:rsidR="004C23C7">
        <w:rPr>
          <w:bCs/>
        </w:rPr>
        <w:t>on des données et informations,</w:t>
      </w:r>
      <w:r w:rsidRPr="00AC2C74">
        <w:rPr>
          <w:bCs/>
        </w:rPr>
        <w:t xml:space="preserve"> pour peu que cette information soit fiable et que celui qui la produit s’y retrouve Les mêmes responsables conviennent de la même façon de l’utilité d’une harmonisation d’un système de suivi évaluation des opérations urbaines établi sur une base d’indicateurs reconnus par tous.  </w:t>
      </w:r>
    </w:p>
    <w:p w14:paraId="018E51FB" w14:textId="060F48FD" w:rsidR="00373C0B" w:rsidRDefault="00373C0B" w:rsidP="00373C0B">
      <w:pPr>
        <w:rPr>
          <w:bCs/>
        </w:rPr>
      </w:pPr>
      <w:r w:rsidRPr="00AC2C74">
        <w:rPr>
          <w:bCs/>
        </w:rPr>
        <w:t>La théorie est simple, mais la mise en application de ces principes est plus compliquée. Les producteurs de données (qui peuvent en être aussi les utilisateurs) doivent se plier à des contraintes comme la mise en forme standard</w:t>
      </w:r>
      <w:r>
        <w:rPr>
          <w:bCs/>
        </w:rPr>
        <w:t xml:space="preserve"> des données pour que celles-ci</w:t>
      </w:r>
      <w:r w:rsidRPr="00AC2C74">
        <w:rPr>
          <w:bCs/>
        </w:rPr>
        <w:t xml:space="preserve"> soient exploitables. </w:t>
      </w:r>
      <w:r w:rsidRPr="00AC2C74">
        <w:rPr>
          <w:b/>
          <w:bCs/>
        </w:rPr>
        <w:t>La difficulté principale en Haïti vient de l’absence de « référentiels communs » sur l’utilisation des données et sur la façon d’élaborer et de traiter des informations qui puissent être partagées</w:t>
      </w:r>
      <w:r w:rsidRPr="00AC2C74">
        <w:rPr>
          <w:bCs/>
        </w:rPr>
        <w:t xml:space="preserve">. Certes la législation apporte des points de repère, mais ceux-ci se trouvent en décalage avec la réalité des comportements ou des situations, ils n’apportent pas de solutions pour une mise en application. Un référentiel commun, </w:t>
      </w:r>
      <w:r w:rsidR="004C23C7" w:rsidRPr="00AC2C74">
        <w:rPr>
          <w:bCs/>
        </w:rPr>
        <w:t>au-delà</w:t>
      </w:r>
      <w:r w:rsidRPr="00AC2C74">
        <w:rPr>
          <w:bCs/>
        </w:rPr>
        <w:t xml:space="preserve">  de ce qui est purement un inventaire, se fonde sur une méthodologie  généralisable. Ainsi les Plans Communaux de Développement, dans la mesure où ils couvrent aujourd’hui une majorité de la population du pays et suivent un processus balisé</w:t>
      </w:r>
      <w:r w:rsidRPr="00AC2C74">
        <w:rPr>
          <w:rStyle w:val="FootnoteReference"/>
          <w:bCs/>
        </w:rPr>
        <w:footnoteReference w:id="10"/>
      </w:r>
      <w:r w:rsidRPr="00AC2C74">
        <w:rPr>
          <w:bCs/>
        </w:rPr>
        <w:t>, constituent une première étape vers la planification. Ils peuvent être considérés comme un référentiel, même si celui-ci peut être amélioré. On peut concevoir d’autres référentiels communs correspondant aux étapes suivantes de la planification urbaine. Ceux-ci peuvent être affinés en fonction d’une typologie des situations urbaines correspondant à des  états et formes urbaines caractéristiques.</w:t>
      </w:r>
    </w:p>
    <w:p w14:paraId="110F6C62" w14:textId="77777777" w:rsidR="005B2352" w:rsidRDefault="005B2352" w:rsidP="00373C0B">
      <w:pPr>
        <w:rPr>
          <w:bCs/>
        </w:rPr>
      </w:pPr>
    </w:p>
    <w:p w14:paraId="7E373C26" w14:textId="77777777" w:rsidR="005B2352" w:rsidRPr="00504DEE" w:rsidRDefault="005B2352" w:rsidP="00F927A2">
      <w:pPr>
        <w:pStyle w:val="Heading4"/>
        <w:keepLines/>
        <w:ind w:left="993" w:right="567" w:hanging="142"/>
        <w:rPr>
          <w:rFonts w:eastAsia="MS Gothic"/>
        </w:rPr>
      </w:pPr>
      <w:r w:rsidRPr="00504DEE">
        <w:rPr>
          <w:rFonts w:eastAsia="MS Gothic"/>
        </w:rPr>
        <w:t xml:space="preserve">Associer les différents types d’acteurs à des choix et prises de décision en matière de développement urbain. </w:t>
      </w:r>
    </w:p>
    <w:p w14:paraId="6CFB429C" w14:textId="19D14298" w:rsidR="005B2352" w:rsidRDefault="005B2352" w:rsidP="005B2352">
      <w:pPr>
        <w:rPr>
          <w:bCs/>
        </w:rPr>
      </w:pPr>
      <w:r w:rsidRPr="00AC2C74">
        <w:rPr>
          <w:bCs/>
        </w:rPr>
        <w:t>Comme on l’a vu précédemment, l’utilisation des données et la production d’information sur le secteur urbain servent à l’élaboration de nombreux documents afin, notamment, d’orienter, de planifier, de réglementer l’usage des sols. Or les fonctions de planification et de réglementation, qui sont elles aussi partagées entre plusieurs acteurs de l’administration centrale et communale, ne peuvent servir de références communes que si elles sont comprises, interprétées et appliquées de la même façon par chacun des acteurs. Cette remarque s’applique notamment aux habitants et usagers de la ville. Comment pourraient-ils se sentir concernés s’ils ne sont pas impliqués aux principales étape</w:t>
      </w:r>
      <w:r w:rsidR="00F927A2">
        <w:rPr>
          <w:bCs/>
        </w:rPr>
        <w:t xml:space="preserve">s du processus conduisant à la </w:t>
      </w:r>
      <w:r w:rsidRPr="00AC2C74">
        <w:rPr>
          <w:bCs/>
        </w:rPr>
        <w:t>décision et à la règlementation (diagnostic, programmation, planification, financement, mise en œuvre) ?</w:t>
      </w:r>
    </w:p>
    <w:p w14:paraId="0F8C0476" w14:textId="77777777" w:rsidR="005B2352" w:rsidRDefault="005B2352" w:rsidP="005B2352">
      <w:pPr>
        <w:rPr>
          <w:bCs/>
        </w:rPr>
      </w:pPr>
    </w:p>
    <w:p w14:paraId="07B53E18" w14:textId="77777777" w:rsidR="005B2352" w:rsidRPr="00504DEE" w:rsidRDefault="005B2352" w:rsidP="005B2352">
      <w:pPr>
        <w:pStyle w:val="Heading2"/>
        <w:rPr>
          <w:rFonts w:eastAsia="MS Gothic"/>
        </w:rPr>
      </w:pPr>
      <w:bookmarkStart w:id="10" w:name="_Toc468189931"/>
      <w:r w:rsidRPr="00504DEE">
        <w:rPr>
          <w:rFonts w:eastAsia="MS Gothic"/>
        </w:rPr>
        <w:t>Comment revaloriser la fonction de planification urbaine?</w:t>
      </w:r>
      <w:bookmarkEnd w:id="10"/>
    </w:p>
    <w:p w14:paraId="4F1BC6A8" w14:textId="77777777" w:rsidR="005B2352" w:rsidRPr="00AC2C74" w:rsidRDefault="005B2352" w:rsidP="005B2352">
      <w:pPr>
        <w:spacing w:after="120"/>
        <w:ind w:right="91"/>
        <w:rPr>
          <w:bCs/>
        </w:rPr>
      </w:pPr>
      <w:r w:rsidRPr="00AC2C74">
        <w:rPr>
          <w:b/>
          <w:bCs/>
          <w:i/>
        </w:rPr>
        <w:t>Etablir une méthodologie de planification urbaine qui fasse</w:t>
      </w:r>
      <w:r w:rsidRPr="00AC2C74">
        <w:rPr>
          <w:bCs/>
          <w:i/>
          <w:sz w:val="28"/>
          <w:szCs w:val="28"/>
        </w:rPr>
        <w:t xml:space="preserve"> </w:t>
      </w:r>
      <w:r w:rsidRPr="00AC2C74">
        <w:rPr>
          <w:b/>
          <w:bCs/>
          <w:i/>
        </w:rPr>
        <w:t>consensus. Connecter la planification urbaine aux usages et aux pratiques des habitants et usagers de la ville pour mieux faire reconnaître l’utilité de la  réglementation urbaine.</w:t>
      </w:r>
    </w:p>
    <w:p w14:paraId="77A0EDC0" w14:textId="77777777" w:rsidR="005B2352" w:rsidRPr="00AC2C74" w:rsidRDefault="005B2352" w:rsidP="005B2352">
      <w:pPr>
        <w:tabs>
          <w:tab w:val="left" w:pos="9020"/>
        </w:tabs>
        <w:spacing w:after="120"/>
        <w:ind w:right="-52"/>
        <w:rPr>
          <w:bCs/>
        </w:rPr>
      </w:pPr>
      <w:r w:rsidRPr="00AC2C74">
        <w:rPr>
          <w:bCs/>
        </w:rPr>
        <w:t xml:space="preserve">L’une des  plus vives préoccupations exprimées, qui fait clairement consensus entre les institutions compétentes, est de pouvoir revaloriser la fonction de planification urbaine. </w:t>
      </w:r>
    </w:p>
    <w:p w14:paraId="73CDCCF7" w14:textId="77777777" w:rsidR="005B2352" w:rsidRPr="00AC2C74" w:rsidRDefault="005B2352" w:rsidP="005B2352">
      <w:pPr>
        <w:tabs>
          <w:tab w:val="left" w:pos="9020"/>
        </w:tabs>
        <w:spacing w:after="120"/>
        <w:ind w:right="-51"/>
        <w:rPr>
          <w:bCs/>
        </w:rPr>
      </w:pPr>
      <w:r w:rsidRPr="00AC2C74">
        <w:rPr>
          <w:bCs/>
        </w:rPr>
        <w:t xml:space="preserve">La demande exprimée est dans les TDR </w:t>
      </w:r>
      <w:r w:rsidRPr="00AC2C74">
        <w:rPr>
          <w:bCs/>
          <w:i/>
        </w:rPr>
        <w:t>d’optimiser l’impact des schémas d’aménagement</w:t>
      </w:r>
      <w:r w:rsidRPr="00AC2C74">
        <w:rPr>
          <w:bCs/>
        </w:rPr>
        <w:t xml:space="preserve">, </w:t>
      </w:r>
      <w:r w:rsidRPr="00AC2C74">
        <w:rPr>
          <w:bCs/>
          <w:i/>
        </w:rPr>
        <w:t>fluidifier leur compréhension au niveau des municipalités, orienter la gestion des permis de construire et des permis de lotir, améliorer la gestion des enjeux urbains au niveau de la Direction des Travaux Publics, appliquer les enseignements acquis des Schémas d’aménagement  au niveau des quartiers à une échelle supérieure</w:t>
      </w:r>
      <w:r>
        <w:rPr>
          <w:bCs/>
          <w:i/>
        </w:rPr>
        <w:t>, etc.</w:t>
      </w:r>
      <w:r w:rsidRPr="00AC2C74">
        <w:rPr>
          <w:bCs/>
          <w:i/>
        </w:rPr>
        <w:t xml:space="preserve"> </w:t>
      </w:r>
      <w:r w:rsidRPr="00AC2C74">
        <w:rPr>
          <w:bCs/>
        </w:rPr>
        <w:t>Ces propositions supposent qu’il y ait une coordination/ supervision des lieux où s’élaborent les schémas et qu’un accord soit trouvé sur les contenus à mettre  en application.</w:t>
      </w:r>
    </w:p>
    <w:p w14:paraId="393D276D" w14:textId="77777777" w:rsidR="005B2352" w:rsidRPr="00AC2C74" w:rsidRDefault="005B2352" w:rsidP="005B2352">
      <w:pPr>
        <w:tabs>
          <w:tab w:val="left" w:pos="9020"/>
        </w:tabs>
        <w:spacing w:after="120"/>
        <w:ind w:right="-51"/>
        <w:rPr>
          <w:bCs/>
        </w:rPr>
      </w:pPr>
      <w:r w:rsidRPr="00AC2C74">
        <w:rPr>
          <w:bCs/>
        </w:rPr>
        <w:t xml:space="preserve">La planification urbaine peut se définir comme la tâche qui consiste à organiser la composition spatiale des différentes fonctions urbaines (habitat, équipement commerce, circulation, services etc.), de les localiser, les dimensionner, les combiner pour les agencer dans l’espace, en fonction d’une programmation et d’un ensemble de contraintes prédéfinies sur le plan économique, social et environnemental. </w:t>
      </w:r>
    </w:p>
    <w:p w14:paraId="7A1E58A3" w14:textId="77777777" w:rsidR="005B2352" w:rsidRPr="00AC2C74" w:rsidRDefault="005B2352" w:rsidP="005B2352">
      <w:pPr>
        <w:ind w:right="89"/>
        <w:rPr>
          <w:bCs/>
        </w:rPr>
      </w:pPr>
      <w:r w:rsidRPr="00AC2C74">
        <w:rPr>
          <w:bCs/>
        </w:rPr>
        <w:t>Plusieurs  études ont tenté de reconstituer une cohérence au travers des textes et décrets existants dans la législation haïtienne, sans pouvoir conclure à une interprétation adaptée au contexte actuel qui soit claire et partagée par l’ensemble de</w:t>
      </w:r>
      <w:r>
        <w:rPr>
          <w:bCs/>
        </w:rPr>
        <w:t>s</w:t>
      </w:r>
      <w:r w:rsidRPr="00AC2C74">
        <w:rPr>
          <w:bCs/>
        </w:rPr>
        <w:t xml:space="preserve"> acteurs</w:t>
      </w:r>
      <w:r w:rsidRPr="00AC2C74">
        <w:rPr>
          <w:rStyle w:val="FootnoteReference"/>
          <w:bCs/>
        </w:rPr>
        <w:footnoteReference w:id="11"/>
      </w:r>
      <w:r w:rsidRPr="00AC2C74">
        <w:rPr>
          <w:bCs/>
        </w:rPr>
        <w:t>. La définition du mode de planification urbaine, et par voie de conséquence de la réglementation qui l’accompagne, constitue un moment essentiel dans le processus de développement des villes. Les commentaires les  plus fréquents  sur  l’absence de maitrise du développement urbain se focalisent sur l’absence de respect de la réglementation. La déclaration de la règle, si elle ne s’accompa</w:t>
      </w:r>
      <w:r>
        <w:rPr>
          <w:bCs/>
        </w:rPr>
        <w:t>gne pas d’une gestion active de</w:t>
      </w:r>
      <w:r w:rsidRPr="00AC2C74">
        <w:rPr>
          <w:bCs/>
        </w:rPr>
        <w:t xml:space="preserve"> l’information, de la communication, dans la conception et le  suivi des actions, peut-elle suffire à sa mise en application? De fait les procédures et les mesures qui les accompagnent perdent progressivement de leur poids, faute d’efficacité dans leur mise en œuvre. Elles sont l’occasion de nombreux détournements qui remettent en cause leur fondement. La précision de l’information et la clarté de la communication deviennent des facteurs importants qu’il faut associer aux dispositifs et à la conduite des projets. </w:t>
      </w:r>
    </w:p>
    <w:p w14:paraId="793B4F76" w14:textId="77777777" w:rsidR="005B2352" w:rsidRPr="00AC2C74" w:rsidRDefault="005B2352" w:rsidP="005B2352">
      <w:pPr>
        <w:ind w:right="418"/>
        <w:rPr>
          <w:b/>
          <w:bCs/>
        </w:rPr>
      </w:pPr>
      <w:r w:rsidRPr="00AC2C74">
        <w:rPr>
          <w:b/>
          <w:bCs/>
        </w:rPr>
        <w:t>La fonction de planification urbaine dans l’organisation institutionnelle occupe donc une place centrale</w:t>
      </w:r>
      <w:r w:rsidRPr="00AC2C74">
        <w:rPr>
          <w:bCs/>
        </w:rPr>
        <w:t xml:space="preserve"> </w:t>
      </w:r>
      <w:r w:rsidRPr="00AC2C74">
        <w:rPr>
          <w:b/>
          <w:bCs/>
        </w:rPr>
        <w:t>pour</w:t>
      </w:r>
      <w:r>
        <w:rPr>
          <w:b/>
          <w:bCs/>
        </w:rPr>
        <w:t> :</w:t>
      </w:r>
    </w:p>
    <w:p w14:paraId="73645195" w14:textId="77777777" w:rsidR="005B2352" w:rsidRPr="00AC2C74" w:rsidRDefault="005B2352" w:rsidP="00F70EF1">
      <w:pPr>
        <w:widowControl w:val="0"/>
        <w:numPr>
          <w:ilvl w:val="0"/>
          <w:numId w:val="10"/>
        </w:numPr>
        <w:suppressAutoHyphens/>
        <w:spacing w:before="0" w:line="276" w:lineRule="auto"/>
        <w:ind w:right="418"/>
        <w:contextualSpacing/>
        <w:rPr>
          <w:bCs/>
        </w:rPr>
      </w:pPr>
      <w:r>
        <w:rPr>
          <w:b/>
          <w:bCs/>
        </w:rPr>
        <w:t>R</w:t>
      </w:r>
      <w:r w:rsidRPr="00AC2C74">
        <w:rPr>
          <w:b/>
          <w:bCs/>
        </w:rPr>
        <w:t>assembler les données utiles</w:t>
      </w:r>
      <w:r w:rsidRPr="00AC2C74">
        <w:rPr>
          <w:bCs/>
        </w:rPr>
        <w:t xml:space="preserve"> pour concevoir un schéma d’aménagement. Cette tache peut se faire soit directement, soit par l’intermédiaire d’un prestataire ; dans ce dernier cas le commanditaire doit pouvoir préciser, suivant le contexte, les données qui pourront être déterminantes pour l’élaboration du schéma d’aménagement.  </w:t>
      </w:r>
    </w:p>
    <w:p w14:paraId="6A9ABABC" w14:textId="77777777" w:rsidR="005B2352" w:rsidRDefault="005B2352" w:rsidP="00F70EF1">
      <w:pPr>
        <w:widowControl w:val="0"/>
        <w:numPr>
          <w:ilvl w:val="0"/>
          <w:numId w:val="10"/>
        </w:numPr>
        <w:suppressAutoHyphens/>
        <w:spacing w:before="0" w:line="276" w:lineRule="auto"/>
        <w:ind w:right="418"/>
        <w:contextualSpacing/>
        <w:rPr>
          <w:bCs/>
        </w:rPr>
      </w:pPr>
      <w:r>
        <w:rPr>
          <w:b/>
          <w:bCs/>
        </w:rPr>
        <w:t>R</w:t>
      </w:r>
      <w:r w:rsidRPr="00AC2C74">
        <w:rPr>
          <w:b/>
          <w:bCs/>
        </w:rPr>
        <w:t>edistribuer ces informations</w:t>
      </w:r>
      <w:r w:rsidRPr="00AC2C74">
        <w:rPr>
          <w:bCs/>
        </w:rPr>
        <w:t xml:space="preserve"> auprès des usagers et des institutions  qui assureront la gestion des directives et leur contrôle en s’appuyant sur une argumentation explicite.</w:t>
      </w:r>
    </w:p>
    <w:p w14:paraId="4CFAB702" w14:textId="77777777" w:rsidR="005B2352" w:rsidRPr="00504DEE" w:rsidRDefault="005B2352" w:rsidP="00F70EF1">
      <w:pPr>
        <w:widowControl w:val="0"/>
        <w:numPr>
          <w:ilvl w:val="0"/>
          <w:numId w:val="10"/>
        </w:numPr>
        <w:suppressAutoHyphens/>
        <w:spacing w:before="0" w:line="276" w:lineRule="auto"/>
        <w:ind w:right="418"/>
        <w:contextualSpacing/>
        <w:rPr>
          <w:bCs/>
        </w:rPr>
      </w:pPr>
      <w:r>
        <w:rPr>
          <w:b/>
          <w:bCs/>
        </w:rPr>
        <w:t>A</w:t>
      </w:r>
      <w:r w:rsidRPr="00504DEE">
        <w:rPr>
          <w:b/>
          <w:bCs/>
        </w:rPr>
        <w:t>ssurer le suivi</w:t>
      </w:r>
      <w:r w:rsidRPr="00504DEE">
        <w:rPr>
          <w:bCs/>
        </w:rPr>
        <w:t xml:space="preserve"> </w:t>
      </w:r>
      <w:r w:rsidRPr="00504DEE">
        <w:rPr>
          <w:b/>
          <w:bCs/>
        </w:rPr>
        <w:t>et l’évaluation</w:t>
      </w:r>
      <w:r w:rsidRPr="00504DEE">
        <w:rPr>
          <w:bCs/>
        </w:rPr>
        <w:t xml:space="preserve"> des opérations pour en tirer des leçons et corriger, par itération, les dispositions et les mesures qui s’avèrent inefficaces.   </w:t>
      </w:r>
    </w:p>
    <w:p w14:paraId="494B931B" w14:textId="77777777" w:rsidR="005B2352" w:rsidRDefault="005B2352" w:rsidP="005B2352">
      <w:pPr>
        <w:spacing w:after="120"/>
        <w:ind w:right="-51"/>
        <w:rPr>
          <w:bCs/>
        </w:rPr>
      </w:pPr>
    </w:p>
    <w:p w14:paraId="7357424E" w14:textId="77777777" w:rsidR="005B2352" w:rsidRPr="00AC2C74" w:rsidRDefault="005B2352" w:rsidP="005B2352">
      <w:pPr>
        <w:spacing w:after="120"/>
        <w:ind w:right="-51"/>
        <w:rPr>
          <w:bCs/>
        </w:rPr>
      </w:pPr>
      <w:r w:rsidRPr="00AC2C74">
        <w:rPr>
          <w:bCs/>
        </w:rPr>
        <w:t>Le programme PARAQ a fourni une première expérience de terrain pour esquisser une méthode de planification urbaine à partir des projets de réhabilitation de quartier</w:t>
      </w:r>
      <w:r w:rsidRPr="00AC2C74">
        <w:rPr>
          <w:rStyle w:val="FootnoteReference"/>
          <w:bCs/>
        </w:rPr>
        <w:footnoteReference w:id="12"/>
      </w:r>
      <w:r w:rsidRPr="00AC2C74">
        <w:rPr>
          <w:bCs/>
        </w:rPr>
        <w:t>. Cette initiative constitue une avancée dans la recherche d’une valorisation de la fonction de planification. Limitée du fait qu’elle s’applique à des territoires urbains particuliers, elle a pourtant mis en évidence l’importance d’une concertation  entre institutions qui a pris la forme d’un comité tech</w:t>
      </w:r>
      <w:r>
        <w:rPr>
          <w:bCs/>
        </w:rPr>
        <w:t xml:space="preserve">nique coordonné par le ST/CIAT, </w:t>
      </w:r>
      <w:r w:rsidRPr="00AC2C74">
        <w:rPr>
          <w:bCs/>
        </w:rPr>
        <w:t xml:space="preserve">chargé de valider les schémas d’aménagement, comité qui a été largement  apprécié par les opérateurs et les institutions. </w:t>
      </w:r>
    </w:p>
    <w:p w14:paraId="75979FD2" w14:textId="3F982077" w:rsidR="005B2352" w:rsidRPr="00AC2C74" w:rsidRDefault="005B2352" w:rsidP="005B2352">
      <w:pPr>
        <w:spacing w:after="120"/>
        <w:ind w:right="-51"/>
        <w:rPr>
          <w:bCs/>
        </w:rPr>
      </w:pPr>
      <w:r w:rsidRPr="00AC2C74">
        <w:rPr>
          <w:bCs/>
        </w:rPr>
        <w:t>Une autre initiative d’ordre plus théorique est en cours dans le cadre de la formation PAIFU/AGIR. Après une première phase de sessions destinées à analyser la complexité du phénomène urbain et l’imbrication d</w:t>
      </w:r>
      <w:r w:rsidR="004C23C7">
        <w:rPr>
          <w:bCs/>
        </w:rPr>
        <w:t>es thématiques qui le composent.</w:t>
      </w:r>
      <w:r w:rsidRPr="00AC2C74">
        <w:rPr>
          <w:bCs/>
        </w:rPr>
        <w:t xml:space="preserve"> Les dernières sessions de formation ont été consacrées à l’élaboration avec les apprenants d’une méthode de planification urbaine qui s’inspire d’une expérience vécue au Burkina Faso par certains des formateurs. Elle part du constat de détournement des règlements, pour trouver les raisons qui pourraient modifier ce comportement. Le point de départ de cette démarche prend le contrepied du point de vue le plus souvent énoncé: Pourquoi les plans et les règlements d’urbanisme ne sont pas respectés ? On peut renverser la question : Quelles sont les raisons qui justifient le besoin d’établir des documents de planification ? Le travail de réflexion sur la méthode de planification s’effectue en partant d’une observation des pratiques des habitants et usagers dans l’espace urbain. Il vise en interrogeant les principaux intéressés, à dissocier ce qui est permissible de ce qui ne l’est pas, non pas au regard de la  loi, mais par rapport à la réalité des pratiques. A partir d’une discussion sur la pertinence et la fiabilité des comportements il est possible de reconstituer une logique acceptable par tous. Entre le possible et l’interdit, des options intermédiaires peuvent être trouvées. Le travail de planification se trouve alors connecté à de véritables enjeux de développement pour le territoire concerné. Sa finalité reste la même : réglementer l’occupation des sols et ses usages. Mais le contenu de la réglementation et son besoin, sont eux établis à partir d’une argumentation explicite et partagée par les différents acteurs et son application devient alors pleinement justifiée. L’une des taches de la gestion de l’information sera de faire évoluer en fonction des contextes les dispositifs et les mesures règlementaires pour qu’ils s’adaptent aux conditions de la croissance urbaine.</w:t>
      </w:r>
    </w:p>
    <w:p w14:paraId="0993D73F" w14:textId="54DB344C" w:rsidR="005B2352" w:rsidRDefault="005B2352" w:rsidP="005B2352">
      <w:pPr>
        <w:rPr>
          <w:bCs/>
        </w:rPr>
      </w:pPr>
      <w:r w:rsidRPr="00AC2C74">
        <w:rPr>
          <w:bCs/>
        </w:rPr>
        <w:t>C’est à partir des données collectées et la confrontation aux usages observés que peuvent s’effectuer des choix de planification dont l’application est rendue possible parce qu’elle est intelligible.</w:t>
      </w:r>
    </w:p>
    <w:p w14:paraId="15C874C1" w14:textId="77777777" w:rsidR="005B2352" w:rsidRDefault="005B2352" w:rsidP="005B2352">
      <w:pPr>
        <w:rPr>
          <w:bCs/>
        </w:rPr>
      </w:pPr>
    </w:p>
    <w:p w14:paraId="5EA9E08E" w14:textId="77777777" w:rsidR="005B2352" w:rsidRPr="00504DEE" w:rsidRDefault="005B2352" w:rsidP="005B2352">
      <w:pPr>
        <w:pStyle w:val="Heading2"/>
        <w:rPr>
          <w:rFonts w:eastAsia="MS Gothic"/>
        </w:rPr>
      </w:pPr>
      <w:bookmarkStart w:id="11" w:name="_Toc468189932"/>
      <w:r w:rsidRPr="00504DEE">
        <w:rPr>
          <w:rFonts w:eastAsia="MS Gothic"/>
        </w:rPr>
        <w:t>Comment  insérer la  fonction de planification urbaine dans le dispositif institutionnel ?</w:t>
      </w:r>
      <w:bookmarkEnd w:id="11"/>
    </w:p>
    <w:p w14:paraId="36188147" w14:textId="77777777" w:rsidR="005B2352" w:rsidRPr="00AC2C74" w:rsidRDefault="005B2352" w:rsidP="005B2352">
      <w:pPr>
        <w:spacing w:after="120"/>
        <w:ind w:right="-52"/>
        <w:rPr>
          <w:b/>
          <w:bCs/>
        </w:rPr>
      </w:pPr>
      <w:r w:rsidRPr="00AC2C74">
        <w:rPr>
          <w:b/>
          <w:bCs/>
          <w:i/>
        </w:rPr>
        <w:t xml:space="preserve">La planification urbaine ne peut devenir une fonction pleine et entière que si elle est dotée d’une expertise et de moyens à la hauteur de la tâche qu’elle a à remplir.  </w:t>
      </w:r>
    </w:p>
    <w:p w14:paraId="65244487" w14:textId="77777777" w:rsidR="005B2352" w:rsidRPr="00AC2C74" w:rsidRDefault="005B2352" w:rsidP="005B2352">
      <w:pPr>
        <w:tabs>
          <w:tab w:val="left" w:pos="294"/>
        </w:tabs>
        <w:spacing w:after="120"/>
        <w:rPr>
          <w:rFonts w:cs="Arial"/>
        </w:rPr>
      </w:pPr>
      <w:r w:rsidRPr="00AC2C74">
        <w:rPr>
          <w:rFonts w:cs="Arial"/>
        </w:rPr>
        <w:t xml:space="preserve">Plusieurs institutions se trouvent impliquées au moins pour partie dans le processus : </w:t>
      </w:r>
    </w:p>
    <w:p w14:paraId="3B65D0AD" w14:textId="77777777" w:rsidR="005B2352" w:rsidRPr="00504DEE" w:rsidRDefault="005B2352" w:rsidP="00F70EF1">
      <w:pPr>
        <w:widowControl w:val="0"/>
        <w:numPr>
          <w:ilvl w:val="0"/>
          <w:numId w:val="9"/>
        </w:numPr>
        <w:suppressAutoHyphens/>
        <w:spacing w:before="0" w:after="120" w:line="276" w:lineRule="auto"/>
        <w:ind w:right="-52"/>
        <w:contextualSpacing/>
        <w:rPr>
          <w:bCs/>
        </w:rPr>
      </w:pPr>
      <w:r w:rsidRPr="00504DEE">
        <w:rPr>
          <w:bCs/>
        </w:rPr>
        <w:t>La Direction des Travaux Publics du MTPTC détient un service consacré à la planification urbaine : le Service de Planification Urbaine (SPU),</w:t>
      </w:r>
    </w:p>
    <w:p w14:paraId="4C034A53" w14:textId="77777777" w:rsidR="005B2352" w:rsidRPr="00504DEE" w:rsidRDefault="005B2352" w:rsidP="00F70EF1">
      <w:pPr>
        <w:widowControl w:val="0"/>
        <w:numPr>
          <w:ilvl w:val="0"/>
          <w:numId w:val="9"/>
        </w:numPr>
        <w:suppressAutoHyphens/>
        <w:spacing w:before="0" w:after="120" w:line="276" w:lineRule="auto"/>
        <w:ind w:right="-52"/>
        <w:contextualSpacing/>
        <w:rPr>
          <w:bCs/>
        </w:rPr>
      </w:pPr>
      <w:r w:rsidRPr="00504DEE">
        <w:rPr>
          <w:bCs/>
        </w:rPr>
        <w:t>Le ST/CIAT dispose d’une cellule Urbanisme et Habitat dont le rôle est de coordonner et superviser les activités en lien avec les Ministères notamment sur cette question,</w:t>
      </w:r>
    </w:p>
    <w:p w14:paraId="354724F3" w14:textId="77777777" w:rsidR="005B2352" w:rsidRPr="00504DEE" w:rsidRDefault="005B2352" w:rsidP="00F70EF1">
      <w:pPr>
        <w:widowControl w:val="0"/>
        <w:numPr>
          <w:ilvl w:val="0"/>
          <w:numId w:val="9"/>
        </w:numPr>
        <w:suppressAutoHyphens/>
        <w:spacing w:before="0" w:after="120" w:line="276" w:lineRule="auto"/>
        <w:ind w:right="-52"/>
        <w:contextualSpacing/>
        <w:rPr>
          <w:bCs/>
        </w:rPr>
      </w:pPr>
      <w:r w:rsidRPr="00504DEE">
        <w:rPr>
          <w:bCs/>
        </w:rPr>
        <w:t>La Direction de l’Aménagement du Territoire, du Développement Local et Régional  du MPCE a élaboré à son niveau des plans d’urbanisme, sous forme d’esquisses ou de schémas pour plusieurs villes de province et communes  de la capitale,</w:t>
      </w:r>
    </w:p>
    <w:p w14:paraId="05614D1B" w14:textId="77777777" w:rsidR="005B2352" w:rsidRPr="00504DEE" w:rsidRDefault="005B2352" w:rsidP="00F70EF1">
      <w:pPr>
        <w:widowControl w:val="0"/>
        <w:numPr>
          <w:ilvl w:val="0"/>
          <w:numId w:val="9"/>
        </w:numPr>
        <w:suppressAutoHyphens/>
        <w:spacing w:before="0" w:after="120" w:line="276" w:lineRule="auto"/>
        <w:ind w:right="-52"/>
        <w:contextualSpacing/>
        <w:rPr>
          <w:bCs/>
        </w:rPr>
      </w:pPr>
      <w:r w:rsidRPr="00504DEE">
        <w:rPr>
          <w:bCs/>
        </w:rPr>
        <w:t>Certains opérateurs publics comme l’UCLBP exercent une fonction importante en termes d’aménagement urbain, bien au-delà des questions d’habitat,</w:t>
      </w:r>
    </w:p>
    <w:p w14:paraId="00D7BB96" w14:textId="77777777" w:rsidR="005B2352" w:rsidRPr="00504DEE" w:rsidRDefault="005B2352" w:rsidP="00F70EF1">
      <w:pPr>
        <w:widowControl w:val="0"/>
        <w:numPr>
          <w:ilvl w:val="0"/>
          <w:numId w:val="9"/>
        </w:numPr>
        <w:suppressAutoHyphens/>
        <w:spacing w:before="0" w:after="120" w:line="276" w:lineRule="auto"/>
        <w:ind w:right="-52"/>
        <w:contextualSpacing/>
        <w:rPr>
          <w:bCs/>
        </w:rPr>
      </w:pPr>
      <w:r w:rsidRPr="00504DEE">
        <w:rPr>
          <w:bCs/>
        </w:rPr>
        <w:t>La DINEPA est amenée à concevoir certains schémas d’aménagement sur des territoires urbains qui ne sont pas planifiés,</w:t>
      </w:r>
    </w:p>
    <w:p w14:paraId="6F441480" w14:textId="77777777" w:rsidR="005B2352" w:rsidRDefault="005B2352" w:rsidP="00F70EF1">
      <w:pPr>
        <w:widowControl w:val="0"/>
        <w:numPr>
          <w:ilvl w:val="0"/>
          <w:numId w:val="9"/>
        </w:numPr>
        <w:suppressAutoHyphens/>
        <w:spacing w:before="0" w:after="120" w:line="276" w:lineRule="auto"/>
        <w:ind w:right="-52"/>
        <w:contextualSpacing/>
        <w:rPr>
          <w:bCs/>
        </w:rPr>
      </w:pPr>
      <w:r w:rsidRPr="00504DEE">
        <w:rPr>
          <w:bCs/>
        </w:rPr>
        <w:t xml:space="preserve">Certains maires ou groupements de communes peuvent entreprendre et concevoir des plans d’urbanisme puisque l’élaboration de ces documents fait partie de leur attribution. </w:t>
      </w:r>
    </w:p>
    <w:p w14:paraId="21D35662" w14:textId="77777777" w:rsidR="005B2352" w:rsidRPr="00504DEE" w:rsidRDefault="005B2352" w:rsidP="005B2352">
      <w:pPr>
        <w:widowControl w:val="0"/>
        <w:suppressAutoHyphens/>
        <w:spacing w:after="120"/>
        <w:ind w:left="720" w:right="-52"/>
        <w:contextualSpacing/>
        <w:rPr>
          <w:bCs/>
        </w:rPr>
      </w:pPr>
    </w:p>
    <w:p w14:paraId="43A5B190" w14:textId="34A3ED80" w:rsidR="005B2352" w:rsidRPr="00AC2C74" w:rsidRDefault="005B2352" w:rsidP="005B2352">
      <w:pPr>
        <w:spacing w:after="120"/>
        <w:ind w:right="-52"/>
        <w:rPr>
          <w:rFonts w:cs="Arial"/>
        </w:rPr>
      </w:pPr>
      <w:r w:rsidRPr="00AC2C74">
        <w:rPr>
          <w:bCs/>
        </w:rPr>
        <w:t xml:space="preserve">Si on s’en tient aux textes, </w:t>
      </w:r>
      <w:r w:rsidRPr="00AC2C74">
        <w:rPr>
          <w:rFonts w:cs="Arial"/>
        </w:rPr>
        <w:t>la DTP a une responsabilité majeure dans la conduite des opérations urbaines et en son sein le SPU détient un</w:t>
      </w:r>
      <w:r w:rsidR="004C23C7">
        <w:rPr>
          <w:rFonts w:cs="Arial"/>
        </w:rPr>
        <w:t>e fonction principale puisqu’il</w:t>
      </w:r>
      <w:r w:rsidR="00430A25">
        <w:rPr>
          <w:rFonts w:cs="Arial"/>
        </w:rPr>
        <w:t xml:space="preserve"> «</w:t>
      </w:r>
      <w:r w:rsidRPr="00AC2C74">
        <w:rPr>
          <w:rFonts w:cs="Arial"/>
          <w:i/>
        </w:rPr>
        <w:t xml:space="preserve"> établit les Schémas d’aménagement et les Plans directeurs pour les centres urbains et ruraux ; il établit les règlements d’urbanisme et les techniques de construction </w:t>
      </w:r>
      <w:r>
        <w:rPr>
          <w:rFonts w:cs="Arial"/>
          <w:i/>
        </w:rPr>
        <w:t xml:space="preserve">(…) </w:t>
      </w:r>
      <w:r w:rsidRPr="00AC2C74">
        <w:rPr>
          <w:rFonts w:cs="Arial"/>
          <w:i/>
        </w:rPr>
        <w:t>»</w:t>
      </w:r>
      <w:r w:rsidRPr="00AC2C74">
        <w:rPr>
          <w:rFonts w:cs="Arial"/>
        </w:rPr>
        <w:t>.</w:t>
      </w:r>
    </w:p>
    <w:p w14:paraId="4699B17C" w14:textId="77777777" w:rsidR="005B2352" w:rsidRPr="00AC2C74" w:rsidRDefault="005B2352" w:rsidP="005B2352">
      <w:pPr>
        <w:spacing w:after="120"/>
        <w:ind w:right="-52"/>
        <w:rPr>
          <w:rFonts w:cs="Arial"/>
        </w:rPr>
      </w:pPr>
      <w:r w:rsidRPr="00AC2C74">
        <w:rPr>
          <w:rFonts w:cs="Arial"/>
        </w:rPr>
        <w:t xml:space="preserve">L’attribution concernant les normes de construction, qui s’est particulièrement développée après le séisme, est maintenant portée par le Bureau Technique du Bâtiment (BTB). Le BTB, bien doté en personnel, est particulièrement actif au sein de la DTP mais ses attributions se limitent au bâti. </w:t>
      </w:r>
    </w:p>
    <w:p w14:paraId="113AC987" w14:textId="77777777" w:rsidR="005B2352" w:rsidRPr="00AC2C74" w:rsidRDefault="005B2352" w:rsidP="005B2352">
      <w:pPr>
        <w:spacing w:after="120"/>
        <w:ind w:right="-52"/>
        <w:rPr>
          <w:rFonts w:cs="Arial"/>
        </w:rPr>
      </w:pPr>
      <w:r w:rsidRPr="00AC2C74">
        <w:rPr>
          <w:rFonts w:cs="Arial"/>
        </w:rPr>
        <w:t xml:space="preserve">Parallèlement le Service du Génie urbain (SGU) couvre les domaines des infrastructures et de la voirie urbaine – dont l’essentiel concerne la zone métropolitaine. Ses fonctions partiellement dédiées à la conception et l’aménagement de nouveaux ouvrages, sont aussi consacrées pour une  large part à la réhabilitation et à la gestion de l’existant. C’est aussi le cas du Service d’Entretien des Equipements Urbains et Ruraux (SEEUR) qui gère directement la collecte des déchets et l’entretien des drains.   </w:t>
      </w:r>
    </w:p>
    <w:p w14:paraId="1751ED9A" w14:textId="77777777" w:rsidR="005B2352" w:rsidRPr="00AC2C74" w:rsidRDefault="005B2352" w:rsidP="005B2352">
      <w:pPr>
        <w:spacing w:after="120"/>
        <w:ind w:right="-52"/>
        <w:rPr>
          <w:rFonts w:cs="Arial"/>
        </w:rPr>
      </w:pPr>
      <w:r w:rsidRPr="00AC2C74">
        <w:rPr>
          <w:rFonts w:cs="Arial"/>
        </w:rPr>
        <w:t>Dans la réalité, le Service de la Planification Urbaine, dont l’effectif s’est peu à peu restreint par des départs successifs, est devenu le parent pauvre de la DTP. Il ne dispose plus que de cinq personnes dont deux responsables plus particulièrement actifs. L’une de ces deux personnes, assistée de collègues du BTB, s’occupe de l’instruction des permis de construire. Le SPU n’est pas en mesure de répondre à  des besoins de planification urbaine dont les contours, comme on l’a vu, sont mal définis. Les analyses en cours montrent qu’aucune entité institutionnelle n’est aujourd’hui en capacité de répondre à cette question. Si les communes détiennent l’autorité publique de la réalisation des plans d’urbanisme, elles n’en ont pas les moyens. L’assistance technique dont elles ont besoin fait elle aussi défaut. L’écart entre les besoins et la capacité réelle d’expertise est important. Si pour chacun des acteurs des textes fixent et délimitent des attributions, celles-ci ne sont plus aujourd’hui clairement lisibles dans la pratique. Même si la compétence dont on a besoin peut être déléguée à des prestatair</w:t>
      </w:r>
      <w:r>
        <w:rPr>
          <w:rFonts w:cs="Arial"/>
        </w:rPr>
        <w:t>es, elle doit être commanditée,</w:t>
      </w:r>
      <w:r w:rsidRPr="00AC2C74">
        <w:rPr>
          <w:rFonts w:cs="Arial"/>
        </w:rPr>
        <w:t xml:space="preserve"> coordonnée et supervisée. Or les moyens techniques et financiers, le statut des personnes et des institutions ne permettent pas de conduire de manière équilibrée la fonction de la planification urbaine. </w:t>
      </w:r>
    </w:p>
    <w:p w14:paraId="32721C06" w14:textId="3D14F135" w:rsidR="005B2352" w:rsidRDefault="005B2352" w:rsidP="005B2352">
      <w:pPr>
        <w:rPr>
          <w:rFonts w:cs="Arial"/>
        </w:rPr>
      </w:pPr>
      <w:r w:rsidRPr="00AC2C74">
        <w:rPr>
          <w:rFonts w:cs="Arial"/>
        </w:rPr>
        <w:t>L’insertion de la planification urbaine dans le dispositif institutionnel suppose un rééquilibrage des moyens affectés, tant au niveau central qu’au niveau local, à la hauteur de la fonction exercée.</w:t>
      </w:r>
    </w:p>
    <w:p w14:paraId="3F95AA97" w14:textId="77777777" w:rsidR="005B2352" w:rsidRDefault="005B2352" w:rsidP="005B2352">
      <w:pPr>
        <w:rPr>
          <w:rFonts w:cs="Arial"/>
        </w:rPr>
      </w:pPr>
    </w:p>
    <w:p w14:paraId="7A84BD58" w14:textId="77777777" w:rsidR="005B2352" w:rsidRPr="005E19C3" w:rsidRDefault="005B2352" w:rsidP="005B2352">
      <w:pPr>
        <w:pStyle w:val="Heading2"/>
        <w:rPr>
          <w:rFonts w:eastAsia="MS Gothic"/>
        </w:rPr>
      </w:pPr>
      <w:bookmarkStart w:id="12" w:name="_Toc468189933"/>
      <w:r w:rsidRPr="005E19C3">
        <w:rPr>
          <w:rFonts w:eastAsia="MS Gothic"/>
        </w:rPr>
        <w:t>Comment mettre la déconcentration au service de la décentralisation ?</w:t>
      </w:r>
      <w:bookmarkEnd w:id="12"/>
      <w:r w:rsidRPr="005E19C3">
        <w:rPr>
          <w:rFonts w:eastAsia="MS Gothic"/>
        </w:rPr>
        <w:t xml:space="preserve"> </w:t>
      </w:r>
    </w:p>
    <w:p w14:paraId="5160D0C7" w14:textId="77777777" w:rsidR="005B2352" w:rsidRPr="00AC2C74" w:rsidRDefault="005B2352" w:rsidP="005B2352">
      <w:pPr>
        <w:spacing w:after="120"/>
        <w:ind w:right="-52"/>
        <w:rPr>
          <w:b/>
          <w:bCs/>
        </w:rPr>
      </w:pPr>
      <w:r w:rsidRPr="00AC2C74">
        <w:rPr>
          <w:b/>
          <w:bCs/>
          <w:i/>
        </w:rPr>
        <w:t xml:space="preserve">Renforcer la capacité des agents territoriaux dont il faudra pérenniser le statut et le financement. </w:t>
      </w:r>
    </w:p>
    <w:p w14:paraId="0A364D38" w14:textId="77777777" w:rsidR="005B2352" w:rsidRPr="00AC2C74" w:rsidRDefault="005B2352" w:rsidP="005B2352">
      <w:pPr>
        <w:spacing w:after="120"/>
        <w:rPr>
          <w:rFonts w:cs="Arial"/>
        </w:rPr>
      </w:pPr>
      <w:r w:rsidRPr="00AC2C74">
        <w:rPr>
          <w:rFonts w:cs="Arial"/>
        </w:rPr>
        <w:t>L’une des préoccupations les plus marquées de la Direction des Collectivités Territoriales (DCT) est de pouvoir conforter l’autorité municipale dans son rôle de développeur, tout en lui assurant une capacité de réalisation qui lui fait aujourd’hui largement défaut.</w:t>
      </w:r>
    </w:p>
    <w:p w14:paraId="603D1889" w14:textId="77777777" w:rsidR="005B2352" w:rsidRPr="00AC2C74" w:rsidRDefault="005B2352" w:rsidP="005B2352">
      <w:pPr>
        <w:spacing w:after="120"/>
        <w:rPr>
          <w:rFonts w:cs="Arial"/>
        </w:rPr>
      </w:pPr>
      <w:r w:rsidRPr="00AC2C74">
        <w:rPr>
          <w:rFonts w:cs="Arial"/>
        </w:rPr>
        <w:t>L’échelon communal réunit l’essentiel des responsabilités de gouvernance urbaine et c’est à ce niveau que la DCT concentre une part des efforts pour développer les capacités municipales. Mais la délimitation du territoire communal cadre généralement mal avec celui de la ville. Dans le cas de la ZMPAP la ville couvre plusieurs communes, à l’opposé dans bien des communes</w:t>
      </w:r>
      <w:r>
        <w:rPr>
          <w:rFonts w:cs="Arial"/>
        </w:rPr>
        <w:t xml:space="preserve">, le chef-lieu, </w:t>
      </w:r>
      <w:r w:rsidRPr="00AC2C74">
        <w:rPr>
          <w:rFonts w:cs="Arial"/>
        </w:rPr>
        <w:t>trop petit</w:t>
      </w:r>
      <w:r>
        <w:rPr>
          <w:rFonts w:cs="Arial"/>
        </w:rPr>
        <w:t>,</w:t>
      </w:r>
      <w:r w:rsidRPr="00AC2C74">
        <w:rPr>
          <w:rFonts w:cs="Arial"/>
        </w:rPr>
        <w:t xml:space="preserve"> est concurrencé par d’autres agglomérations du territoire de la commune. Dans un cas comme dans l’autre les capacités dont dispose la commune ne sont pas à la hauteur des besoins. Pour pallier ces déficits on observe que de plus en plus de communes se regroupent en intercommunalité et mutualisent des moyens afin de résoudre ce décalage d’échelle entre le territoire communal et la ville.   </w:t>
      </w:r>
    </w:p>
    <w:p w14:paraId="22E32CA4" w14:textId="77777777" w:rsidR="005B2352" w:rsidRPr="00AC2C74" w:rsidRDefault="005B2352" w:rsidP="005B2352">
      <w:pPr>
        <w:spacing w:after="120"/>
        <w:rPr>
          <w:rFonts w:cs="Arial"/>
        </w:rPr>
      </w:pPr>
      <w:r w:rsidRPr="00AC2C74">
        <w:rPr>
          <w:rFonts w:cs="Arial"/>
        </w:rPr>
        <w:t>Les élus et le personnel technique municipal font ainsi partie des interlocuteurs avec lesquels le dialogue doit pouvoir s’engager, dialogue qui doit être encore conforté par une assistance technique et une gestion de l’information appropriées.</w:t>
      </w:r>
    </w:p>
    <w:p w14:paraId="00346680" w14:textId="77777777" w:rsidR="005B2352" w:rsidRPr="00AC2C74" w:rsidRDefault="005B2352" w:rsidP="005B2352">
      <w:pPr>
        <w:spacing w:after="120"/>
        <w:rPr>
          <w:rFonts w:cs="Arial"/>
        </w:rPr>
      </w:pPr>
      <w:r w:rsidRPr="00AC2C74">
        <w:rPr>
          <w:rFonts w:cs="Arial"/>
        </w:rPr>
        <w:t>Plusieurs expériences ont été tentées depuis une dizaine d’années pour trouver une solution qui permettrait d’ancrer et de développer une expertise technique d’appui  pour répondre aux diverses tâches que les  communes doivent réaliser :</w:t>
      </w:r>
    </w:p>
    <w:p w14:paraId="754CE495" w14:textId="77777777" w:rsidR="005B2352" w:rsidRPr="005E19C3" w:rsidRDefault="005B2352" w:rsidP="00F70EF1">
      <w:pPr>
        <w:widowControl w:val="0"/>
        <w:numPr>
          <w:ilvl w:val="0"/>
          <w:numId w:val="9"/>
        </w:numPr>
        <w:suppressAutoHyphens/>
        <w:spacing w:before="0" w:after="120" w:line="276" w:lineRule="auto"/>
        <w:ind w:right="-52"/>
        <w:contextualSpacing/>
        <w:rPr>
          <w:bCs/>
        </w:rPr>
      </w:pPr>
      <w:r>
        <w:rPr>
          <w:bCs/>
        </w:rPr>
        <w:t>L</w:t>
      </w:r>
      <w:r w:rsidRPr="005E19C3">
        <w:rPr>
          <w:bCs/>
        </w:rPr>
        <w:t xml:space="preserve">a constitution d’Agences Techniques Locales (10 territoires  - 7 sur la Métropole,  3 en Province, Jacmel, St Marc et Miragoane) du Programme PARLOQ, porté par UN Habitat, </w:t>
      </w:r>
    </w:p>
    <w:p w14:paraId="21EA2F27" w14:textId="77777777" w:rsidR="005B2352" w:rsidRPr="005E19C3" w:rsidRDefault="005B2352" w:rsidP="00F70EF1">
      <w:pPr>
        <w:widowControl w:val="0"/>
        <w:numPr>
          <w:ilvl w:val="0"/>
          <w:numId w:val="9"/>
        </w:numPr>
        <w:suppressAutoHyphens/>
        <w:spacing w:before="0" w:after="120" w:line="276" w:lineRule="auto"/>
        <w:ind w:right="-52"/>
        <w:contextualSpacing/>
        <w:rPr>
          <w:bCs/>
        </w:rPr>
      </w:pPr>
      <w:r>
        <w:rPr>
          <w:bCs/>
        </w:rPr>
        <w:t>L</w:t>
      </w:r>
      <w:r w:rsidRPr="005E19C3">
        <w:rPr>
          <w:bCs/>
        </w:rPr>
        <w:t>a formation d’ingénieurs municipaux (22, environ 2 par département) portée par le ST /</w:t>
      </w:r>
      <w:r>
        <w:rPr>
          <w:bCs/>
        </w:rPr>
        <w:t xml:space="preserve"> </w:t>
      </w:r>
      <w:r w:rsidRPr="005E19C3">
        <w:rPr>
          <w:bCs/>
        </w:rPr>
        <w:t>CIAT,</w:t>
      </w:r>
    </w:p>
    <w:p w14:paraId="301FB92B" w14:textId="77777777" w:rsidR="005B2352" w:rsidRPr="005E19C3" w:rsidRDefault="005B2352" w:rsidP="00F70EF1">
      <w:pPr>
        <w:widowControl w:val="0"/>
        <w:numPr>
          <w:ilvl w:val="0"/>
          <w:numId w:val="9"/>
        </w:numPr>
        <w:suppressAutoHyphens/>
        <w:spacing w:before="0" w:after="120" w:line="276" w:lineRule="auto"/>
        <w:ind w:right="-52"/>
        <w:contextualSpacing/>
        <w:rPr>
          <w:bCs/>
        </w:rPr>
      </w:pPr>
      <w:r>
        <w:rPr>
          <w:bCs/>
        </w:rPr>
        <w:t>L</w:t>
      </w:r>
      <w:r w:rsidRPr="005E19C3">
        <w:rPr>
          <w:bCs/>
        </w:rPr>
        <w:t>a formation et l’affectation de techniciens locaux placés à des postes clé dans le cadre des programmes d’intervention régionaux PINNE et PISUD portés par le MICT</w:t>
      </w:r>
      <w:r>
        <w:rPr>
          <w:bCs/>
        </w:rPr>
        <w:t>,</w:t>
      </w:r>
      <w:r w:rsidRPr="005E19C3">
        <w:rPr>
          <w:bCs/>
        </w:rPr>
        <w:t xml:space="preserve"> </w:t>
      </w:r>
    </w:p>
    <w:p w14:paraId="4C0F83D5" w14:textId="77777777" w:rsidR="005B2352" w:rsidRPr="005E19C3" w:rsidRDefault="005B2352" w:rsidP="00F70EF1">
      <w:pPr>
        <w:widowControl w:val="0"/>
        <w:numPr>
          <w:ilvl w:val="0"/>
          <w:numId w:val="9"/>
        </w:numPr>
        <w:suppressAutoHyphens/>
        <w:spacing w:before="0" w:after="120" w:line="276" w:lineRule="auto"/>
        <w:ind w:right="-52"/>
        <w:contextualSpacing/>
        <w:rPr>
          <w:bCs/>
        </w:rPr>
      </w:pPr>
      <w:r>
        <w:rPr>
          <w:bCs/>
        </w:rPr>
        <w:t>L</w:t>
      </w:r>
      <w:r w:rsidRPr="005E19C3">
        <w:rPr>
          <w:bCs/>
        </w:rPr>
        <w:t xml:space="preserve">e programme AGIL (Programme d’appui à la gouvernance et à l’investissement local) est lui aussi un programme alimenté par un fonds d’investissements mais qui sert de cadre d’expérimentation à l’exercice d‘une maitrise d’ouvrage locale sur la réalisation d’équipements ou d’ouvrages ponctuels,  </w:t>
      </w:r>
    </w:p>
    <w:p w14:paraId="0A415AB9" w14:textId="77777777" w:rsidR="005B2352" w:rsidRDefault="005B2352" w:rsidP="00F70EF1">
      <w:pPr>
        <w:widowControl w:val="0"/>
        <w:numPr>
          <w:ilvl w:val="0"/>
          <w:numId w:val="9"/>
        </w:numPr>
        <w:suppressAutoHyphens/>
        <w:spacing w:before="0" w:after="120" w:line="276" w:lineRule="auto"/>
        <w:ind w:right="-52"/>
        <w:contextualSpacing/>
        <w:rPr>
          <w:bCs/>
        </w:rPr>
      </w:pPr>
      <w:r>
        <w:rPr>
          <w:bCs/>
        </w:rPr>
        <w:t>Le</w:t>
      </w:r>
      <w:r w:rsidRPr="005E19C3">
        <w:rPr>
          <w:bCs/>
        </w:rPr>
        <w:t xml:space="preserve"> programme LOKAL est plus particulièrement axé sur le renforcement des capacités municipales et de leurs recettes fiscales. </w:t>
      </w:r>
    </w:p>
    <w:p w14:paraId="0842249B" w14:textId="77777777" w:rsidR="005B2352" w:rsidRPr="005E19C3" w:rsidRDefault="005B2352" w:rsidP="005B2352">
      <w:pPr>
        <w:widowControl w:val="0"/>
        <w:suppressAutoHyphens/>
        <w:spacing w:after="120"/>
        <w:ind w:left="720" w:right="-52"/>
        <w:contextualSpacing/>
        <w:rPr>
          <w:bCs/>
        </w:rPr>
      </w:pPr>
    </w:p>
    <w:p w14:paraId="6C830707" w14:textId="77777777" w:rsidR="005B2352" w:rsidRPr="00AC2C74" w:rsidRDefault="005B2352" w:rsidP="005B2352">
      <w:pPr>
        <w:spacing w:after="120"/>
        <w:rPr>
          <w:rFonts w:cs="Arial"/>
        </w:rPr>
      </w:pPr>
      <w:r w:rsidRPr="00AC2C74">
        <w:rPr>
          <w:rFonts w:cs="Arial"/>
        </w:rPr>
        <w:t>En définitive plusieurs questions se posent :</w:t>
      </w:r>
    </w:p>
    <w:p w14:paraId="79B184A3" w14:textId="77777777" w:rsidR="005B2352" w:rsidRPr="005E19C3" w:rsidRDefault="005B2352" w:rsidP="00F70EF1">
      <w:pPr>
        <w:widowControl w:val="0"/>
        <w:numPr>
          <w:ilvl w:val="0"/>
          <w:numId w:val="9"/>
        </w:numPr>
        <w:suppressAutoHyphens/>
        <w:spacing w:before="0" w:after="120" w:line="276" w:lineRule="auto"/>
        <w:ind w:right="-52"/>
        <w:contextualSpacing/>
        <w:rPr>
          <w:bCs/>
        </w:rPr>
      </w:pPr>
      <w:r w:rsidRPr="005E19C3">
        <w:rPr>
          <w:bCs/>
        </w:rPr>
        <w:t xml:space="preserve">A quelle échelle territoriale est-il plus pertinent de positionner l’appui technique ?  </w:t>
      </w:r>
    </w:p>
    <w:p w14:paraId="2A3A4D0A" w14:textId="77777777" w:rsidR="005B2352" w:rsidRPr="005E19C3" w:rsidRDefault="005B2352" w:rsidP="00F70EF1">
      <w:pPr>
        <w:widowControl w:val="0"/>
        <w:numPr>
          <w:ilvl w:val="0"/>
          <w:numId w:val="9"/>
        </w:numPr>
        <w:suppressAutoHyphens/>
        <w:spacing w:before="0" w:after="120" w:line="276" w:lineRule="auto"/>
        <w:ind w:right="-52"/>
        <w:contextualSpacing/>
        <w:rPr>
          <w:bCs/>
        </w:rPr>
      </w:pPr>
      <w:r w:rsidRPr="005E19C3">
        <w:rPr>
          <w:bCs/>
        </w:rPr>
        <w:t xml:space="preserve">Dans quel cadre administratif peut-il s’insérer ? </w:t>
      </w:r>
    </w:p>
    <w:p w14:paraId="19AA3ACC" w14:textId="77777777" w:rsidR="005B2352" w:rsidRPr="005E19C3" w:rsidRDefault="005B2352" w:rsidP="00F70EF1">
      <w:pPr>
        <w:widowControl w:val="0"/>
        <w:numPr>
          <w:ilvl w:val="0"/>
          <w:numId w:val="9"/>
        </w:numPr>
        <w:suppressAutoHyphens/>
        <w:spacing w:before="0" w:after="120" w:line="276" w:lineRule="auto"/>
        <w:ind w:right="-52"/>
        <w:contextualSpacing/>
        <w:rPr>
          <w:bCs/>
        </w:rPr>
      </w:pPr>
      <w:r w:rsidRPr="005E19C3">
        <w:rPr>
          <w:bCs/>
        </w:rPr>
        <w:t>Comment pérenniser le financement de ces postes ?</w:t>
      </w:r>
    </w:p>
    <w:p w14:paraId="329E667F" w14:textId="77777777" w:rsidR="005B2352" w:rsidRPr="005E19C3" w:rsidRDefault="005B2352" w:rsidP="00F70EF1">
      <w:pPr>
        <w:widowControl w:val="0"/>
        <w:numPr>
          <w:ilvl w:val="0"/>
          <w:numId w:val="9"/>
        </w:numPr>
        <w:suppressAutoHyphens/>
        <w:spacing w:before="0" w:after="120" w:line="276" w:lineRule="auto"/>
        <w:ind w:right="-52"/>
        <w:contextualSpacing/>
        <w:rPr>
          <w:bCs/>
        </w:rPr>
      </w:pPr>
      <w:r w:rsidRPr="005E19C3">
        <w:rPr>
          <w:bCs/>
        </w:rPr>
        <w:t xml:space="preserve">De quelles informations les communes ont-elles principalement besoin pour développer leur territoire et exercer leur fonction de maitrise d’ouvrage urbaine au niveau local ? </w:t>
      </w:r>
    </w:p>
    <w:p w14:paraId="01CEED6F" w14:textId="77777777" w:rsidR="005B2352" w:rsidRDefault="005B2352" w:rsidP="00F70EF1">
      <w:pPr>
        <w:widowControl w:val="0"/>
        <w:numPr>
          <w:ilvl w:val="0"/>
          <w:numId w:val="9"/>
        </w:numPr>
        <w:suppressAutoHyphens/>
        <w:spacing w:before="0" w:after="120" w:line="276" w:lineRule="auto"/>
        <w:ind w:right="-52"/>
        <w:contextualSpacing/>
        <w:rPr>
          <w:bCs/>
        </w:rPr>
      </w:pPr>
      <w:r w:rsidRPr="005E19C3">
        <w:rPr>
          <w:bCs/>
        </w:rPr>
        <w:t xml:space="preserve">Dans quelle mesure cette fonction peut–elle être exercée en direct, indirectement, déléguée  et/ou encadrée au niveau central ? </w:t>
      </w:r>
    </w:p>
    <w:p w14:paraId="7A775FE3" w14:textId="77777777" w:rsidR="005B2352" w:rsidRDefault="005B2352" w:rsidP="005B2352">
      <w:pPr>
        <w:widowControl w:val="0"/>
        <w:suppressAutoHyphens/>
        <w:spacing w:after="120"/>
        <w:ind w:right="-52"/>
        <w:contextualSpacing/>
        <w:rPr>
          <w:bCs/>
        </w:rPr>
      </w:pPr>
    </w:p>
    <w:p w14:paraId="6BBE31AD" w14:textId="3D5C3293" w:rsidR="005B2352" w:rsidRDefault="005B2352" w:rsidP="005B2352">
      <w:pPr>
        <w:rPr>
          <w:rFonts w:cs="Arial"/>
        </w:rPr>
      </w:pPr>
      <w:r w:rsidRPr="00F712F0">
        <w:rPr>
          <w:rFonts w:cs="Arial"/>
        </w:rPr>
        <w:t xml:space="preserve">La décentralisation des pouvoirs au niveau communal, pour qu’elle puisse s’exercer, notamment en matière de planification urbaine, doit s’appuyer sur de nouveaux relais pour obtenir l’information dont elle a besoin, et </w:t>
      </w:r>
      <w:r w:rsidR="004C23C7" w:rsidRPr="00F712F0">
        <w:rPr>
          <w:rFonts w:cs="Arial"/>
        </w:rPr>
        <w:t>au-delà</w:t>
      </w:r>
      <w:r w:rsidRPr="00F712F0">
        <w:rPr>
          <w:rFonts w:cs="Arial"/>
        </w:rPr>
        <w:t xml:space="preserve"> pour commanditer les études, les plans ou les ouvrages, afin d’orienter les processus d’urbanisation en cours.</w:t>
      </w:r>
    </w:p>
    <w:p w14:paraId="3DE748F2" w14:textId="77777777" w:rsidR="005B2352" w:rsidRDefault="005B2352" w:rsidP="005B2352"/>
    <w:p w14:paraId="62B419CE" w14:textId="77777777" w:rsidR="005B2352" w:rsidRPr="00F712F0" w:rsidRDefault="005B2352" w:rsidP="005B2352">
      <w:pPr>
        <w:pStyle w:val="Heading2"/>
        <w:rPr>
          <w:rFonts w:eastAsia="MS Gothic"/>
        </w:rPr>
      </w:pPr>
      <w:bookmarkStart w:id="13" w:name="_Toc468189934"/>
      <w:r w:rsidRPr="00F712F0">
        <w:rPr>
          <w:rFonts w:eastAsia="MS Gothic"/>
        </w:rPr>
        <w:t>Conclusion</w:t>
      </w:r>
      <w:bookmarkEnd w:id="13"/>
      <w:r w:rsidRPr="00F712F0">
        <w:rPr>
          <w:rFonts w:eastAsia="MS Gothic"/>
        </w:rPr>
        <w:t xml:space="preserve"> </w:t>
      </w:r>
    </w:p>
    <w:p w14:paraId="324EE73A" w14:textId="77777777" w:rsidR="005B2352" w:rsidRPr="00AC2C74" w:rsidRDefault="005B2352" w:rsidP="005B2352">
      <w:pPr>
        <w:ind w:right="418"/>
        <w:rPr>
          <w:bCs/>
        </w:rPr>
      </w:pPr>
      <w:r w:rsidRPr="00AC2C74">
        <w:rPr>
          <w:bCs/>
        </w:rPr>
        <w:t xml:space="preserve">L’ensemble des remarques établies à partir des questions exposées situe l’information sur l’urbain dans une réflexion plus large. Celle-ci ne peut être que concomitante à la conception des outils nécessaires à sa gestion. </w:t>
      </w:r>
    </w:p>
    <w:p w14:paraId="18096B6C" w14:textId="77777777" w:rsidR="005B2352" w:rsidRPr="00AC2C74" w:rsidRDefault="005B2352" w:rsidP="005B2352">
      <w:pPr>
        <w:ind w:right="418"/>
        <w:rPr>
          <w:bCs/>
        </w:rPr>
      </w:pPr>
      <w:r w:rsidRPr="00AC2C74">
        <w:rPr>
          <w:bCs/>
        </w:rPr>
        <w:t xml:space="preserve">La constitution d’une base documentaire renvoie nécessairement les différentes institutions impliquées à une définition commune de l’urbain et à une harmonisation sur le plan institutionnel des fonctions stratégiques, conceptuelles et opérationnelles du développement de ce secteur. Parmi les objectifs auxquels cette base devra répondre, la fonction de planification urbaine occupe une place centrale, car elle doit permettre d’orienter l’expansion des villes haïtiennes. La réflexion parallèle sur le choix d’une méthodologie appropriée qui s’applique aux démarches de planification pour les petites, moyennes ou grandes villes, doit permettre d’établir, sélectionner, classer et traiter les données utiles à cette fin. Les éléments constitutifs de cette base documentaire sont exposés dans le premier rapport qui propose des contenus en fonction des besoins des utilisateurs et/ou producteurs de données et soumet un cadre de gestion pour répondre aux obligations d’un partage et d’une circulation de l’information.    </w:t>
      </w:r>
    </w:p>
    <w:p w14:paraId="3C6ACF6C" w14:textId="77777777" w:rsidR="005B2352" w:rsidRPr="00AC2C74" w:rsidRDefault="005B2352" w:rsidP="005B2352">
      <w:pPr>
        <w:ind w:right="418"/>
        <w:rPr>
          <w:bCs/>
        </w:rPr>
      </w:pPr>
      <w:r w:rsidRPr="00AC2C74">
        <w:rPr>
          <w:bCs/>
        </w:rPr>
        <w:t>Par ailleurs la mise en place d’un cadre de suivi évaluation doit pouvoir s’appuyer aussi sur un ensemble d’informations, a</w:t>
      </w:r>
      <w:r>
        <w:rPr>
          <w:bCs/>
        </w:rPr>
        <w:t>fin non seulement de suivre le</w:t>
      </w:r>
      <w:r w:rsidRPr="00AC2C74">
        <w:rPr>
          <w:bCs/>
        </w:rPr>
        <w:t xml:space="preserve"> déroulement des opérations mais aussi de mettre en évidence les éléments de connaissance utiles et éventuellement manquants pour justifier et orienter des choix en matière de développement urbain.  </w:t>
      </w:r>
    </w:p>
    <w:p w14:paraId="68A43D1F" w14:textId="77777777" w:rsidR="005B2352" w:rsidRPr="00AC2C74" w:rsidRDefault="005B2352" w:rsidP="005B2352">
      <w:pPr>
        <w:ind w:right="418"/>
        <w:rPr>
          <w:bCs/>
        </w:rPr>
      </w:pPr>
      <w:r w:rsidRPr="00AC2C74">
        <w:rPr>
          <w:bCs/>
        </w:rPr>
        <w:t xml:space="preserve">Base documentaire et système de suivi évaluation sont deux composants de la gestion de l’information sur l’urbain qui doit faire aussi appel à un référentiel  méthodologique commun aux institutions pour la conduite des opérations et le montage de projets. Le deuxième rapport précise le cadre de la démarche de suivi évaluation suivant plusieurs niveaux allant de l’opérationnel au stratégique.   </w:t>
      </w:r>
    </w:p>
    <w:p w14:paraId="7FC9B4C3" w14:textId="30A31921" w:rsidR="005B2352" w:rsidRPr="00AC2C74" w:rsidRDefault="005B2352" w:rsidP="005B2352">
      <w:pPr>
        <w:ind w:right="418"/>
        <w:rPr>
          <w:bCs/>
        </w:rPr>
      </w:pPr>
      <w:r w:rsidRPr="00AC2C74">
        <w:rPr>
          <w:bCs/>
        </w:rPr>
        <w:t>Ces deux rapports préfigurent le besoin d’une</w:t>
      </w:r>
      <w:r w:rsidR="004C23C7">
        <w:rPr>
          <w:bCs/>
        </w:rPr>
        <w:t xml:space="preserve"> Base de Données Urbaines (BDU)</w:t>
      </w:r>
      <w:r w:rsidRPr="00AC2C74">
        <w:rPr>
          <w:bCs/>
        </w:rPr>
        <w:t xml:space="preserve"> beaucoup plus large, dont la vocation serait non seulement de collecter les données, mais aussi d’orienter les choix stratégiques et opérationnels à l’échelle du secteur et d’une politique urbaine pour Haïti. </w:t>
      </w:r>
    </w:p>
    <w:p w14:paraId="1218F678" w14:textId="5AAC4042" w:rsidR="005B2352" w:rsidRPr="00FB2DB2" w:rsidRDefault="005B2352" w:rsidP="00F70EF1">
      <w:pPr>
        <w:pStyle w:val="Heading1"/>
        <w:numPr>
          <w:ilvl w:val="0"/>
          <w:numId w:val="44"/>
        </w:numPr>
        <w:rPr>
          <w:rFonts w:eastAsia="MS Gothic"/>
        </w:rPr>
      </w:pPr>
      <w:bookmarkStart w:id="14" w:name="_Toc468189935"/>
      <w:r w:rsidRPr="00FB2DB2">
        <w:rPr>
          <w:rFonts w:eastAsia="MS Gothic"/>
        </w:rPr>
        <w:t>Rapport méthodologique proposant un cadre de suivi / évaluation du secteur urbain</w:t>
      </w:r>
      <w:bookmarkEnd w:id="14"/>
    </w:p>
    <w:p w14:paraId="698A1338" w14:textId="77777777" w:rsidR="005B2352" w:rsidRDefault="005B2352" w:rsidP="005B2352">
      <w:pPr>
        <w:sectPr w:rsidR="005B2352" w:rsidSect="00E2536C">
          <w:pgSz w:w="11900" w:h="16840"/>
          <w:pgMar w:top="851" w:right="1134" w:bottom="851" w:left="1134" w:header="708" w:footer="708" w:gutter="0"/>
          <w:cols w:space="708"/>
          <w:docGrid w:linePitch="360"/>
        </w:sectPr>
      </w:pPr>
    </w:p>
    <w:p w14:paraId="28448ED0" w14:textId="77777777" w:rsidR="005B2352" w:rsidRDefault="005B2352" w:rsidP="005B2352">
      <w:pPr>
        <w:pStyle w:val="Heading2"/>
        <w:rPr>
          <w:rFonts w:eastAsia="MS Gothic"/>
        </w:rPr>
      </w:pPr>
      <w:bookmarkStart w:id="15" w:name="_Toc468189936"/>
      <w:r>
        <w:rPr>
          <w:rFonts w:eastAsia="MS Gothic"/>
        </w:rPr>
        <w:t>Résumé exécutif</w:t>
      </w:r>
      <w:bookmarkEnd w:id="15"/>
      <w:r w:rsidRPr="00F712F0">
        <w:rPr>
          <w:rFonts w:eastAsia="MS Gothic"/>
        </w:rPr>
        <w:t xml:space="preserve"> </w:t>
      </w:r>
    </w:p>
    <w:p w14:paraId="692777E2" w14:textId="77777777" w:rsidR="005B2352" w:rsidRDefault="005B2352" w:rsidP="005B2352">
      <w:pPr>
        <w:pStyle w:val="Heading3"/>
      </w:pPr>
      <w:bookmarkStart w:id="16" w:name="_Toc468189937"/>
      <w:r w:rsidRPr="00735B5B">
        <w:t>Un niveau opérationnel immédiat</w:t>
      </w:r>
      <w:bookmarkEnd w:id="16"/>
    </w:p>
    <w:p w14:paraId="1733A5F8" w14:textId="77777777" w:rsidR="005B2352" w:rsidRDefault="005B2352" w:rsidP="005B2352">
      <w:r w:rsidRPr="00735B5B">
        <w:t xml:space="preserve">Les projets PARAQ ont montré la nécessité d’un </w:t>
      </w:r>
      <w:r w:rsidRPr="001C4E60">
        <w:rPr>
          <w:b/>
        </w:rPr>
        <w:t>cadre concerté et harmonisé de suivi des résultats</w:t>
      </w:r>
      <w:r>
        <w:t xml:space="preserve"> </w:t>
      </w:r>
      <w:r w:rsidRPr="001C4E60">
        <w:rPr>
          <w:b/>
        </w:rPr>
        <w:t>des projets</w:t>
      </w:r>
      <w:r>
        <w:t>. L’</w:t>
      </w:r>
      <w:r w:rsidRPr="00735B5B">
        <w:t>U</w:t>
      </w:r>
      <w:r>
        <w:t xml:space="preserve">nion </w:t>
      </w:r>
      <w:r w:rsidRPr="00735B5B">
        <w:t>E</w:t>
      </w:r>
      <w:r>
        <w:t>uropéenne, partenaire financier de cette initiative a tenté de</w:t>
      </w:r>
      <w:r w:rsidRPr="00735B5B">
        <w:t xml:space="preserve"> de mettre en place des indicateurs</w:t>
      </w:r>
      <w:r>
        <w:t xml:space="preserve"> de suivi mais faute d’unicité de langage et de directives claires données aux opérateurs au démarrage de leur projet, cet exercice s’est révélé être très difficile voir peu fiable tant la diversité des définitions utilisées par chacun est forte. </w:t>
      </w:r>
    </w:p>
    <w:p w14:paraId="3372C6EE" w14:textId="77777777" w:rsidR="005B2352" w:rsidRDefault="005B2352" w:rsidP="005B2352">
      <w:r w:rsidRPr="00E01B7A">
        <w:t>A l’époque du PARAQ, le suivi était de faire en sorte que les opérateurs préalablement sélectionnés sur appel à projet</w:t>
      </w:r>
      <w:r w:rsidRPr="00E01B7A">
        <w:rPr>
          <w:rStyle w:val="FootnoteReference"/>
        </w:rPr>
        <w:footnoteReference w:id="13"/>
      </w:r>
      <w:r w:rsidRPr="00E01B7A">
        <w:t>, puissent-être encadrés par l</w:t>
      </w:r>
      <w:r>
        <w:t xml:space="preserve">’administration centrale </w:t>
      </w:r>
      <w:r w:rsidRPr="00E01B7A">
        <w:t xml:space="preserve">à défaut d’une maitrise d’ouvrage locale forte. Ainsi </w:t>
      </w:r>
      <w:r w:rsidRPr="00615D4B">
        <w:t xml:space="preserve">un Comité Technique a été mis sur </w:t>
      </w:r>
      <w:r w:rsidRPr="00E01B7A">
        <w:t>pied en 2013 afin de garantir que l’élaboration des schémas suive les dispositions méthodologiques consignées dans le document « Réhabilitation de quartiers : Guide du Professionnel - les étapes de la planification urbaine »</w:t>
      </w:r>
      <w:r w:rsidRPr="00E01B7A">
        <w:rPr>
          <w:rStyle w:val="FootnoteReference"/>
        </w:rPr>
        <w:footnoteReference w:id="14"/>
      </w:r>
      <w:r w:rsidRPr="00E01B7A">
        <w:t>. La valid</w:t>
      </w:r>
      <w:r>
        <w:t>ation du schéma d’aménagement é</w:t>
      </w:r>
      <w:r w:rsidRPr="00E01B7A">
        <w:t>t</w:t>
      </w:r>
      <w:r>
        <w:t>ant</w:t>
      </w:r>
      <w:r w:rsidRPr="00E01B7A">
        <w:t xml:space="preserve"> une étape obligatoire (théoriquement) pour le démarrage des travaux.</w:t>
      </w:r>
    </w:p>
    <w:p w14:paraId="554655E7" w14:textId="77777777" w:rsidR="005B2352" w:rsidRPr="0037109E" w:rsidRDefault="005B2352" w:rsidP="005B2352">
      <w:r>
        <w:t>Actuellement, la logique post-urgence qui a permis de poser les</w:t>
      </w:r>
      <w:r w:rsidRPr="009F3D2D">
        <w:t xml:space="preserve"> premières</w:t>
      </w:r>
      <w:r>
        <w:t xml:space="preserve"> bases d’une vision stratégique du développement urbain en Haïti laisse la place à un besoin d’ancrage fort de cette méthodologie d’intervention au cœur de l’administration publique.</w:t>
      </w:r>
    </w:p>
    <w:p w14:paraId="065A56AA" w14:textId="77777777" w:rsidR="005B2352" w:rsidRPr="0037109E" w:rsidRDefault="005B2352" w:rsidP="005B2352">
      <w:pPr>
        <w:rPr>
          <w:i/>
        </w:rPr>
      </w:pPr>
      <w:r w:rsidRPr="0037109E">
        <w:t xml:space="preserve">Les conclusions du rapport </w:t>
      </w:r>
      <w:r w:rsidRPr="00E01B7A">
        <w:rPr>
          <w:i/>
        </w:rPr>
        <w:t>« Etat des lieux institutionnel pour le secteur de l’aménagement urbain incluant l'habitat/logement et le développement urbain en Haïti</w:t>
      </w:r>
      <w:r>
        <w:rPr>
          <w:rStyle w:val="FootnoteReference"/>
          <w:i/>
        </w:rPr>
        <w:footnoteReference w:id="15"/>
      </w:r>
      <w:r w:rsidRPr="00E01B7A">
        <w:rPr>
          <w:i/>
        </w:rPr>
        <w:t> »</w:t>
      </w:r>
      <w:r w:rsidRPr="0081539A">
        <w:t xml:space="preserve"> </w:t>
      </w:r>
      <w:r w:rsidRPr="0037109E">
        <w:t xml:space="preserve">insistent sur le besoin de </w:t>
      </w:r>
      <w:r w:rsidRPr="0037109E">
        <w:rPr>
          <w:i/>
        </w:rPr>
        <w:t>« Réactiver les fonctions clefs du Service de Planification Urbaine du MTPTC, autant sur la planification urbaine (élaboration et suivi des documents de vision de territoire) que sur la gestion urbaine (instruction des permis de lotir et de construire). »</w:t>
      </w:r>
    </w:p>
    <w:p w14:paraId="52BB5FC5" w14:textId="32148B7B" w:rsidR="005B2352" w:rsidRDefault="005B2352" w:rsidP="005B2352">
      <w:r w:rsidRPr="0037109E">
        <w:t xml:space="preserve">Ainsi, et suite aux différents entretiens réalisés avec les institutions nous proposons dans le cadre de ce rapport de regarder quelles pourraient être les activités de suivi à la portée du SPU, afin qu’il reprenne, petit à petit, son rôle de </w:t>
      </w:r>
      <w:r w:rsidRPr="0037109E">
        <w:rPr>
          <w:i/>
        </w:rPr>
        <w:t xml:space="preserve">« contrôle de la mise en œuvre de la planification urbaine », </w:t>
      </w:r>
      <w:r w:rsidRPr="0037109E">
        <w:t>non seulement par le biais des permis de construire, mais aussi et surtout par le biais du sui</w:t>
      </w:r>
      <w:r w:rsidR="005F401E">
        <w:t>vi de la planification urbaine pour les 2 outils reconnus en planification urbaine, à savoir les schémas d’aménagement de quartier et les Plans Communaux de développement.</w:t>
      </w:r>
    </w:p>
    <w:p w14:paraId="7955E241" w14:textId="77777777" w:rsidR="005B2352" w:rsidRDefault="005B2352" w:rsidP="005B2352">
      <w:r w:rsidRPr="0037109E">
        <w:t xml:space="preserve">En l’absence de politique publique sur l’urbain, la reconstruction a été un laboratoire de la planification urbaine, principalement dans la zone métropolitaine de Port-au-Prince, tout en faisant émerger des dynamiques dans d’autres villes de province. </w:t>
      </w:r>
    </w:p>
    <w:p w14:paraId="6ED5C1B6" w14:textId="77777777" w:rsidR="005B2352" w:rsidRPr="0037109E" w:rsidRDefault="005B2352" w:rsidP="005B2352"/>
    <w:p w14:paraId="197544C0" w14:textId="77777777" w:rsidR="005B2352" w:rsidRPr="005B2352" w:rsidRDefault="005B2352" w:rsidP="00F70EF1">
      <w:pPr>
        <w:pStyle w:val="ListParagraph"/>
        <w:numPr>
          <w:ilvl w:val="0"/>
          <w:numId w:val="11"/>
        </w:numPr>
        <w:spacing w:before="0" w:after="200"/>
        <w:ind w:left="2835"/>
        <w:rPr>
          <w:b/>
          <w:i/>
          <w:color w:val="0070C0"/>
        </w:rPr>
      </w:pPr>
      <w:r w:rsidRPr="005B2352">
        <w:rPr>
          <w:b/>
          <w:color w:val="0070C0"/>
        </w:rPr>
        <w:t xml:space="preserve">Cette analyse et ces propositions sont reprises dans le paragraphe </w:t>
      </w:r>
      <w:r w:rsidRPr="005B2352">
        <w:rPr>
          <w:b/>
          <w:i/>
          <w:color w:val="0070C0"/>
        </w:rPr>
        <w:t>« Niveau 1 : le suivi opérationnel des projets, leçons tirées des projets PARAQ ».</w:t>
      </w:r>
    </w:p>
    <w:p w14:paraId="0D9E912A" w14:textId="77777777" w:rsidR="005B2352" w:rsidRPr="005B2352" w:rsidRDefault="005B2352" w:rsidP="005B2352"/>
    <w:p w14:paraId="32CC5A24" w14:textId="77777777" w:rsidR="005B2352" w:rsidRPr="00735B5B" w:rsidRDefault="005B2352" w:rsidP="00F927A2">
      <w:pPr>
        <w:pStyle w:val="Heading3"/>
        <w:pageBreakBefore/>
      </w:pPr>
      <w:bookmarkStart w:id="17" w:name="_Toc468189938"/>
      <w:r w:rsidRPr="00735B5B">
        <w:t xml:space="preserve">Un niveau </w:t>
      </w:r>
      <w:r>
        <w:t>stratégique, à moyen terme pour alimenter une vision stratégique</w:t>
      </w:r>
      <w:bookmarkEnd w:id="17"/>
    </w:p>
    <w:p w14:paraId="0CE0996F" w14:textId="77777777" w:rsidR="005B2352" w:rsidRPr="0037109E" w:rsidRDefault="005B2352" w:rsidP="005B2352">
      <w:r w:rsidRPr="0037109E">
        <w:t xml:space="preserve">Au cours des entretiens avec les différentes institutions rencontrées durant cette mission, le besoin d’un </w:t>
      </w:r>
      <w:r w:rsidRPr="001C4E60">
        <w:rPr>
          <w:b/>
        </w:rPr>
        <w:t>cadre normé de référence de suivi du fait urbain est apparu</w:t>
      </w:r>
      <w:r w:rsidRPr="0037109E">
        <w:t>. Il s’agit, d’un point de vue opérationnel et d’après les éléments recueillis de :</w:t>
      </w:r>
    </w:p>
    <w:p w14:paraId="1F6AF6B7" w14:textId="77777777" w:rsidR="005B2352" w:rsidRPr="0037109E" w:rsidRDefault="005B2352" w:rsidP="00F70EF1">
      <w:pPr>
        <w:pStyle w:val="ListParagraph"/>
        <w:numPr>
          <w:ilvl w:val="0"/>
          <w:numId w:val="12"/>
        </w:numPr>
        <w:spacing w:before="0" w:after="200"/>
      </w:pPr>
      <w:r w:rsidRPr="0037109E">
        <w:t>Faire converger les acteurs vers l’utilisation d’une terminologie commune : les acteurs utilisent parfois les mêmes termes, mais chacun en a sa propre définition, qui correspond à sa propre visée opérationnelle ;</w:t>
      </w:r>
    </w:p>
    <w:p w14:paraId="65879794" w14:textId="77777777" w:rsidR="005B2352" w:rsidRPr="00615D4B" w:rsidRDefault="005B2352" w:rsidP="00F70EF1">
      <w:pPr>
        <w:pStyle w:val="ListParagraph"/>
        <w:numPr>
          <w:ilvl w:val="0"/>
          <w:numId w:val="12"/>
        </w:numPr>
        <w:spacing w:before="0" w:after="200"/>
      </w:pPr>
      <w:r w:rsidRPr="0037109E">
        <w:t xml:space="preserve">Identifier des indicateurs pertinents et objectivement vérifiables permettant d’alimenter les discussions sur la définition des politiques publiques/orientations stratégiques quant au développement </w:t>
      </w:r>
      <w:r w:rsidRPr="00615D4B">
        <w:t>urbain ou à des sous-secteurs clefs ;</w:t>
      </w:r>
    </w:p>
    <w:p w14:paraId="1DCF0573" w14:textId="77777777" w:rsidR="005B2352" w:rsidRPr="00615D4B" w:rsidRDefault="005B2352" w:rsidP="00F70EF1">
      <w:pPr>
        <w:pStyle w:val="ListParagraph"/>
        <w:numPr>
          <w:ilvl w:val="0"/>
          <w:numId w:val="12"/>
        </w:numPr>
        <w:spacing w:before="0" w:after="200"/>
      </w:pPr>
      <w:r w:rsidRPr="00615D4B">
        <w:t>Etablir de fait des bases de données fiables nécessaires aux calculs des indicateurs, en compilant les données existantes, ou bien en complétant les données manquantes.</w:t>
      </w:r>
    </w:p>
    <w:p w14:paraId="2A10C9D8" w14:textId="77777777" w:rsidR="005B2352" w:rsidRPr="00615D4B" w:rsidRDefault="005B2352" w:rsidP="005B2352">
      <w:r w:rsidRPr="00615D4B">
        <w:t>L’expression de ces besoins se rattache aux réflexions menées par différents pays / villes afin de suivre la mise en œuvre du 11</w:t>
      </w:r>
      <w:r w:rsidRPr="00615D4B">
        <w:rPr>
          <w:vertAlign w:val="superscript"/>
        </w:rPr>
        <w:t>ème</w:t>
      </w:r>
      <w:r w:rsidRPr="00615D4B">
        <w:t xml:space="preserve"> Objectif du Millénaire pour le Développement (OMD), à savoir « améliorer sensiblement les conditions de vie des 100 millions d’habitants de bidonvilles d’ici à 2020 ».</w:t>
      </w:r>
    </w:p>
    <w:p w14:paraId="611C3EBB" w14:textId="1A32C433" w:rsidR="005B2352" w:rsidRPr="0037109E" w:rsidRDefault="005B2352" w:rsidP="005B2352">
      <w:r w:rsidRPr="00615D4B">
        <w:t xml:space="preserve">Les discussions menées à ce jour avec les institutions du secteur, n’ont pas permis d’ancrer ces réflexions sur un territoire particulier : les institutions haïtiennes </w:t>
      </w:r>
      <w:r>
        <w:t>souhaitent-elles</w:t>
      </w:r>
      <w:r w:rsidRPr="0037109E">
        <w:t xml:space="preserve"> que cette démarche soit appliquée à tous territoires urbains d’Haïti ? Souhaitons-nous centrer cette démarche sur la Zone Métropolitaine de Port-au-Prince (ZMPP)</w:t>
      </w:r>
      <w:r>
        <w:t xml:space="preserve">, sur une zone d’influence plus réduite mais à fort enjeux - </w:t>
      </w:r>
      <w:r w:rsidRPr="00615D4B">
        <w:t>par exemple</w:t>
      </w:r>
      <w:r>
        <w:t xml:space="preserve"> Cap </w:t>
      </w:r>
      <w:r w:rsidR="004C23C7">
        <w:t>Haïtien</w:t>
      </w:r>
      <w:r w:rsidRPr="0037109E">
        <w:t> ?</w:t>
      </w:r>
    </w:p>
    <w:p w14:paraId="139F6EEB" w14:textId="77777777" w:rsidR="005B2352" w:rsidRDefault="005B2352" w:rsidP="005B2352">
      <w:pPr>
        <w:keepNext/>
        <w:keepLines/>
      </w:pPr>
      <w:r w:rsidRPr="0037109E">
        <w:t xml:space="preserve">Le temps disponible dans le cadre de la prestation du PAIFU : Gestion de l’information urbaine ne permet pas d’aller très loin dans l’approfondissement des besoins, </w:t>
      </w:r>
      <w:r>
        <w:t>ni de l’usage souhaité, préalable indispensable à l’élaboration de la démarche de construction d’une base de données urbaine : Sommes-nous d’accord pour partager des informations ? Quelles informations seront utiles ? Que souhaitons-nous être : un simple récepteur/émetteur d’une information existante, un récepteur/producteur de données qui facilite la prise à la décision concernant les stratégies de développement urbain du pays ?</w:t>
      </w:r>
    </w:p>
    <w:p w14:paraId="666EDED2" w14:textId="77777777" w:rsidR="005B2352" w:rsidRDefault="005B2352" w:rsidP="005B2352">
      <w:pPr>
        <w:keepNext/>
        <w:keepLines/>
      </w:pPr>
      <w:r>
        <w:t>N</w:t>
      </w:r>
      <w:r w:rsidRPr="0037109E">
        <w:t>éanmoins nous avons tenté de présenter dans le cadre de ce document, le déroulé logique de la méthodologie permettant la mise en place d’une Base de Données Urbaines (BDU) et d’un cadre de concertation/observatoire qui serait à même d’animer la collecte, l’analyse puis la diffusion des informations produites. Nous avons également illustré les différentes phases par des exemples tirés des expériences en la matière d’autres pays, en fonction des informations disponibles.</w:t>
      </w:r>
    </w:p>
    <w:p w14:paraId="466719FF" w14:textId="77777777" w:rsidR="005B2352" w:rsidRPr="0037109E" w:rsidRDefault="005B2352" w:rsidP="005B2352">
      <w:pPr>
        <w:keepNext/>
        <w:keepLines/>
      </w:pPr>
    </w:p>
    <w:p w14:paraId="7C5D2134" w14:textId="77777777" w:rsidR="005B2352" w:rsidRDefault="005B2352" w:rsidP="00F70EF1">
      <w:pPr>
        <w:pStyle w:val="ListParagraph"/>
        <w:numPr>
          <w:ilvl w:val="0"/>
          <w:numId w:val="11"/>
        </w:numPr>
        <w:spacing w:before="0" w:after="200"/>
        <w:ind w:left="2835"/>
        <w:rPr>
          <w:b/>
          <w:i/>
          <w:color w:val="0070C0"/>
        </w:rPr>
      </w:pPr>
      <w:r w:rsidRPr="005B2352">
        <w:rPr>
          <w:b/>
          <w:i/>
          <w:color w:val="0070C0"/>
        </w:rPr>
        <w:t xml:space="preserve">Cette analyse et ces propositions méthodologiques sont reprises dans le paragraphe « Niveau 2 : un suivi qui alimente les discussions stratégiques sur l’urbain, vers une Base de Données Urbaines ». </w:t>
      </w:r>
    </w:p>
    <w:p w14:paraId="511035F3" w14:textId="77777777" w:rsidR="005B2352" w:rsidRPr="005B2352" w:rsidRDefault="005B2352" w:rsidP="005B2352">
      <w:pPr>
        <w:keepNext/>
        <w:keepLines/>
      </w:pPr>
    </w:p>
    <w:p w14:paraId="749AAF9C" w14:textId="77777777" w:rsidR="005B2352" w:rsidRPr="00735B5B" w:rsidRDefault="005B2352" w:rsidP="00F927A2">
      <w:pPr>
        <w:pStyle w:val="Heading3"/>
        <w:pageBreakBefore/>
      </w:pPr>
      <w:bookmarkStart w:id="18" w:name="_Toc468189939"/>
      <w:r>
        <w:t>Un niveau politico –institutionnel vers une politique nationale urbaine</w:t>
      </w:r>
      <w:bookmarkEnd w:id="18"/>
    </w:p>
    <w:p w14:paraId="2B0A3B10" w14:textId="77777777" w:rsidR="005B2352" w:rsidRDefault="005B2352" w:rsidP="005B2352">
      <w:r w:rsidRPr="0037109E">
        <w:t>Le 3</w:t>
      </w:r>
      <w:r w:rsidRPr="0037109E">
        <w:rPr>
          <w:vertAlign w:val="superscript"/>
        </w:rPr>
        <w:t>ème</w:t>
      </w:r>
      <w:r w:rsidRPr="0037109E">
        <w:t xml:space="preserve"> besoin énoncé par les institutions rencontrées dans le cadre de la prestation, et plus spécifiquement par le ST/CIAT est d’identifier des indicateurs simples, sur le modèle des indicateurs mis en place dans le cadre du Fonds d’Investissements pour le Climat permettant de mesurer l’évolution du poids du secteur de l’Urbain dans les politiques publiques en Haïti (à différentes échelles). Cette demande s’éloigne </w:t>
      </w:r>
      <w:r>
        <w:t>cependant</w:t>
      </w:r>
      <w:r w:rsidRPr="0037109E">
        <w:t xml:space="preserve"> de la dimension opérationnelle ou stratégique énoncées plus haut.  </w:t>
      </w:r>
    </w:p>
    <w:p w14:paraId="4288A343" w14:textId="77777777" w:rsidR="005B2352" w:rsidRPr="0037109E" w:rsidRDefault="005B2352" w:rsidP="005B2352"/>
    <w:p w14:paraId="271434E7" w14:textId="0EEC2200" w:rsidR="005B2352" w:rsidRDefault="005B2352" w:rsidP="00F70EF1">
      <w:pPr>
        <w:pStyle w:val="ListParagraph"/>
        <w:numPr>
          <w:ilvl w:val="0"/>
          <w:numId w:val="11"/>
        </w:numPr>
        <w:spacing w:before="0" w:after="200"/>
        <w:ind w:left="2835"/>
        <w:rPr>
          <w:b/>
          <w:i/>
          <w:color w:val="0070C0"/>
        </w:rPr>
      </w:pPr>
      <w:r w:rsidRPr="005B2352">
        <w:rPr>
          <w:b/>
          <w:i/>
          <w:color w:val="0070C0"/>
        </w:rPr>
        <w:t>Bien qu’a la marge de la prestation, une ébauche de propositions concernant le suivi macro du secteur urbain est proposée dans le paragraphe « Niveau 3 : Définition de d’indicateurs clefs pour le développement urbain en Haïti »</w:t>
      </w:r>
    </w:p>
    <w:p w14:paraId="23BC335E" w14:textId="2E652610" w:rsidR="005B2352" w:rsidRDefault="00607A57" w:rsidP="00607A57">
      <w:pPr>
        <w:pStyle w:val="Heading2"/>
      </w:pPr>
      <w:bookmarkStart w:id="19" w:name="_Toc468189940"/>
      <w:r w:rsidRPr="00607A57">
        <w:t>Introduction – objectifs de la mission</w:t>
      </w:r>
      <w:bookmarkEnd w:id="19"/>
    </w:p>
    <w:p w14:paraId="6428C600" w14:textId="77777777" w:rsidR="00607A57" w:rsidRPr="0037109E" w:rsidRDefault="00607A57" w:rsidP="00607A57">
      <w:pPr>
        <w:tabs>
          <w:tab w:val="left" w:pos="0"/>
        </w:tabs>
        <w:rPr>
          <w:i/>
        </w:rPr>
      </w:pPr>
      <w:r w:rsidRPr="0037109E">
        <w:rPr>
          <w:i/>
        </w:rPr>
        <w:t>La conception d’un cadre de suivi évaluation te</w:t>
      </w:r>
      <w:r w:rsidRPr="00845B8F">
        <w:rPr>
          <w:i/>
        </w:rPr>
        <w:t>ll</w:t>
      </w:r>
      <w:r w:rsidRPr="00B92A27">
        <w:rPr>
          <w:i/>
        </w:rPr>
        <w:t>e que formulé</w:t>
      </w:r>
      <w:r w:rsidRPr="00646CAE">
        <w:rPr>
          <w:i/>
        </w:rPr>
        <w:t xml:space="preserve">e dans les TDR, s’inscrit dans </w:t>
      </w:r>
      <w:r w:rsidRPr="00B22924">
        <w:rPr>
          <w:i/>
        </w:rPr>
        <w:t>un cadre qui doit être concerté</w:t>
      </w:r>
      <w:r w:rsidRPr="00E805BB">
        <w:rPr>
          <w:i/>
        </w:rPr>
        <w:t>. La formalisation de ce cadre en un protocole d’accord, n’a cependant pas pu aboutir dans le</w:t>
      </w:r>
      <w:r w:rsidRPr="0037109E">
        <w:rPr>
          <w:i/>
        </w:rPr>
        <w:t xml:space="preserve"> 1</w:t>
      </w:r>
      <w:r w:rsidRPr="0037109E">
        <w:rPr>
          <w:i/>
          <w:vertAlign w:val="superscript"/>
        </w:rPr>
        <w:t>er</w:t>
      </w:r>
      <w:r w:rsidRPr="0037109E">
        <w:rPr>
          <w:i/>
        </w:rPr>
        <w:t xml:space="preserve"> trimestre 2016. La démarche à suivre pour le consultant sera de maintenir le principe d’un dialogue sectoriel formulé dans les TDR, en proposant l’organisation effective d’un cadre de concertation in situ, et de partir des fonctions et responsabilités de chaque institution.</w:t>
      </w:r>
    </w:p>
    <w:p w14:paraId="0B40E8A9" w14:textId="77777777" w:rsidR="00607A57" w:rsidRPr="0037109E" w:rsidRDefault="00607A57" w:rsidP="00607A57">
      <w:pPr>
        <w:tabs>
          <w:tab w:val="left" w:pos="0"/>
        </w:tabs>
        <w:rPr>
          <w:b/>
          <w:u w:val="single"/>
        </w:rPr>
      </w:pPr>
    </w:p>
    <w:p w14:paraId="542A5C22" w14:textId="77777777" w:rsidR="00607A57" w:rsidRDefault="00607A57" w:rsidP="00607A57">
      <w:r>
        <w:t xml:space="preserve">La mission relative au suivi évaluation consiste à </w:t>
      </w:r>
      <w:r w:rsidRPr="004B1054">
        <w:t>« poser les jalons d’un système basé sur une élaboration concertée avec une vision réaliste et évolutive ».</w:t>
      </w:r>
      <w:r>
        <w:t xml:space="preserve"> Ainsi et pour répondre à cette demande, le consultant a réalisé 2 missions afin de rencontrer les parties prenantes du secteur pour :</w:t>
      </w:r>
    </w:p>
    <w:p w14:paraId="781D5BCA" w14:textId="77777777" w:rsidR="00607A57" w:rsidRDefault="00607A57" w:rsidP="00F70EF1">
      <w:pPr>
        <w:pStyle w:val="ListParagraph"/>
        <w:numPr>
          <w:ilvl w:val="0"/>
          <w:numId w:val="14"/>
        </w:numPr>
        <w:spacing w:before="0" w:after="200"/>
      </w:pPr>
      <w:r w:rsidRPr="00904D90">
        <w:t>Délimiter l’objet du suivi-</w:t>
      </w:r>
      <w:r w:rsidRPr="00615D4B">
        <w:t>évaluation : l’urbain, qui est lui-même un concept non légalement défini en Haiti avec de nombreuses acceptations fonctionnelles</w:t>
      </w:r>
      <w:r w:rsidRPr="00E079DD">
        <w:rPr>
          <w:color w:val="FF0000"/>
        </w:rPr>
        <w:t>,</w:t>
      </w:r>
      <w:r>
        <w:t xml:space="preserve"> tel que souligné dans l’étude pour l’identification et la formulation du programme de développement urbain du 11</w:t>
      </w:r>
      <w:r w:rsidRPr="0098749D">
        <w:rPr>
          <w:vertAlign w:val="superscript"/>
        </w:rPr>
        <w:t>ème</w:t>
      </w:r>
      <w:r>
        <w:t xml:space="preserve"> FED</w:t>
      </w:r>
      <w:r>
        <w:rPr>
          <w:rStyle w:val="FootnoteReference"/>
        </w:rPr>
        <w:footnoteReference w:id="16"/>
      </w:r>
      <w:r>
        <w:t>,</w:t>
      </w:r>
    </w:p>
    <w:p w14:paraId="1957539D" w14:textId="77777777" w:rsidR="00607A57" w:rsidRDefault="00607A57" w:rsidP="00F70EF1">
      <w:pPr>
        <w:pStyle w:val="ListParagraph"/>
        <w:numPr>
          <w:ilvl w:val="0"/>
          <w:numId w:val="14"/>
        </w:numPr>
        <w:spacing w:before="0" w:after="200"/>
      </w:pPr>
      <w:r>
        <w:t>Identifier le(s) type(s) de suivi-évaluation possible à mettre en place en tenant compte des ressources disponible au MTPTC,</w:t>
      </w:r>
    </w:p>
    <w:p w14:paraId="462F71FF" w14:textId="77777777" w:rsidR="00607A57" w:rsidRDefault="00607A57" w:rsidP="00F70EF1">
      <w:pPr>
        <w:pStyle w:val="ListParagraph"/>
        <w:numPr>
          <w:ilvl w:val="0"/>
          <w:numId w:val="14"/>
        </w:numPr>
        <w:spacing w:before="0" w:after="200"/>
      </w:pPr>
      <w:r>
        <w:t>Identifier le(s) type(s) de suivi-évaluation possible à mettre en place en tenant compte des demandes des institutions concernées,</w:t>
      </w:r>
    </w:p>
    <w:p w14:paraId="253513D0" w14:textId="77777777" w:rsidR="00607A57" w:rsidRDefault="00607A57" w:rsidP="00F70EF1">
      <w:pPr>
        <w:pStyle w:val="ListParagraph"/>
        <w:numPr>
          <w:ilvl w:val="0"/>
          <w:numId w:val="14"/>
        </w:numPr>
        <w:spacing w:before="0" w:after="200"/>
      </w:pPr>
      <w:r>
        <w:t>Lier la réflexion sur cette thématique à celle entamée dans le cadre de la présente mission avec le volet Base documentaire et celle réalisée récemment sur les processus de capitalisation du PARAQ. Ces 3 approches - Base documentaire, suivi-évaluation et capitalisation constituant les 3 piliers d’une gestion de l’information cohérente.</w:t>
      </w:r>
    </w:p>
    <w:p w14:paraId="0045D3AE" w14:textId="77777777" w:rsidR="00607A57" w:rsidRDefault="00607A57" w:rsidP="00607A57"/>
    <w:p w14:paraId="11D667C5" w14:textId="77777777" w:rsidR="00607A57" w:rsidRDefault="00607A57" w:rsidP="00607A57">
      <w:pPr>
        <w:tabs>
          <w:tab w:val="left" w:pos="0"/>
        </w:tabs>
      </w:pPr>
      <w:r>
        <w:t xml:space="preserve">La demande, telle </w:t>
      </w:r>
      <w:r w:rsidRPr="00F04918">
        <w:t xml:space="preserve">que formulée dans les TdR est extrêmement vague </w:t>
      </w:r>
      <w:r>
        <w:t xml:space="preserve">et peut prêter à </w:t>
      </w:r>
      <w:r w:rsidRPr="00F04918">
        <w:t>de multiples interprétations</w:t>
      </w:r>
      <w:r>
        <w:t xml:space="preserve">. </w:t>
      </w:r>
      <w:r w:rsidRPr="00F04918">
        <w:t>Qui plus est</w:t>
      </w:r>
      <w:r>
        <w:t xml:space="preserve">, si le consensus entre </w:t>
      </w:r>
      <w:r w:rsidRPr="00F04918">
        <w:t xml:space="preserve">le </w:t>
      </w:r>
      <w:r>
        <w:t>MTPTC</w:t>
      </w:r>
      <w:r w:rsidRPr="003F331A">
        <w:t>, le MICT et le ST/CIAT sur les attentes était relativement claire au terme des projets du 10</w:t>
      </w:r>
      <w:r w:rsidRPr="00AF4C99">
        <w:rPr>
          <w:vertAlign w:val="superscript"/>
        </w:rPr>
        <w:t>ième</w:t>
      </w:r>
      <w:r w:rsidRPr="003F331A">
        <w:t xml:space="preserve"> FED, il est beaucoup moins affir</w:t>
      </w:r>
      <w:r>
        <w:t>mé aujourd’hui à la veille d’un</w:t>
      </w:r>
      <w:r w:rsidRPr="003F331A">
        <w:t xml:space="preserve"> nouveau cycle de projets urbains, dans lequel d’autres partenaires ministériels </w:t>
      </w:r>
      <w:r>
        <w:t>pourraient être impliqués</w:t>
      </w:r>
      <w:r w:rsidRPr="003F331A">
        <w:t>.</w:t>
      </w:r>
    </w:p>
    <w:p w14:paraId="6957B4D3" w14:textId="77777777" w:rsidR="00607A57" w:rsidRDefault="00607A57" w:rsidP="00607A57">
      <w:pPr>
        <w:tabs>
          <w:tab w:val="left" w:pos="0"/>
        </w:tabs>
      </w:pPr>
      <w:r>
        <w:t xml:space="preserve">Le </w:t>
      </w:r>
      <w:r w:rsidRPr="003F331A">
        <w:t>ST/CIAT</w:t>
      </w:r>
      <w:r>
        <w:t xml:space="preserve"> et le MTPTC</w:t>
      </w:r>
      <w:r w:rsidRPr="00AF4C99">
        <w:t xml:space="preserve">, </w:t>
      </w:r>
      <w:r>
        <w:t>seules institutions réellement interrogées sur le sujet, souhaiteraient la mise en place d’un suivi-évaluation à 2 échelles.</w:t>
      </w:r>
    </w:p>
    <w:p w14:paraId="64C0FD11" w14:textId="77777777" w:rsidR="00607A57" w:rsidRDefault="00607A57" w:rsidP="00F70EF1">
      <w:pPr>
        <w:pStyle w:val="ListParagraph"/>
        <w:numPr>
          <w:ilvl w:val="0"/>
          <w:numId w:val="13"/>
        </w:numPr>
        <w:tabs>
          <w:tab w:val="left" w:pos="0"/>
        </w:tabs>
        <w:spacing w:before="0" w:after="200"/>
      </w:pPr>
      <w:r w:rsidRPr="008E4114">
        <w:t>Le premier très opérationnel</w:t>
      </w:r>
      <w:r>
        <w:t xml:space="preserve">, </w:t>
      </w:r>
      <w:r w:rsidRPr="003F331A">
        <w:t>confirmerait</w:t>
      </w:r>
      <w:r>
        <w:t> :</w:t>
      </w:r>
    </w:p>
    <w:p w14:paraId="5AB94F3D" w14:textId="77777777" w:rsidR="00607A57" w:rsidRDefault="00607A57" w:rsidP="00F70EF1">
      <w:pPr>
        <w:pStyle w:val="ListParagraph"/>
        <w:numPr>
          <w:ilvl w:val="1"/>
          <w:numId w:val="13"/>
        </w:numPr>
        <w:tabs>
          <w:tab w:val="left" w:pos="0"/>
        </w:tabs>
        <w:spacing w:before="0" w:after="200"/>
      </w:pPr>
      <w:r>
        <w:t xml:space="preserve">Un rôle </w:t>
      </w:r>
      <w:r w:rsidRPr="00615D4B">
        <w:t>de pilote au MTPTC au</w:t>
      </w:r>
      <w:r>
        <w:t xml:space="preserve"> travers son Service de Planification urbaine (SPU).</w:t>
      </w:r>
    </w:p>
    <w:p w14:paraId="1221BDBD" w14:textId="77777777" w:rsidR="00607A57" w:rsidRDefault="00607A57" w:rsidP="00F70EF1">
      <w:pPr>
        <w:pStyle w:val="ListParagraph"/>
        <w:numPr>
          <w:ilvl w:val="1"/>
          <w:numId w:val="13"/>
        </w:numPr>
        <w:tabs>
          <w:tab w:val="left" w:pos="0"/>
        </w:tabs>
        <w:spacing w:before="0" w:after="200"/>
      </w:pPr>
      <w:r>
        <w:t>U</w:t>
      </w:r>
      <w:r w:rsidRPr="008E4114">
        <w:t xml:space="preserve">n rôle de coordination au </w:t>
      </w:r>
      <w:r w:rsidRPr="003F331A">
        <w:t>ST/CIAT.</w:t>
      </w:r>
    </w:p>
    <w:p w14:paraId="3378C8B0" w14:textId="77777777" w:rsidR="00607A57" w:rsidRPr="00AF4C99" w:rsidRDefault="00607A57" w:rsidP="00607A57">
      <w:pPr>
        <w:tabs>
          <w:tab w:val="left" w:pos="0"/>
        </w:tabs>
        <w:ind w:left="709"/>
      </w:pPr>
      <w:r w:rsidRPr="00AF4C99">
        <w:t>Il s’agirait de définir un cadre de suivi qui s’articulerait au cycle de projet et qui imposerait aux opérateurs, bailleurs et institutions de tutelle, une démarche de remontée d’information régulière, harmonisée et « contraignante ».</w:t>
      </w:r>
    </w:p>
    <w:p w14:paraId="3BB7D74A" w14:textId="77777777" w:rsidR="00607A57" w:rsidRDefault="00607A57" w:rsidP="00F70EF1">
      <w:pPr>
        <w:pStyle w:val="ListParagraph"/>
        <w:numPr>
          <w:ilvl w:val="0"/>
          <w:numId w:val="13"/>
        </w:numPr>
        <w:tabs>
          <w:tab w:val="left" w:pos="0"/>
        </w:tabs>
        <w:spacing w:before="0" w:after="200"/>
      </w:pPr>
      <w:r w:rsidRPr="008E4114">
        <w:t>Le deuxième plus macro,</w:t>
      </w:r>
      <w:r>
        <w:t xml:space="preserve"> permettrait quant à lui de suivre et d’évaluer les progrès d’Haïti dans le secteur de l’urbain et l’impact de ces projets, sur une série de thématiques préalablement définies. L’exemple serait ici celui du Fond d’investissement Climatique qui est composé de 2 indicateurs Pays et 3 indicateurs Projet.</w:t>
      </w:r>
    </w:p>
    <w:p w14:paraId="16CAF313" w14:textId="77777777" w:rsidR="00607A57" w:rsidRPr="00904D90" w:rsidRDefault="00607A57" w:rsidP="00607A57">
      <w:r>
        <w:t>Ainsi, au-delà des consultations, majoritairement bilatérales, qui se sont déroulées du 06 au 13 mars 2016 puis du 02 au 18 juin 2016, le consultant s’est attaché à analyser les différentes expériences de mise en place des bases de données urbaines qui constituent les prémices d’un système SSE</w:t>
      </w:r>
      <w:r>
        <w:rPr>
          <w:rStyle w:val="FootnoteReference"/>
        </w:rPr>
        <w:footnoteReference w:id="17"/>
      </w:r>
      <w:r>
        <w:t>.</w:t>
      </w:r>
    </w:p>
    <w:p w14:paraId="02DBD46E" w14:textId="77777777" w:rsidR="00607A57" w:rsidRDefault="00607A57" w:rsidP="00607A57"/>
    <w:p w14:paraId="46714019" w14:textId="77777777" w:rsidR="00607A57" w:rsidRDefault="00607A57" w:rsidP="00607A57">
      <w:pPr>
        <w:tabs>
          <w:tab w:val="left" w:pos="0"/>
        </w:tabs>
      </w:pPr>
      <w:r>
        <w:t>Enfin, l</w:t>
      </w:r>
      <w:r w:rsidRPr="00AF4C99">
        <w:t xml:space="preserve">a conception du cadre </w:t>
      </w:r>
      <w:r>
        <w:t xml:space="preserve">Suivi Evaluation (SSE) </w:t>
      </w:r>
      <w:r w:rsidRPr="00AF4C99">
        <w:t>suppose d’attirer l’attention des différentes institutions sur le sens qu’elles e</w:t>
      </w:r>
      <w:r>
        <w:t xml:space="preserve">ntendent donner à l’évaluation à savoir : </w:t>
      </w:r>
      <w:r w:rsidRPr="00730746">
        <w:t>Quels sont les objectifs poursuivis par la mise en place d’un suivi-évaluation interinstitutionnel des projets urbains</w:t>
      </w:r>
      <w:r>
        <w:t xml:space="preserve"> en Haïti ? Si ce travail a été </w:t>
      </w:r>
      <w:r w:rsidRPr="00615D4B">
        <w:t xml:space="preserve">amorcé dans le cadre de cette mission, il devra être poursuivi de manière participative avec les institutions haïtiennes car il n’a pour l’instant pas donné lieu </w:t>
      </w:r>
      <w:r>
        <w:t xml:space="preserve">à </w:t>
      </w:r>
      <w:r w:rsidRPr="00615D4B">
        <w:t>une entente sur l’ensemble du secteur.</w:t>
      </w:r>
      <w:r>
        <w:t xml:space="preserve"> Cela s’explique par le fait que la mise en place d’un SSE dans le contexte institutionnel actuel de l’urbain en Haïti est prématuré</w:t>
      </w:r>
      <w:r>
        <w:rPr>
          <w:rStyle w:val="FootnoteReference"/>
        </w:rPr>
        <w:footnoteReference w:id="18"/>
      </w:r>
      <w:r>
        <w:t>. Il est important que ce dernier soit mené de pair avec la définition des concepts et des méthodologies, axe de travail identifié comme prioritaire dans l’élaboration du 11</w:t>
      </w:r>
      <w:r w:rsidRPr="00BE4D18">
        <w:rPr>
          <w:vertAlign w:val="superscript"/>
        </w:rPr>
        <w:t>ème</w:t>
      </w:r>
      <w:r>
        <w:t xml:space="preserve"> FED.</w:t>
      </w:r>
    </w:p>
    <w:p w14:paraId="103F36DF" w14:textId="6F85A977" w:rsidR="00607A57" w:rsidRDefault="00607A57" w:rsidP="00607A57">
      <w:pPr>
        <w:pStyle w:val="Heading2"/>
      </w:pPr>
      <w:bookmarkStart w:id="20" w:name="_Toc468189941"/>
      <w:r w:rsidRPr="00607A57">
        <w:t>Niveau 1 : le suivi opérationnel des projets, leçons tirées des projets PARAQ</w:t>
      </w:r>
      <w:bookmarkEnd w:id="20"/>
    </w:p>
    <w:p w14:paraId="3100163C" w14:textId="77777777" w:rsidR="00F26A4C" w:rsidRPr="0037109E" w:rsidRDefault="00F26A4C" w:rsidP="00F26A4C">
      <w:bookmarkStart w:id="21" w:name="_Toc462130727"/>
      <w:r w:rsidRPr="0037109E">
        <w:t>Le premier paragraphe présente les grandes étapes clefs nécessitant un suivi de la part de la puissance publique afin de s’assurer que les orientations prises sont en adéquation avec les stratégies urbaines définies, ou pour le cas d’Haïti esquissées.</w:t>
      </w:r>
    </w:p>
    <w:p w14:paraId="6B61D3C3" w14:textId="77777777" w:rsidR="00F26A4C" w:rsidRDefault="00F26A4C" w:rsidP="00F26A4C">
      <w:r w:rsidRPr="00615D4B">
        <w:t xml:space="preserve">Afin de le relier aux expériences existantes, nous avons fait l’exercice de raccrocher cette théorie à la pratique, au travers des projets de quartiers développés par le PARAQ, mais aussi d’un autre type de documents d’urbanisme majoritairement développé dans le cadre de la post-reconstruction à savoir : les Plans Communaux de </w:t>
      </w:r>
      <w:r w:rsidRPr="0037109E">
        <w:t>Développement (PCD).</w:t>
      </w:r>
    </w:p>
    <w:p w14:paraId="2305C31F" w14:textId="77777777" w:rsidR="00F26A4C" w:rsidRPr="00CB7376" w:rsidRDefault="00F26A4C" w:rsidP="005F401E">
      <w:pPr>
        <w:pStyle w:val="Heading3"/>
        <w:rPr>
          <w:rFonts w:eastAsia="MS Gothic"/>
        </w:rPr>
      </w:pPr>
      <w:bookmarkStart w:id="22" w:name="_Toc468189942"/>
      <w:bookmarkEnd w:id="21"/>
      <w:r w:rsidRPr="00CB7376">
        <w:rPr>
          <w:rFonts w:eastAsia="MS Gothic"/>
        </w:rPr>
        <w:t>Redessiner les contours du rôle du SPU dans le suivi de la planification territoriale</w:t>
      </w:r>
      <w:bookmarkEnd w:id="22"/>
    </w:p>
    <w:p w14:paraId="2F1B49AA" w14:textId="77777777" w:rsidR="00F26A4C" w:rsidRDefault="00F26A4C" w:rsidP="00F26A4C">
      <w:pPr>
        <w:pStyle w:val="Heading4"/>
        <w:rPr>
          <w:rFonts w:eastAsia="MS Gothic"/>
        </w:rPr>
      </w:pPr>
      <w:r w:rsidRPr="00CB7376">
        <w:rPr>
          <w:rFonts w:eastAsia="MS Gothic"/>
        </w:rPr>
        <w:t>Quels sont les outils de planification urbaine en Haiti ?</w:t>
      </w:r>
    </w:p>
    <w:p w14:paraId="44E5CA96" w14:textId="77777777" w:rsidR="00F26A4C" w:rsidRPr="0037109E" w:rsidRDefault="00F26A4C" w:rsidP="00F26A4C">
      <w:r w:rsidRPr="0037109E">
        <w:t>Nous nous contenterons de regar</w:t>
      </w:r>
      <w:r>
        <w:t>der ici les 2</w:t>
      </w:r>
      <w:r w:rsidRPr="0037109E">
        <w:t xml:space="preserve"> outils de planification correspondant à une échelle urbaine, et communément utilisé</w:t>
      </w:r>
      <w:r>
        <w:t>s</w:t>
      </w:r>
      <w:r w:rsidRPr="0037109E">
        <w:t xml:space="preserve"> en Haïti, à savoir</w:t>
      </w:r>
      <w:r>
        <w:t> </w:t>
      </w:r>
      <w:r w:rsidRPr="0037109E">
        <w:t xml:space="preserve">: </w:t>
      </w:r>
    </w:p>
    <w:p w14:paraId="3E99AF70" w14:textId="77777777" w:rsidR="00F26A4C" w:rsidRPr="00B766D9" w:rsidRDefault="00F26A4C" w:rsidP="00F26A4C">
      <w:pPr>
        <w:pStyle w:val="ListParagraph"/>
        <w:numPr>
          <w:ilvl w:val="0"/>
          <w:numId w:val="16"/>
        </w:numPr>
        <w:spacing w:before="0"/>
      </w:pPr>
      <w:r w:rsidRPr="00B766D9">
        <w:rPr>
          <w:b/>
        </w:rPr>
        <w:t>Les Plans Communaux de Développement</w:t>
      </w:r>
      <w:r w:rsidRPr="00B766D9">
        <w:rPr>
          <w:rStyle w:val="FootnoteReference"/>
        </w:rPr>
        <w:footnoteReference w:id="19"/>
      </w:r>
      <w:r w:rsidRPr="00B766D9">
        <w:t xml:space="preserve">, : Ils ont été initiés à la demande des bailleurs pour programmer le financements d’équipements et n’ont pas de réelle base institutionnelle. Cependant nous  les retenons ici  pour trois raisons : </w:t>
      </w:r>
    </w:p>
    <w:p w14:paraId="28EC3873" w14:textId="77777777" w:rsidR="00F26A4C" w:rsidRPr="00B766D9" w:rsidRDefault="00F26A4C" w:rsidP="00F26A4C">
      <w:pPr>
        <w:pStyle w:val="ListParagraph"/>
        <w:numPr>
          <w:ilvl w:val="1"/>
          <w:numId w:val="16"/>
        </w:numPr>
        <w:spacing w:before="0"/>
      </w:pPr>
      <w:r w:rsidRPr="00B766D9">
        <w:t xml:space="preserve">lls sont initiés par les municipalités, </w:t>
      </w:r>
    </w:p>
    <w:p w14:paraId="093E68AD" w14:textId="77777777" w:rsidR="00F26A4C" w:rsidRPr="00B766D9" w:rsidRDefault="00F26A4C" w:rsidP="00F26A4C">
      <w:pPr>
        <w:pStyle w:val="ListParagraph"/>
        <w:numPr>
          <w:ilvl w:val="1"/>
          <w:numId w:val="16"/>
        </w:numPr>
        <w:spacing w:before="0"/>
      </w:pPr>
      <w:r w:rsidRPr="00B766D9">
        <w:t xml:space="preserve">Ils constituent un premier niveau de planification même si celle –ci n’est pas spatialisée </w:t>
      </w:r>
    </w:p>
    <w:p w14:paraId="3A42609B" w14:textId="77777777" w:rsidR="00F26A4C" w:rsidRPr="00B766D9" w:rsidRDefault="00F26A4C" w:rsidP="00F26A4C">
      <w:pPr>
        <w:pStyle w:val="ListParagraph"/>
        <w:numPr>
          <w:ilvl w:val="1"/>
          <w:numId w:val="16"/>
        </w:numPr>
        <w:spacing w:before="0"/>
      </w:pPr>
      <w:r w:rsidRPr="00B766D9">
        <w:t xml:space="preserve">Bien que concernant aussi les territoires ruraux, ils permettent de couvrir des territoires urbains qui sont en pleine expansion (on peut rappeler en note bas de page que la distinction urbain/rural reste très confuse en Haïti) </w:t>
      </w:r>
    </w:p>
    <w:p w14:paraId="1F80F726" w14:textId="77777777" w:rsidR="00F26A4C" w:rsidRPr="00B766D9" w:rsidRDefault="00F26A4C" w:rsidP="00F26A4C">
      <w:pPr>
        <w:pStyle w:val="ListParagraph"/>
        <w:numPr>
          <w:ilvl w:val="0"/>
          <w:numId w:val="16"/>
        </w:numPr>
        <w:spacing w:before="0" w:after="200"/>
      </w:pPr>
      <w:r w:rsidRPr="00B766D9">
        <w:rPr>
          <w:b/>
        </w:rPr>
        <w:t>Les Plans d’aménagement urbain ou plan d’aménagement de quartier</w:t>
      </w:r>
      <w:r w:rsidRPr="00B766D9">
        <w:rPr>
          <w:rStyle w:val="FootnoteReference"/>
          <w:b/>
        </w:rPr>
        <w:footnoteReference w:id="20"/>
      </w:r>
      <w:r w:rsidRPr="00B766D9">
        <w:t> : ils sont élaborés à une échelle plus restreinte et validés par un Comité Technique lui composé de la Mairie, le MICT, le MTPTC, l’UCLBP et le CIAT, qui lui non plus n’a pas de base institutionnelle mais a fait ses preuves.  Ils sont complétés par un plan programme qui correspond à un plan d’action opérationnel de la zone d’étude considérée.</w:t>
      </w:r>
    </w:p>
    <w:p w14:paraId="3196224E" w14:textId="77777777" w:rsidR="00F26A4C" w:rsidRPr="00B766D9" w:rsidRDefault="00F26A4C" w:rsidP="00F26A4C">
      <w:pPr>
        <w:rPr>
          <w:strike/>
        </w:rPr>
      </w:pPr>
      <w:r w:rsidRPr="00B766D9">
        <w:t>L’analyse faite dans le cadre de l’état des lieux du secteur urbain en Haïti (10</w:t>
      </w:r>
      <w:r w:rsidRPr="00B766D9">
        <w:rPr>
          <w:vertAlign w:val="superscript"/>
        </w:rPr>
        <w:t>ème</w:t>
      </w:r>
      <w:r w:rsidRPr="00B766D9">
        <w:t xml:space="preserve"> FED) montre que ces deux types de documents, à une échelle macro/commune ou micro/quartier, correspondent tous deux au développement d’une vision de territoire, souvent sur 10 à 20 ans, associé à un phasage de la mise en œuvre des actions prioritaires. Ils doivent en général être complétés par des documents d’urbanisme réglementaire, de type zonage de l’occupation des sols ou plans de lotissements, qui consistent en des dispositions normatives physiques plus détaillées.</w:t>
      </w:r>
    </w:p>
    <w:p w14:paraId="67AED856" w14:textId="77777777" w:rsidR="00F26A4C" w:rsidRDefault="00F26A4C" w:rsidP="00F26A4C">
      <w:r w:rsidRPr="00B766D9">
        <w:t xml:space="preserve">En termes de compétence, c’est donc au sein des Municipalités (niveau politique) et du MTPTC/DTP (niveau technique et sectoriel) que se place le rôle des institutions sachant </w:t>
      </w:r>
      <w:r>
        <w:t>que le CIAT (</w:t>
      </w:r>
      <w:r w:rsidRPr="00B766D9">
        <w:t>niveau contrôle)  assure un rôle de coordination et de supervision</w:t>
      </w:r>
      <w:r w:rsidRPr="00B766D9">
        <w:rPr>
          <w:rStyle w:val="FootnoteReference"/>
        </w:rPr>
        <w:footnoteReference w:id="21"/>
      </w:r>
      <w:r w:rsidRPr="00B766D9">
        <w:t>.</w:t>
      </w:r>
    </w:p>
    <w:p w14:paraId="39AE3874" w14:textId="77777777" w:rsidR="00F26A4C" w:rsidRDefault="00F26A4C" w:rsidP="00F26A4C">
      <w:r w:rsidRPr="0037109E">
        <w:t xml:space="preserve"> La période post-séisme a été l’occasion pour ces institutions de s’essayer à l’exercice, principalement dans un rôle d’encadrement plus que de conception </w:t>
      </w:r>
      <w:r>
        <w:t>directe: les 7</w:t>
      </w:r>
      <w:r w:rsidRPr="0037109E">
        <w:t xml:space="preserve"> schémas directeurs de quartier réalisés par des ONG dans le cadre du PARAQ</w:t>
      </w:r>
      <w:r>
        <w:rPr>
          <w:rStyle w:val="FootnoteReference"/>
        </w:rPr>
        <w:footnoteReference w:id="22"/>
      </w:r>
      <w:r w:rsidRPr="0037109E">
        <w:t xml:space="preserve"> en sont un exemple marquant, mais on peut leur ajouter tous ceux développés par d’autres opérateurs (Martissant et Baillergeau, Carrefour-Feuilles, Villa Rosa, etc.). Certaines institutions ont cependant franchi le pas d’une réalisation en direct, comme la Mairie de Delmas qui réalise en ce moment son Schéma d’Aménagement Municipal (qui inclura les dispositions du schéma d’aménagement de la Croix Rouge Française réalisé sur Delmas 7/9/11/13)</w:t>
      </w:r>
      <w:r w:rsidRPr="0037109E">
        <w:rPr>
          <w:rStyle w:val="FootnoteReference"/>
        </w:rPr>
        <w:t xml:space="preserve"> </w:t>
      </w:r>
      <w:r w:rsidRPr="0037109E">
        <w:rPr>
          <w:rStyle w:val="FootnoteReference"/>
        </w:rPr>
        <w:footnoteReference w:id="23"/>
      </w:r>
      <w:r w:rsidRPr="0037109E">
        <w:t>.</w:t>
      </w:r>
    </w:p>
    <w:p w14:paraId="6BB8927B" w14:textId="77777777" w:rsidR="00F26A4C" w:rsidRPr="0037109E" w:rsidRDefault="00F26A4C" w:rsidP="00F26A4C"/>
    <w:p w14:paraId="22D85872" w14:textId="77777777" w:rsidR="00F26A4C" w:rsidRPr="00607A57" w:rsidRDefault="00F26A4C" w:rsidP="00F26A4C">
      <w:pPr>
        <w:pStyle w:val="Heading4"/>
        <w:rPr>
          <w:rFonts w:eastAsia="MS Gothic"/>
        </w:rPr>
      </w:pPr>
      <w:r w:rsidRPr="00607A57">
        <w:rPr>
          <w:rFonts w:eastAsia="MS Gothic"/>
        </w:rPr>
        <w:t>Rappel du rôle du SPU dans la planification urbaine</w:t>
      </w:r>
    </w:p>
    <w:p w14:paraId="60C5C648" w14:textId="77777777" w:rsidR="00F26A4C" w:rsidRDefault="00F26A4C" w:rsidP="00F26A4C">
      <w:r w:rsidRPr="00E805BB">
        <w:t>Nous reprenons ici l’analyse faite en 2014, dans le cadre de l’état des lieux du secteur</w:t>
      </w:r>
      <w:r w:rsidRPr="0037109E">
        <w:rPr>
          <w:rStyle w:val="FootnoteReference"/>
        </w:rPr>
        <w:footnoteReference w:id="24"/>
      </w:r>
      <w:r>
        <w:t xml:space="preserve"> concernant les attributions du MTPTC en général et du SPU en particulier.</w:t>
      </w:r>
    </w:p>
    <w:p w14:paraId="1E54B331" w14:textId="77777777" w:rsidR="00F26A4C" w:rsidRDefault="00F26A4C" w:rsidP="00F26A4C">
      <w:r>
        <w:t>I</w:t>
      </w:r>
      <w:r w:rsidRPr="006C41DC">
        <w:t>l est actuellement régi par le décret du 18</w:t>
      </w:r>
      <w:r>
        <w:t xml:space="preserve"> </w:t>
      </w:r>
      <w:r w:rsidRPr="006C41DC">
        <w:t>octobre 1983 qui découle du cadre fixé par la loi du 6 septembre 1982 sur l</w:t>
      </w:r>
      <w:r>
        <w:t>’</w:t>
      </w:r>
      <w:r w:rsidRPr="006C41DC">
        <w:t>Administration publique</w:t>
      </w:r>
      <w:r>
        <w:t xml:space="preserve"> </w:t>
      </w:r>
      <w:r w:rsidRPr="006C41DC">
        <w:t>nationale et par la loi du 3 novembre 1982 su</w:t>
      </w:r>
      <w:r>
        <w:t>r l’Aménagement du territoire.</w:t>
      </w:r>
    </w:p>
    <w:p w14:paraId="326B1C05" w14:textId="77777777" w:rsidR="00F26A4C" w:rsidRDefault="00F26A4C" w:rsidP="00F26A4C"/>
    <w:p w14:paraId="521EAEA7" w14:textId="77777777" w:rsidR="00F26A4C" w:rsidRPr="0037109E" w:rsidRDefault="00F26A4C" w:rsidP="00F26A4C">
      <w:pPr>
        <w:pStyle w:val="Caption"/>
      </w:pPr>
      <w:r>
        <w:t xml:space="preserve">Figure </w:t>
      </w:r>
      <w:fldSimple w:instr=" SEQ Figure \* ARABIC ">
        <w:r w:rsidR="00995EB5">
          <w:rPr>
            <w:noProof/>
          </w:rPr>
          <w:t>1</w:t>
        </w:r>
      </w:fldSimple>
      <w:r>
        <w:t> : Disposition légales du Département du TPTC - source diagnostic FED</w:t>
      </w:r>
    </w:p>
    <w:p w14:paraId="7E1F1767" w14:textId="77777777" w:rsidR="00F26A4C" w:rsidRPr="0037109E" w:rsidRDefault="00F26A4C" w:rsidP="00F26A4C">
      <w:r w:rsidRPr="0037109E">
        <w:rPr>
          <w:noProof/>
        </w:rPr>
        <w:drawing>
          <wp:inline distT="0" distB="0" distL="0" distR="0" wp14:anchorId="4031DDA6" wp14:editId="5410F5D8">
            <wp:extent cx="5760720" cy="125095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250950"/>
                    </a:xfrm>
                    <a:prstGeom prst="rect">
                      <a:avLst/>
                    </a:prstGeom>
                  </pic:spPr>
                </pic:pic>
              </a:graphicData>
            </a:graphic>
          </wp:inline>
        </w:drawing>
      </w:r>
    </w:p>
    <w:p w14:paraId="09D1C95A" w14:textId="77777777" w:rsidR="00F26A4C" w:rsidRPr="0037109E" w:rsidRDefault="00F26A4C" w:rsidP="00F26A4C">
      <w:r w:rsidRPr="0037109E">
        <w:rPr>
          <w:noProof/>
        </w:rPr>
        <w:drawing>
          <wp:inline distT="0" distB="0" distL="0" distR="0" wp14:anchorId="29B43B08" wp14:editId="02497A67">
            <wp:extent cx="5760720" cy="197612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976120"/>
                    </a:xfrm>
                    <a:prstGeom prst="rect">
                      <a:avLst/>
                    </a:prstGeom>
                  </pic:spPr>
                </pic:pic>
              </a:graphicData>
            </a:graphic>
          </wp:inline>
        </w:drawing>
      </w:r>
    </w:p>
    <w:p w14:paraId="502629C8" w14:textId="77777777" w:rsidR="00F26A4C" w:rsidRPr="00845B8F" w:rsidRDefault="00F26A4C" w:rsidP="00F26A4C"/>
    <w:p w14:paraId="631DBE50" w14:textId="77777777" w:rsidR="00F26A4C" w:rsidRPr="00B92A27" w:rsidRDefault="00F26A4C" w:rsidP="00F26A4C">
      <w:r w:rsidRPr="00B92A27">
        <w:t>En théorie, le SPU est en charge de 4 compétences distinctes mais complémentaires, qui recoupent urbanisme réglementaire et urbanisme opérationnel</w:t>
      </w:r>
      <w:r>
        <w:t> </w:t>
      </w:r>
      <w:r w:rsidRPr="00B92A27">
        <w:t>:</w:t>
      </w:r>
    </w:p>
    <w:p w14:paraId="071AE90B" w14:textId="77777777" w:rsidR="00F26A4C" w:rsidRPr="00646CAE" w:rsidRDefault="00F26A4C" w:rsidP="00F26A4C">
      <w:pPr>
        <w:pStyle w:val="ListParagraph"/>
        <w:numPr>
          <w:ilvl w:val="0"/>
          <w:numId w:val="17"/>
        </w:numPr>
        <w:spacing w:before="0" w:after="200"/>
      </w:pPr>
      <w:r w:rsidRPr="00646CAE">
        <w:t>L’édiction de normes en matière d’occupation physique du territoire urbain</w:t>
      </w:r>
      <w:r>
        <w:t> </w:t>
      </w:r>
      <w:r w:rsidRPr="00646CAE">
        <w:t>;</w:t>
      </w:r>
    </w:p>
    <w:p w14:paraId="2E6B06A4" w14:textId="77777777" w:rsidR="00F26A4C" w:rsidRPr="00E805BB" w:rsidRDefault="00F26A4C" w:rsidP="00F26A4C">
      <w:pPr>
        <w:pStyle w:val="ListParagraph"/>
        <w:numPr>
          <w:ilvl w:val="0"/>
          <w:numId w:val="17"/>
        </w:numPr>
        <w:spacing w:before="0" w:after="200"/>
      </w:pPr>
      <w:r w:rsidRPr="00E805BB">
        <w:t>La planification urbaine globale, par le biais de la réalisation de plans et schémas</w:t>
      </w:r>
      <w:r>
        <w:t> </w:t>
      </w:r>
      <w:r w:rsidRPr="00E805BB">
        <w:t>;</w:t>
      </w:r>
    </w:p>
    <w:p w14:paraId="5AEA8B88" w14:textId="77777777" w:rsidR="00F26A4C" w:rsidRPr="0037109E" w:rsidRDefault="00F26A4C" w:rsidP="00F26A4C">
      <w:pPr>
        <w:pStyle w:val="ListParagraph"/>
        <w:numPr>
          <w:ilvl w:val="0"/>
          <w:numId w:val="17"/>
        </w:numPr>
        <w:spacing w:before="0" w:after="200"/>
      </w:pPr>
      <w:r w:rsidRPr="0037109E">
        <w:t>Le contrôle de la mise en œuvre de cette planification urbaine, par le bais de l’approbation des permis de lotir et de construire</w:t>
      </w:r>
      <w:r>
        <w:t> </w:t>
      </w:r>
      <w:r w:rsidRPr="0037109E">
        <w:t>;</w:t>
      </w:r>
    </w:p>
    <w:p w14:paraId="72F7C4F5" w14:textId="77777777" w:rsidR="00F26A4C" w:rsidRPr="0037109E" w:rsidRDefault="00F26A4C" w:rsidP="00F26A4C">
      <w:pPr>
        <w:pStyle w:val="ListParagraph"/>
        <w:numPr>
          <w:ilvl w:val="0"/>
          <w:numId w:val="17"/>
        </w:numPr>
        <w:spacing w:before="0" w:after="200"/>
      </w:pPr>
      <w:r w:rsidRPr="0037109E">
        <w:t>Le contrôle des constructions, par le biais d’une analyse de conformité aux normes urbaines.</w:t>
      </w:r>
    </w:p>
    <w:p w14:paraId="264BE211" w14:textId="77777777" w:rsidR="00F26A4C" w:rsidRPr="0037109E" w:rsidRDefault="00F26A4C" w:rsidP="00F26A4C">
      <w:r w:rsidRPr="00B766D9">
        <w:t xml:space="preserve">Il est à noter que ces fonctions </w:t>
      </w:r>
      <w:r w:rsidRPr="00B766D9">
        <w:rPr>
          <w:b/>
        </w:rPr>
        <w:t>ne sont pas clairement hiérarchisés (les autorisations de Permis de Construire devraient logiquement se situer après le travail de planification) et  que les 3 dernières fonctions ont été conçues par le législateur comme étant toutes</w:t>
      </w:r>
      <w:r w:rsidRPr="0037109E">
        <w:rPr>
          <w:b/>
        </w:rPr>
        <w:t xml:space="preserve"> à réaliser en étroite collaboration avec la Municipalité</w:t>
      </w:r>
      <w:r>
        <w:rPr>
          <w:b/>
        </w:rPr>
        <w:t> </w:t>
      </w:r>
      <w:r w:rsidRPr="0037109E">
        <w:t>: le Ministère conseille techniquement et émet des avis, mais c’est la Municipalité qui adopte les plans, délivre les permis et sanctionne les atteintes aux normes.</w:t>
      </w:r>
    </w:p>
    <w:p w14:paraId="482C71C7" w14:textId="77777777" w:rsidR="00F26A4C" w:rsidRPr="0037109E" w:rsidRDefault="00F26A4C" w:rsidP="00F26A4C">
      <w:r w:rsidRPr="0037109E">
        <w:t xml:space="preserve">Dans la pratique, le </w:t>
      </w:r>
      <w:r>
        <w:t xml:space="preserve"> rôle du </w:t>
      </w:r>
      <w:r w:rsidRPr="0037109E">
        <w:t xml:space="preserve">SPU </w:t>
      </w:r>
      <w:r>
        <w:t>se limite</w:t>
      </w:r>
      <w:r w:rsidRPr="0037109E">
        <w:t xml:space="preserve"> </w:t>
      </w:r>
      <w:r>
        <w:t xml:space="preserve">à </w:t>
      </w:r>
      <w:r w:rsidRPr="0037109E">
        <w:t>2 types d’activité</w:t>
      </w:r>
      <w:r>
        <w:t xml:space="preserve">, qui correspondent  déjà  à une vaste  tache </w:t>
      </w:r>
      <w:r w:rsidRPr="0037109E">
        <w:t>:</w:t>
      </w:r>
    </w:p>
    <w:p w14:paraId="6C15C3B2" w14:textId="77777777" w:rsidR="00F26A4C" w:rsidRPr="0037109E" w:rsidRDefault="00F26A4C" w:rsidP="00F26A4C">
      <w:pPr>
        <w:pStyle w:val="ListParagraph"/>
        <w:numPr>
          <w:ilvl w:val="0"/>
          <w:numId w:val="18"/>
        </w:numPr>
        <w:spacing w:before="0" w:after="200"/>
      </w:pPr>
      <w:r w:rsidRPr="0037109E">
        <w:rPr>
          <w:b/>
        </w:rPr>
        <w:t>L’élaboration de documents de planification urbaine</w:t>
      </w:r>
      <w:r>
        <w:rPr>
          <w:b/>
        </w:rPr>
        <w:t> </w:t>
      </w:r>
      <w:r w:rsidRPr="0037109E">
        <w:t>: depuis peu, on constate une réactivation des fonctions de planification urbaine du SPU</w:t>
      </w:r>
      <w:r w:rsidRPr="0037109E">
        <w:rPr>
          <w:b/>
        </w:rPr>
        <w:t xml:space="preserve">, </w:t>
      </w:r>
      <w:r w:rsidRPr="0037109E">
        <w:t xml:space="preserve">qui s’est initiée timidement avec l’implication du service sur les plans de référence de villes secondaires (notamment Hinche). En effet, le programme « Boucle Centre-Artibonite » financé par la Banque Mondiale et coordonné par le Secrétariat Exécutif du CIAT a </w:t>
      </w:r>
      <w:r>
        <w:t>associé le</w:t>
      </w:r>
      <w:r w:rsidRPr="0037109E">
        <w:t xml:space="preserve"> SPU </w:t>
      </w:r>
      <w:r>
        <w:t xml:space="preserve">à </w:t>
      </w:r>
      <w:r w:rsidRPr="0037109E">
        <w:t>l’élaboration de ces plans. Cependant, les financements étant actuellement bloqués, les activités ont été interrompues</w:t>
      </w:r>
      <w:r>
        <w:rPr>
          <w:rStyle w:val="FootnoteReference"/>
        </w:rPr>
        <w:footnoteReference w:id="25"/>
      </w:r>
      <w:r w:rsidRPr="0037109E">
        <w:t>.</w:t>
      </w:r>
    </w:p>
    <w:p w14:paraId="1A016CCB" w14:textId="77777777" w:rsidR="00F26A4C" w:rsidRPr="00B766D9" w:rsidRDefault="00F26A4C" w:rsidP="00F26A4C">
      <w:pPr>
        <w:pStyle w:val="ListParagraph"/>
        <w:spacing w:before="0" w:after="200"/>
      </w:pPr>
    </w:p>
    <w:p w14:paraId="43B7553A" w14:textId="77777777" w:rsidR="00F26A4C" w:rsidRDefault="00F26A4C" w:rsidP="00F26A4C">
      <w:pPr>
        <w:pStyle w:val="ListParagraph"/>
        <w:numPr>
          <w:ilvl w:val="0"/>
          <w:numId w:val="18"/>
        </w:numPr>
        <w:spacing w:before="0" w:after="200"/>
      </w:pPr>
      <w:r w:rsidRPr="0037109E">
        <w:rPr>
          <w:b/>
        </w:rPr>
        <w:t>L’analyse de demandes de permis de construire transmises par les Mairies</w:t>
      </w:r>
      <w:r>
        <w:rPr>
          <w:b/>
        </w:rPr>
        <w:t> </w:t>
      </w:r>
      <w:r w:rsidRPr="0037109E">
        <w:t>: l’instruction des permis de construire est une activité récurrente, mais minime par rapport à la loi</w:t>
      </w:r>
      <w:r>
        <w:rPr>
          <w:rStyle w:val="FootnoteReference"/>
        </w:rPr>
        <w:footnoteReference w:id="26"/>
      </w:r>
      <w:r w:rsidRPr="0037109E">
        <w:t>.</w:t>
      </w:r>
    </w:p>
    <w:p w14:paraId="6B4D75B9" w14:textId="77777777" w:rsidR="00F26A4C" w:rsidRPr="0037109E" w:rsidRDefault="00F26A4C" w:rsidP="00F26A4C">
      <w:pPr>
        <w:pStyle w:val="ListParagraph"/>
      </w:pPr>
    </w:p>
    <w:p w14:paraId="15AA2A61" w14:textId="77777777" w:rsidR="00F26A4C" w:rsidRPr="0037109E" w:rsidRDefault="00F26A4C" w:rsidP="00F26A4C">
      <w:r w:rsidRPr="0037109E">
        <w:t>A termes,</w:t>
      </w:r>
      <w:r>
        <w:t xml:space="preserve"> après interprétation de l’article 27,</w:t>
      </w:r>
      <w:r w:rsidRPr="0037109E">
        <w:t xml:space="preserve"> le rôle du SPU en matière de planification urbaine pourrait </w:t>
      </w:r>
      <w:r>
        <w:t>évoluer vers les activités suivantes. Ces propositions ont uniquement valeur d’hypothèses de travail ; la répartition des responsabilités entre le SPU d’une part et l’ensemble des protagonistes de l’urbain d’autre part dépassant largement l’objet de la mission </w:t>
      </w:r>
      <w:r w:rsidRPr="0037109E">
        <w:t xml:space="preserve">: </w:t>
      </w:r>
    </w:p>
    <w:p w14:paraId="3C287B91" w14:textId="77777777" w:rsidR="00F26A4C" w:rsidRPr="00D557AB" w:rsidRDefault="00F26A4C" w:rsidP="00F26A4C">
      <w:pPr>
        <w:pStyle w:val="ListParagraph"/>
        <w:numPr>
          <w:ilvl w:val="0"/>
          <w:numId w:val="27"/>
        </w:numPr>
        <w:spacing w:before="0" w:after="200"/>
      </w:pPr>
      <w:r w:rsidRPr="00D557AB">
        <w:t>Valider les diagnostics et vérifier que les orientations de développement du territoire ont bien été prises en compte</w:t>
      </w:r>
      <w:r>
        <w:t> </w:t>
      </w:r>
      <w:r w:rsidRPr="00D557AB">
        <w:t>;</w:t>
      </w:r>
    </w:p>
    <w:p w14:paraId="78194995" w14:textId="77777777" w:rsidR="00F26A4C" w:rsidRDefault="00F26A4C" w:rsidP="00F26A4C">
      <w:pPr>
        <w:pStyle w:val="ListParagraph"/>
        <w:numPr>
          <w:ilvl w:val="0"/>
          <w:numId w:val="27"/>
        </w:numPr>
        <w:spacing w:before="0" w:after="200"/>
      </w:pPr>
      <w:r w:rsidRPr="00D557AB">
        <w:t xml:space="preserve">S’assurer que la sélection des actions prioritaires répond aux enjeux définis dans la stratégie et </w:t>
      </w:r>
      <w:r w:rsidRPr="00B766D9">
        <w:t>lancer les demandes de</w:t>
      </w:r>
      <w:r w:rsidRPr="00D557AB">
        <w:t xml:space="preserve"> propositions pour la mise en œuvre des actions prioritaires (études complémentaires, faisabilités, mise en œuvre)</w:t>
      </w:r>
      <w:r>
        <w:t> </w:t>
      </w:r>
      <w:r w:rsidRPr="00D557AB">
        <w:t>;</w:t>
      </w:r>
    </w:p>
    <w:p w14:paraId="7D28C625" w14:textId="77777777" w:rsidR="00F26A4C" w:rsidRPr="00D557AB" w:rsidRDefault="00F26A4C" w:rsidP="00F26A4C">
      <w:pPr>
        <w:pStyle w:val="ListParagraph"/>
        <w:numPr>
          <w:ilvl w:val="0"/>
          <w:numId w:val="27"/>
        </w:numPr>
        <w:spacing w:before="0" w:after="200"/>
      </w:pPr>
      <w:r w:rsidRPr="00D557AB">
        <w:t>Vérifier que l’injonction d’évaluation des projets a bien été respectée et que les recommandations sont bien prises en compte par les opérateurs de projet</w:t>
      </w:r>
      <w:r>
        <w:t> </w:t>
      </w:r>
      <w:r w:rsidRPr="00D557AB">
        <w:t>;</w:t>
      </w:r>
    </w:p>
    <w:p w14:paraId="204684BC" w14:textId="77777777" w:rsidR="00F26A4C" w:rsidRPr="0010017F" w:rsidRDefault="00F26A4C" w:rsidP="00F26A4C">
      <w:pPr>
        <w:pStyle w:val="ListParagraph"/>
        <w:numPr>
          <w:ilvl w:val="0"/>
          <w:numId w:val="27"/>
        </w:numPr>
        <w:spacing w:before="0" w:after="200"/>
      </w:pPr>
      <w:r>
        <w:t>Rendre compte au ST/</w:t>
      </w:r>
      <w:r w:rsidRPr="00D557AB">
        <w:t>CIAT</w:t>
      </w:r>
      <w:r>
        <w:t xml:space="preserve">  et/ou à ce qui pourrait faire office de comité technique </w:t>
      </w:r>
      <w:r w:rsidRPr="0010017F">
        <w:t>;</w:t>
      </w:r>
    </w:p>
    <w:p w14:paraId="4C5EED8C" w14:textId="77777777" w:rsidR="00F26A4C" w:rsidRPr="00D557AB" w:rsidRDefault="00F26A4C" w:rsidP="00F26A4C">
      <w:r w:rsidRPr="007F02E1">
        <w:t>U</w:t>
      </w:r>
      <w:r>
        <w:t>ne partie de</w:t>
      </w:r>
      <w:r w:rsidRPr="007F02E1">
        <w:t>s fonctions</w:t>
      </w:r>
      <w:r>
        <w:t xml:space="preserve"> citées ci-dessus</w:t>
      </w:r>
      <w:r w:rsidRPr="007F02E1">
        <w:t xml:space="preserve"> pourrait être déléguée à des ONG ou des bureaux d’études sous </w:t>
      </w:r>
      <w:r w:rsidRPr="00D557AB">
        <w:t xml:space="preserve">réserve d’un suivi effectif de la part du SPU, qui devra rester le « gardien » du respect des orientations et des stratégies de territoires qui ont été définies et validées. </w:t>
      </w:r>
    </w:p>
    <w:p w14:paraId="70CBF81C" w14:textId="77777777" w:rsidR="00F26A4C" w:rsidRPr="0037109E" w:rsidRDefault="00F26A4C" w:rsidP="00F26A4C">
      <w:r w:rsidRPr="00B766D9">
        <w:t xml:space="preserve">Les 2 chapitres suivants présentent ce que pourrait être les rôles et responsabilités du SPU par rapport </w:t>
      </w:r>
      <w:r w:rsidRPr="00B766D9">
        <w:rPr>
          <w:szCs w:val="22"/>
        </w:rPr>
        <w:t>à ces</w:t>
      </w:r>
      <w:r w:rsidRPr="00B766D9">
        <w:rPr>
          <w:sz w:val="20"/>
        </w:rPr>
        <w:t xml:space="preserve">  </w:t>
      </w:r>
      <w:r w:rsidRPr="00B766D9">
        <w:t>2 outils de planification, à savoir les PCD et les schémas d’aménagement urbain ou de quartier.</w:t>
      </w:r>
    </w:p>
    <w:p w14:paraId="5BFA4BB9" w14:textId="77777777" w:rsidR="00F26A4C" w:rsidRPr="00845B8F" w:rsidRDefault="00F26A4C" w:rsidP="00F26A4C"/>
    <w:p w14:paraId="2C37D44C" w14:textId="77777777" w:rsidR="00F26A4C" w:rsidRPr="00607A57" w:rsidRDefault="00F26A4C" w:rsidP="00F26A4C">
      <w:pPr>
        <w:pStyle w:val="Heading4"/>
        <w:rPr>
          <w:rFonts w:eastAsia="MS Gothic"/>
        </w:rPr>
      </w:pPr>
      <w:r w:rsidRPr="00607A57">
        <w:rPr>
          <w:rFonts w:eastAsia="MS Gothic"/>
        </w:rPr>
        <w:t>Dans les Plans Communaux de Développement</w:t>
      </w:r>
    </w:p>
    <w:p w14:paraId="74D82426" w14:textId="77777777" w:rsidR="00F26A4C" w:rsidRDefault="00F26A4C" w:rsidP="00F26A4C">
      <w:r w:rsidRPr="00646CAE">
        <w:t>Aucune disposition n’est prise concernant un suivi de ces documents d’urbanisme, depuis leur conception jusqu’à leur exécutio</w:t>
      </w:r>
      <w:r w:rsidRPr="00E805BB">
        <w:t>n, par le MTPTC. L’ensemble de la démarche se fait localement avec l’appui des représentants du MPCE</w:t>
      </w:r>
      <w:r w:rsidRPr="0037109E">
        <w:t xml:space="preserve"> dans les sections communales.</w:t>
      </w:r>
      <w:r>
        <w:t xml:space="preserve"> Ce suivi s’est compliqué ces dernières années avec l’absence de maires élus. </w:t>
      </w:r>
    </w:p>
    <w:p w14:paraId="22EFBD05" w14:textId="77777777" w:rsidR="00F26A4C" w:rsidRDefault="00F26A4C" w:rsidP="00F26A4C">
      <w:r>
        <w:t>Par ailleurs, en termes de suivi de la démarche, celui-ci varie suivant les projets et les sources de financement. Cependant, 3 initiatives sont intéressantes et méritent d’être approfondies :</w:t>
      </w:r>
    </w:p>
    <w:p w14:paraId="62331BFE" w14:textId="77777777" w:rsidR="00F26A4C" w:rsidRDefault="00F26A4C" w:rsidP="00F26A4C">
      <w:pPr>
        <w:pStyle w:val="ListParagraph"/>
        <w:numPr>
          <w:ilvl w:val="0"/>
          <w:numId w:val="28"/>
        </w:numPr>
        <w:spacing w:before="0" w:after="200"/>
      </w:pPr>
      <w:r w:rsidRPr="00D557AB">
        <w:rPr>
          <w:b/>
        </w:rPr>
        <w:t>Initiative du MICT</w:t>
      </w:r>
      <w:r w:rsidRPr="00D557AB">
        <w:rPr>
          <w:rStyle w:val="FootnoteReference"/>
          <w:b/>
        </w:rPr>
        <w:footnoteReference w:id="27"/>
      </w:r>
      <w:r>
        <w:t> :</w:t>
      </w:r>
    </w:p>
    <w:p w14:paraId="5DC5BB6F" w14:textId="77777777" w:rsidR="00F26A4C" w:rsidRPr="00804908" w:rsidRDefault="00F26A4C" w:rsidP="00F26A4C">
      <w:pPr>
        <w:pStyle w:val="ListParagraph"/>
        <w:numPr>
          <w:ilvl w:val="1"/>
          <w:numId w:val="28"/>
        </w:numPr>
        <w:spacing w:before="0" w:after="200"/>
      </w:pPr>
      <w:r w:rsidRPr="00804908">
        <w:t>En 2013, la division collectivité</w:t>
      </w:r>
      <w:r>
        <w:t>s</w:t>
      </w:r>
      <w:r w:rsidRPr="00804908">
        <w:t xml:space="preserve"> territoriale</w:t>
      </w:r>
      <w:r>
        <w:t>s</w:t>
      </w:r>
      <w:r w:rsidRPr="00804908">
        <w:t xml:space="preserve"> du MICT a mis sur pied une vaste enquête téléphonique afin de constituer par département la liste des communes disposant d’un PCD, d’un Plan d’Investissement Municipal ou d’autres documents d’urbanisme. Ce document n’est plus à jour et contient peu de renseignement : absence de date de création, de l’horizon concerné par le plan, de la validation, de la nature du doc en lui-même, etc.</w:t>
      </w:r>
    </w:p>
    <w:p w14:paraId="05B47B34" w14:textId="77777777" w:rsidR="00F26A4C" w:rsidRDefault="00F26A4C" w:rsidP="00F26A4C">
      <w:pPr>
        <w:pStyle w:val="ListParagraph"/>
        <w:numPr>
          <w:ilvl w:val="1"/>
          <w:numId w:val="28"/>
        </w:numPr>
        <w:spacing w:before="0" w:after="200"/>
      </w:pPr>
      <w:r>
        <w:t>Depuis le dernier trimestre 2015, 10 personnes de l’URC et de la direction collectivités territoriales, ont débuté une grande tournée terrain d’évaluation des capacités des municipalités. Durant cette évaluation, dont la méthodologie semble avoir été partagée avec le SPU, une section est consacrée à la planification urbaine (PCD, etc.) et aux moyens disponibles.</w:t>
      </w:r>
    </w:p>
    <w:p w14:paraId="77E72040" w14:textId="77777777" w:rsidR="00F26A4C" w:rsidRDefault="00F26A4C" w:rsidP="00F26A4C">
      <w:pPr>
        <w:pStyle w:val="ListParagraph"/>
        <w:numPr>
          <w:ilvl w:val="0"/>
          <w:numId w:val="28"/>
        </w:numPr>
        <w:spacing w:before="0" w:after="200"/>
      </w:pPr>
      <w:r w:rsidRPr="007279BA">
        <w:rPr>
          <w:b/>
        </w:rPr>
        <w:t>Initiative du MPCE</w:t>
      </w:r>
      <w:r w:rsidRPr="007279BA">
        <w:t xml:space="preserve"> : Depuis 2008, avec actualisation en 2012, le MPCE a appuyé les communes dans l’élaboration </w:t>
      </w:r>
      <w:r w:rsidRPr="00615D4B">
        <w:t xml:space="preserve">de leur </w:t>
      </w:r>
      <w:r w:rsidRPr="007279BA">
        <w:t>PDC. Ce sont les communes elles-mêmes qui lancent les TdR selon leur niveau de compréhension du Guide édité par le MPCE (2012). De manière générale, une fois que la commune termine son PCD, elle doit le transmettre au MPCE. Ce dernier émet un avis technique sur le contenu et la cohérence des orientations stratégiques annoncées par rapport au PSDH. Par ailleurs, le MPCE structure actuellement le Fond Local d’Aménagement du Territoire</w:t>
      </w:r>
      <w:r w:rsidRPr="007279BA">
        <w:rPr>
          <w:rStyle w:val="FootnoteReference"/>
        </w:rPr>
        <w:footnoteReference w:id="28"/>
      </w:r>
      <w:r w:rsidRPr="007279BA">
        <w:t xml:space="preserve"> qui permettrait à termes de permettre de financer les projets prioritaires des communes. A noter que</w:t>
      </w:r>
      <w:r>
        <w:t> :</w:t>
      </w:r>
    </w:p>
    <w:p w14:paraId="78CD3773" w14:textId="77777777" w:rsidR="00F26A4C" w:rsidRPr="00D85F7C" w:rsidRDefault="00F26A4C" w:rsidP="00F26A4C">
      <w:pPr>
        <w:pStyle w:val="ListParagraph"/>
        <w:numPr>
          <w:ilvl w:val="1"/>
          <w:numId w:val="28"/>
        </w:numPr>
        <w:spacing w:before="0" w:after="200"/>
      </w:pPr>
      <w:r>
        <w:t xml:space="preserve">L’intérêt des PCD est </w:t>
      </w:r>
      <w:r w:rsidRPr="006C0F4D">
        <w:t xml:space="preserve">qu’ils permettent de conforter la maitrise d’ouvrage communale vis </w:t>
      </w:r>
      <w:r>
        <w:t xml:space="preserve">à vis de la loi et des citoyens et </w:t>
      </w:r>
      <w:r w:rsidRPr="006C0F4D">
        <w:t>de donner une information sur le</w:t>
      </w:r>
      <w:r>
        <w:t>s priorité</w:t>
      </w:r>
      <w:r w:rsidRPr="006C0F4D">
        <w:t>s d’</w:t>
      </w:r>
      <w:r>
        <w:t>investissements.</w:t>
      </w:r>
      <w:r w:rsidRPr="006C0F4D">
        <w:t xml:space="preserve"> Ces deux </w:t>
      </w:r>
      <w:r w:rsidRPr="00B766D9">
        <w:t>aspects apportent des informations utiles,</w:t>
      </w:r>
      <w:r>
        <w:t xml:space="preserve"> mais le fait qu’il n’y ait pas de compétence</w:t>
      </w:r>
      <w:r w:rsidRPr="006C0F4D">
        <w:t xml:space="preserve"> forte qui les relaient au niveau de l’administration en </w:t>
      </w:r>
      <w:r>
        <w:t>termes de planifi</w:t>
      </w:r>
      <w:r w:rsidRPr="006C0F4D">
        <w:t>c</w:t>
      </w:r>
      <w:r>
        <w:t xml:space="preserve">ation urbaine (donc spatiale) </w:t>
      </w:r>
      <w:r w:rsidRPr="006C0F4D">
        <w:t xml:space="preserve">ne permet pas d’établir une continuité entre </w:t>
      </w:r>
      <w:r>
        <w:t xml:space="preserve">la </w:t>
      </w:r>
      <w:r w:rsidRPr="006C0F4D">
        <w:t>p</w:t>
      </w:r>
      <w:r>
        <w:t xml:space="preserve">lanification stratégique (PCD) </w:t>
      </w:r>
      <w:r w:rsidRPr="006C0F4D">
        <w:t xml:space="preserve">et </w:t>
      </w:r>
      <w:r>
        <w:t xml:space="preserve">la </w:t>
      </w:r>
      <w:r w:rsidRPr="006C0F4D">
        <w:t>plan</w:t>
      </w:r>
      <w:r>
        <w:t xml:space="preserve">ification spatiale (PAEE) </w:t>
      </w:r>
    </w:p>
    <w:p w14:paraId="73D52EE2" w14:textId="77777777" w:rsidR="00F26A4C" w:rsidRDefault="00F26A4C" w:rsidP="00F26A4C">
      <w:pPr>
        <w:pStyle w:val="ListParagraph"/>
        <w:numPr>
          <w:ilvl w:val="1"/>
          <w:numId w:val="28"/>
        </w:numPr>
        <w:spacing w:before="0" w:after="200"/>
      </w:pPr>
      <w:r>
        <w:t>C</w:t>
      </w:r>
      <w:r w:rsidRPr="007279BA">
        <w:t xml:space="preserve">e fond permet uniquement de financer les projets du ressort des compétences communales, les autres projets devant quant à eux être financés par les ministères </w:t>
      </w:r>
      <w:r>
        <w:t>sectoriels.</w:t>
      </w:r>
      <w:r w:rsidRPr="007279BA">
        <w:t xml:space="preserve"> </w:t>
      </w:r>
    </w:p>
    <w:p w14:paraId="54749AE6" w14:textId="77777777" w:rsidR="00F26A4C" w:rsidRPr="00D557AB" w:rsidRDefault="00F26A4C" w:rsidP="00F26A4C">
      <w:pPr>
        <w:pStyle w:val="ListParagraph"/>
        <w:numPr>
          <w:ilvl w:val="0"/>
          <w:numId w:val="28"/>
        </w:numPr>
        <w:spacing w:before="0" w:after="200"/>
      </w:pPr>
      <w:r w:rsidRPr="007279BA">
        <w:rPr>
          <w:b/>
        </w:rPr>
        <w:t>Initiative MPCE/MICT sur financement PARLOQ, interrompue à la fin du projet</w:t>
      </w:r>
      <w:r w:rsidRPr="007279BA">
        <w:t> : Mise</w:t>
      </w:r>
      <w:r>
        <w:t xml:space="preserve"> en place d’un comité de vérification de la qualité des PCD élaborés sous financement PARLOQ. Cette qualité est contrôlée au travers de la vérification de l’existence dans le PCD du diagnostic technique, du diagnostic participatif et que le plan programme traite bien de plusieurs thématiques. </w:t>
      </w:r>
    </w:p>
    <w:p w14:paraId="18673AB4" w14:textId="77777777" w:rsidR="00F26A4C" w:rsidRPr="0037109E" w:rsidRDefault="00F26A4C" w:rsidP="00F26A4C">
      <w:r w:rsidRPr="0037109E">
        <w:t xml:space="preserve">Se pose alors la question du rôle du </w:t>
      </w:r>
      <w:r w:rsidRPr="00615D4B">
        <w:t xml:space="preserve">MTPTC et de son service de </w:t>
      </w:r>
      <w:r>
        <w:t>planification.</w:t>
      </w:r>
    </w:p>
    <w:p w14:paraId="4B43DA5D" w14:textId="77777777" w:rsidR="00F26A4C" w:rsidRDefault="00F26A4C" w:rsidP="00F26A4C">
      <w:r w:rsidRPr="0037109E">
        <w:t xml:space="preserve">Dans un premier temps, </w:t>
      </w:r>
      <w:r>
        <w:t xml:space="preserve">une fois les responsabilités de chaque institution clarifiées autours des PCD, </w:t>
      </w:r>
      <w:r w:rsidRPr="0037109E">
        <w:t>nos propositions seraient les suivantes :</w:t>
      </w:r>
    </w:p>
    <w:p w14:paraId="051D0CDD" w14:textId="77777777" w:rsidR="00F26A4C" w:rsidRDefault="00F26A4C" w:rsidP="00F26A4C">
      <w:pPr>
        <w:pStyle w:val="Caption"/>
      </w:pPr>
      <w:r>
        <w:t xml:space="preserve">Figure </w:t>
      </w:r>
      <w:fldSimple w:instr=" SEQ Figure \* ARABIC ">
        <w:r w:rsidR="00995EB5">
          <w:rPr>
            <w:noProof/>
          </w:rPr>
          <w:t>2</w:t>
        </w:r>
      </w:fldSimple>
      <w:r>
        <w:t> : Etapes de travail proposées pour le suivi des PCD</w:t>
      </w:r>
    </w:p>
    <w:p w14:paraId="46831D0D" w14:textId="77777777" w:rsidR="00F26A4C" w:rsidRPr="00015E7A" w:rsidRDefault="00F26A4C" w:rsidP="00F26A4C">
      <w:pPr>
        <w:jc w:val="center"/>
      </w:pPr>
      <w:r>
        <w:rPr>
          <w:noProof/>
        </w:rPr>
        <w:drawing>
          <wp:inline distT="0" distB="0" distL="0" distR="0" wp14:anchorId="57E96263" wp14:editId="2F7046CF">
            <wp:extent cx="5326380" cy="1323975"/>
            <wp:effectExtent l="0" t="0" r="762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5795" b="25086"/>
                    <a:stretch/>
                  </pic:blipFill>
                  <pic:spPr bwMode="auto">
                    <a:xfrm>
                      <a:off x="0" y="0"/>
                      <a:ext cx="5331245" cy="1325184"/>
                    </a:xfrm>
                    <a:prstGeom prst="rect">
                      <a:avLst/>
                    </a:prstGeom>
                    <a:noFill/>
                    <a:ln>
                      <a:noFill/>
                    </a:ln>
                    <a:extLst>
                      <a:ext uri="{53640926-AAD7-44D8-BBD7-CCE9431645EC}">
                        <a14:shadowObscured xmlns:a14="http://schemas.microsoft.com/office/drawing/2010/main"/>
                      </a:ext>
                    </a:extLst>
                  </pic:spPr>
                </pic:pic>
              </a:graphicData>
            </a:graphic>
          </wp:inline>
        </w:drawing>
      </w:r>
    </w:p>
    <w:p w14:paraId="2EFE605A" w14:textId="77777777" w:rsidR="00F26A4C" w:rsidRDefault="00F26A4C" w:rsidP="00F26A4C"/>
    <w:p w14:paraId="6FC3345C" w14:textId="77777777" w:rsidR="00F26A4C" w:rsidRPr="0037109E" w:rsidRDefault="00F26A4C" w:rsidP="00F26A4C">
      <w:r>
        <w:t>Les chapitres suivants présentent plus en détail les 3 étapes proposées.</w:t>
      </w:r>
    </w:p>
    <w:p w14:paraId="2EBC9B31" w14:textId="77777777" w:rsidR="00F26A4C" w:rsidRDefault="00F26A4C" w:rsidP="00F26A4C">
      <w:pPr>
        <w:pStyle w:val="ListParagraph"/>
        <w:numPr>
          <w:ilvl w:val="0"/>
          <w:numId w:val="19"/>
        </w:numPr>
        <w:spacing w:before="0" w:after="200"/>
      </w:pPr>
      <w:r w:rsidRPr="00B766D9">
        <w:rPr>
          <w:b/>
        </w:rPr>
        <w:t>Etape 1</w:t>
      </w:r>
      <w:r w:rsidRPr="00B766D9">
        <w:t> : Recueil auprès du MPCE de l’ensemble des PCD réalisés à ce jour, et mise place d’un mécanisme de communication entre la DTP et la DCT  permettant aux conseils municipaux de signaler leur volonté de s’engager dans une démarche de planification ,  ou d’actualisation de leur PCD selon un processus proactif à pr</w:t>
      </w:r>
      <w:r>
        <w:t>éciser</w:t>
      </w:r>
      <w:r w:rsidRPr="00B766D9">
        <w:t>)</w:t>
      </w:r>
      <w:r>
        <w:t>.</w:t>
      </w:r>
      <w:r w:rsidRPr="00B766D9">
        <w:t xml:space="preserve"> </w:t>
      </w:r>
      <w:r w:rsidRPr="004A52CA">
        <w:t>Cela permettrait de mettre en place, en collaboration avec le MICT et le MPCE, une démarche de consultation</w:t>
      </w:r>
      <w:r>
        <w:t xml:space="preserve"> </w:t>
      </w:r>
      <w:r w:rsidRPr="004A52CA">
        <w:t>/</w:t>
      </w:r>
      <w:r>
        <w:t xml:space="preserve"> </w:t>
      </w:r>
      <w:r w:rsidRPr="004A52CA">
        <w:t>appui à la mise en place, dans les communes retardataires, d’une programmation prioritaire sur les questions de planification urbaine.</w:t>
      </w:r>
    </w:p>
    <w:p w14:paraId="149A84B0" w14:textId="77777777" w:rsidR="00F26A4C" w:rsidRPr="00015E7A" w:rsidRDefault="00F26A4C" w:rsidP="00F26A4C">
      <w:pPr>
        <w:spacing w:before="0"/>
        <w:ind w:left="360"/>
        <w:rPr>
          <w:sz w:val="14"/>
          <w:szCs w:val="14"/>
        </w:rPr>
      </w:pPr>
    </w:p>
    <w:p w14:paraId="06E11E45" w14:textId="77777777" w:rsidR="00F26A4C" w:rsidRPr="00845B8F" w:rsidRDefault="00F26A4C" w:rsidP="00F26A4C">
      <w:pPr>
        <w:pStyle w:val="ListParagraph"/>
        <w:numPr>
          <w:ilvl w:val="0"/>
          <w:numId w:val="19"/>
        </w:numPr>
        <w:spacing w:before="0" w:after="200"/>
      </w:pPr>
      <w:r w:rsidRPr="0037109E">
        <w:rPr>
          <w:b/>
        </w:rPr>
        <w:t>Etape 2</w:t>
      </w:r>
      <w:r w:rsidRPr="0037109E">
        <w:t> : Le SPU propose son appui pour l’élaboration d’un plan d’aménagement communal,</w:t>
      </w:r>
      <w:r>
        <w:t xml:space="preserve"> en concertation avec le MPCE, également en charge de cette compétence. Le schéma d’Aménagement et son plan de zonage</w:t>
      </w:r>
      <w:r w:rsidRPr="0037109E">
        <w:t xml:space="preserve"> </w:t>
      </w:r>
      <w:r>
        <w:t xml:space="preserve">prolonge </w:t>
      </w:r>
      <w:r w:rsidRPr="0037109E">
        <w:t>spatialement et opérationnellement la vision que la commune a inscrite dans son PCD.</w:t>
      </w:r>
    </w:p>
    <w:p w14:paraId="0552F7BD" w14:textId="77777777" w:rsidR="00F26A4C" w:rsidRPr="00B92A27" w:rsidRDefault="00F26A4C" w:rsidP="00F26A4C">
      <w:pPr>
        <w:pStyle w:val="ListParagraph"/>
        <w:numPr>
          <w:ilvl w:val="1"/>
          <w:numId w:val="19"/>
        </w:numPr>
        <w:spacing w:before="0" w:after="200"/>
      </w:pPr>
      <w:r w:rsidRPr="00B92A27">
        <w:t>En régie direct</w:t>
      </w:r>
      <w:r>
        <w:t>e</w:t>
      </w:r>
      <w:r w:rsidRPr="00B92A27">
        <w:t xml:space="preserve"> si les compétences et les moyens humains sont disponibles localement,</w:t>
      </w:r>
    </w:p>
    <w:p w14:paraId="5AF6C9C0" w14:textId="77777777" w:rsidR="00F26A4C" w:rsidRPr="00646CAE" w:rsidRDefault="00F26A4C" w:rsidP="00F26A4C">
      <w:pPr>
        <w:pStyle w:val="ListParagraph"/>
        <w:numPr>
          <w:ilvl w:val="1"/>
          <w:numId w:val="19"/>
        </w:numPr>
        <w:spacing w:before="0" w:after="200"/>
      </w:pPr>
      <w:r w:rsidRPr="00646CAE">
        <w:t>En aidant la commune à :</w:t>
      </w:r>
    </w:p>
    <w:p w14:paraId="48A6BE84" w14:textId="77777777" w:rsidR="00F26A4C" w:rsidRPr="00E805BB" w:rsidRDefault="00F26A4C" w:rsidP="00F26A4C">
      <w:pPr>
        <w:pStyle w:val="ListParagraph"/>
        <w:numPr>
          <w:ilvl w:val="2"/>
          <w:numId w:val="19"/>
        </w:numPr>
        <w:spacing w:before="0" w:after="200"/>
      </w:pPr>
      <w:r w:rsidRPr="00E805BB">
        <w:t>Evaluer le budget nécessaire à la réalisation d’un plan d’aménagement communal,</w:t>
      </w:r>
    </w:p>
    <w:p w14:paraId="3FE799C8" w14:textId="77777777" w:rsidR="00F26A4C" w:rsidRPr="0037109E" w:rsidRDefault="00F26A4C" w:rsidP="00F26A4C">
      <w:pPr>
        <w:pStyle w:val="ListParagraph"/>
        <w:numPr>
          <w:ilvl w:val="2"/>
          <w:numId w:val="19"/>
        </w:numPr>
        <w:spacing w:before="0" w:after="200"/>
      </w:pPr>
      <w:r w:rsidRPr="0037109E">
        <w:t xml:space="preserve">Rédiger les Dossiers d’Appel d’Offre pour le recrutement d’un </w:t>
      </w:r>
      <w:r w:rsidRPr="00615D4B">
        <w:t xml:space="preserve">prestataire en charge de définir le schéma d’aménagement ainsi que les plans </w:t>
      </w:r>
      <w:r w:rsidRPr="0037109E">
        <w:t>d’investissement des actions prioritaires et/ou structurantes du territoire</w:t>
      </w:r>
      <w:r>
        <w:rPr>
          <w:rStyle w:val="FootnoteReference"/>
        </w:rPr>
        <w:footnoteReference w:id="29"/>
      </w:r>
      <w:r w:rsidRPr="0037109E">
        <w:t>.</w:t>
      </w:r>
    </w:p>
    <w:p w14:paraId="3303609A" w14:textId="77777777" w:rsidR="00F26A4C" w:rsidRDefault="00F26A4C" w:rsidP="00F26A4C">
      <w:pPr>
        <w:pStyle w:val="ListParagraph"/>
        <w:numPr>
          <w:ilvl w:val="1"/>
          <w:numId w:val="19"/>
        </w:numPr>
        <w:spacing w:before="0" w:after="200"/>
      </w:pPr>
      <w:r w:rsidRPr="0037109E">
        <w:t>En appuyant les communes dans la vérification de la cohérence entre le PDC, le</w:t>
      </w:r>
      <w:r>
        <w:t>s</w:t>
      </w:r>
      <w:r w:rsidRPr="0037109E">
        <w:t xml:space="preserve"> </w:t>
      </w:r>
      <w:r>
        <w:t>usages du sol</w:t>
      </w:r>
      <w:r w:rsidRPr="0037109E">
        <w:t xml:space="preserve"> et le plan d’investissement.</w:t>
      </w:r>
    </w:p>
    <w:p w14:paraId="239DD0B5" w14:textId="77777777" w:rsidR="00F26A4C" w:rsidRPr="00015E7A" w:rsidRDefault="00F26A4C" w:rsidP="00F26A4C">
      <w:pPr>
        <w:pStyle w:val="ListParagraph"/>
        <w:spacing w:after="200"/>
        <w:ind w:left="1440"/>
        <w:rPr>
          <w:sz w:val="14"/>
          <w:szCs w:val="14"/>
        </w:rPr>
      </w:pPr>
    </w:p>
    <w:p w14:paraId="785C84A5" w14:textId="77777777" w:rsidR="00F26A4C" w:rsidRPr="00B766D9" w:rsidRDefault="00F26A4C" w:rsidP="00F26A4C">
      <w:pPr>
        <w:pStyle w:val="ListParagraph"/>
        <w:numPr>
          <w:ilvl w:val="0"/>
          <w:numId w:val="19"/>
        </w:numPr>
        <w:spacing w:before="0" w:after="200"/>
      </w:pPr>
      <w:r w:rsidRPr="007279BA">
        <w:rPr>
          <w:b/>
        </w:rPr>
        <w:t>Etape 3</w:t>
      </w:r>
      <w:r>
        <w:t> </w:t>
      </w:r>
      <w:r w:rsidRPr="00444911">
        <w:t xml:space="preserve">: </w:t>
      </w:r>
      <w:r w:rsidRPr="00B766D9">
        <w:t>La DTP travaille avec le MITC, MPCE et l’UCLBP pour reprendre les instructions Guide de l’Urbanisme Simplifié et Illustré GUSI qui reste aujourd’hui en deçà de la réalité urbaine et des pratiques à mettre en place</w:t>
      </w:r>
      <w:r w:rsidRPr="00B766D9">
        <w:rPr>
          <w:rStyle w:val="FootnoteReference"/>
        </w:rPr>
        <w:footnoteReference w:id="30"/>
      </w:r>
      <w:r w:rsidRPr="00B766D9">
        <w:t xml:space="preserve"> pour en faire un vrai document de méthodologie de planification urbaine, le vulgariser au niveau des communes et des délégués départementaux, ainsi que de vérifier l’application des règlements d’urbanisme.</w:t>
      </w:r>
    </w:p>
    <w:p w14:paraId="1059A66E" w14:textId="77777777" w:rsidR="00F26A4C" w:rsidRPr="007279BA" w:rsidRDefault="00F26A4C" w:rsidP="00F26A4C">
      <w:pPr>
        <w:pStyle w:val="ListParagraph"/>
      </w:pPr>
      <w:r w:rsidRPr="00B766D9">
        <w:t>Cela signifie que l’ensemble des lois et règlements peut être révisés  (rôle du  ST/CIAT notamment) et que le SPU est en mesure d’en comprendre la portée. Cette étape doit être fortement accompagnée d’un renforcement des capacités du SPU.</w:t>
      </w:r>
      <w:r>
        <w:t xml:space="preserve"> </w:t>
      </w:r>
    </w:p>
    <w:p w14:paraId="5A52806F" w14:textId="77777777" w:rsidR="00F26A4C" w:rsidRDefault="00F26A4C" w:rsidP="00F26A4C">
      <w:r w:rsidRPr="00615D4B">
        <w:t>Ces propositions montrent le besoin d’institutionnaliser des rencontres entre : le MTPTC (SPU), le MPCE et le MICT afin d’échanger régulièrement sur le nombre de PDC réalisés, de schémas d’aménagement à entreprendre ou déjà</w:t>
      </w:r>
      <w:r>
        <w:t xml:space="preserve"> établis</w:t>
      </w:r>
      <w:r w:rsidRPr="00615D4B">
        <w:t xml:space="preserve">, et sur les projets résultant de la mise ne œuvre de ces documents d’urbanisme. Ces réunions pourraient faire l’objet d’un </w:t>
      </w:r>
      <w:r w:rsidRPr="0037109E">
        <w:t xml:space="preserve">bref compte rendu chiffré, transmis au </w:t>
      </w:r>
      <w:r>
        <w:t>ST/</w:t>
      </w:r>
      <w:r w:rsidRPr="0037109E">
        <w:t>CIAT pour information</w:t>
      </w:r>
      <w:r>
        <w:rPr>
          <w:rStyle w:val="FootnoteReference"/>
        </w:rPr>
        <w:footnoteReference w:id="31"/>
      </w:r>
      <w:r w:rsidRPr="0037109E">
        <w:t>.</w:t>
      </w:r>
      <w:r>
        <w:t xml:space="preserve"> </w:t>
      </w:r>
    </w:p>
    <w:p w14:paraId="2A15FE30" w14:textId="77777777" w:rsidR="00F26A4C" w:rsidRDefault="00F26A4C" w:rsidP="00F26A4C"/>
    <w:p w14:paraId="28C54571" w14:textId="20C340FE" w:rsidR="00F26A4C" w:rsidRPr="00015E7A" w:rsidRDefault="00F26A4C" w:rsidP="00F26A4C">
      <w:pPr>
        <w:rPr>
          <w:i/>
        </w:rPr>
      </w:pPr>
      <w:r w:rsidRPr="00015E7A">
        <w:rPr>
          <w:i/>
        </w:rPr>
        <w:t>La fonction de suivi des Plans Communaux de Développement par le SPU est prématurée dans le contexte institutionnel actuel entourant l’élaboration des PCD. Ainsi, aucun outil particulier permettant l’opérationnalisation de ces étapes ne sera proposés dans le cadre de cette mission. Nous nous consacrerons à la présentation des outils de suivi des plans d’aménagement</w:t>
      </w:r>
      <w:r>
        <w:rPr>
          <w:i/>
        </w:rPr>
        <w:t xml:space="preserve"> (cf. </w:t>
      </w:r>
      <w:r>
        <w:rPr>
          <w:i/>
        </w:rPr>
        <w:fldChar w:fldCharType="begin"/>
      </w:r>
      <w:r>
        <w:rPr>
          <w:i/>
        </w:rPr>
        <w:instrText xml:space="preserve"> REF _Ref468125340 \w \h </w:instrText>
      </w:r>
      <w:r>
        <w:rPr>
          <w:i/>
        </w:rPr>
      </w:r>
      <w:r>
        <w:rPr>
          <w:i/>
        </w:rPr>
        <w:fldChar w:fldCharType="separate"/>
      </w:r>
      <w:r>
        <w:rPr>
          <w:i/>
        </w:rPr>
        <w:t>C.3.2.a)</w:t>
      </w:r>
      <w:r>
        <w:rPr>
          <w:i/>
        </w:rPr>
        <w:fldChar w:fldCharType="end"/>
      </w:r>
      <w:r>
        <w:rPr>
          <w:i/>
        </w:rPr>
        <w:t>)</w:t>
      </w:r>
      <w:r w:rsidRPr="00015E7A">
        <w:rPr>
          <w:i/>
        </w:rPr>
        <w:t>.</w:t>
      </w:r>
    </w:p>
    <w:p w14:paraId="3305B6E6" w14:textId="77777777" w:rsidR="00F26A4C" w:rsidRPr="0037109E" w:rsidRDefault="00F26A4C" w:rsidP="00F26A4C"/>
    <w:p w14:paraId="7D466DE4" w14:textId="77777777" w:rsidR="00F26A4C" w:rsidRPr="00607A57" w:rsidRDefault="00F26A4C" w:rsidP="00F26A4C">
      <w:pPr>
        <w:pStyle w:val="Heading4"/>
        <w:rPr>
          <w:rFonts w:eastAsia="MS Gothic"/>
        </w:rPr>
      </w:pPr>
      <w:r w:rsidRPr="00607A57">
        <w:rPr>
          <w:rFonts w:eastAsia="MS Gothic"/>
        </w:rPr>
        <w:t>Dans les plans d’aménagement urbain ou plan d’aménagement de quartier</w:t>
      </w:r>
    </w:p>
    <w:p w14:paraId="11F2C9F4" w14:textId="34924D47" w:rsidR="00F26A4C" w:rsidRPr="00E805BB" w:rsidRDefault="00F26A4C" w:rsidP="00F26A4C">
      <w:r w:rsidRPr="00646CAE">
        <w:t xml:space="preserve">Concernant les plans </w:t>
      </w:r>
      <w:r w:rsidRPr="00615D4B">
        <w:t>d’aménagement urbain ou de quartier, la place du SPU est plus visible bien qu’étroitement associée à la composition d’un comité technique de suivi des schémas d’aménagement</w:t>
      </w:r>
      <w:r w:rsidR="00E53E6F">
        <w:t xml:space="preserve">, la supervision des travaux </w:t>
      </w:r>
      <w:r w:rsidRPr="00444911">
        <w:t>du comité revenant au ST/CIAT.</w:t>
      </w:r>
    </w:p>
    <w:p w14:paraId="2A3A4E83" w14:textId="77777777" w:rsidR="00F26A4C" w:rsidRPr="0037109E" w:rsidRDefault="00F26A4C" w:rsidP="00F26A4C">
      <w:pPr>
        <w:rPr>
          <w:i/>
        </w:rPr>
      </w:pPr>
      <w:r>
        <w:t>Pour mémoire</w:t>
      </w:r>
      <w:r w:rsidRPr="00615D4B">
        <w:t xml:space="preserve">, le Comité Technique </w:t>
      </w:r>
      <w:r w:rsidRPr="0037109E">
        <w:t>est décrit comme suit : il s’agit d’ </w:t>
      </w:r>
      <w:r w:rsidRPr="0037109E">
        <w:rPr>
          <w:i/>
        </w:rPr>
        <w:t>« une structure mise en place pour assurer la révision technique des plans d’aménagement jusqu’à leur approbation par le Comité de Validation (CV). Les membres du Comité Technique sont des techniciens et professionnels des ministères et agences publiques, et assureront la révision technique des plans d’aménagement, à différent stade de leur élaboration. […] Remarque : le Comité Technique ne se substitu</w:t>
      </w:r>
      <w:r>
        <w:rPr>
          <w:i/>
        </w:rPr>
        <w:t xml:space="preserve">e pas à la maitrise d’ouvrage ». </w:t>
      </w:r>
      <w:r w:rsidRPr="00FD2D25">
        <w:t xml:space="preserve">La mairie </w:t>
      </w:r>
      <w:r>
        <w:t xml:space="preserve">est responsable de la </w:t>
      </w:r>
      <w:r w:rsidRPr="00FD2D25">
        <w:t xml:space="preserve">commande et la conduite </w:t>
      </w:r>
      <w:r>
        <w:t>de la planification</w:t>
      </w:r>
      <w:r w:rsidRPr="00FD2D25">
        <w:t>, le MTPTC pour l</w:t>
      </w:r>
      <w:r>
        <w:t xml:space="preserve">’aide à la conception et l’appui à mise en œuvre du plan, la validation des travaux d’ingénierie, </w:t>
      </w:r>
      <w:r w:rsidRPr="00FD2D25">
        <w:t xml:space="preserve">de voirie </w:t>
      </w:r>
      <w:r>
        <w:t xml:space="preserve">et la coordination avec la DINEPA, </w:t>
      </w:r>
      <w:r w:rsidRPr="00FD2D25">
        <w:t xml:space="preserve">EDH </w:t>
      </w:r>
      <w:r>
        <w:t>et les autres opérateurs associés</w:t>
      </w:r>
      <w:r w:rsidRPr="00FD2D25">
        <w:t>, l’UCLBP pour les questions de logement.</w:t>
      </w:r>
    </w:p>
    <w:p w14:paraId="19E2CC43" w14:textId="77777777" w:rsidR="00F26A4C" w:rsidRPr="0037109E" w:rsidRDefault="00F26A4C" w:rsidP="00F26A4C">
      <w:pPr>
        <w:pStyle w:val="ListParagraph"/>
        <w:numPr>
          <w:ilvl w:val="0"/>
          <w:numId w:val="20"/>
        </w:numPr>
        <w:spacing w:before="0"/>
      </w:pPr>
      <w:r w:rsidRPr="0037109E">
        <w:rPr>
          <w:b/>
        </w:rPr>
        <w:t>Suivi pré-validation du schéma d’aménagement</w:t>
      </w:r>
      <w:r w:rsidRPr="0037109E">
        <w:t xml:space="preserve"> : Le Comité Technique a réuni, à une fréquence mensuelle jusqu’en juin 2014, des représentants de l’opérateur, du ST/CIAT (Cellule Urbanisme et Habitat), du MTPTC (SPU), du MICT, du MDE, de l’UCLBP, de la DINEPA et de la Mairie concernée. L’animation était assurée par le staff du Secrétariat Technique du CIAT : partage des documents, collecte des commentaires, organisation des réunions, rédaction des comptes rendus, etc. Cependant, le Comité Technique </w:t>
      </w:r>
      <w:r>
        <w:t>ne peut</w:t>
      </w:r>
      <w:r w:rsidRPr="0037109E">
        <w:t xml:space="preserve"> aujourd’hui </w:t>
      </w:r>
      <w:r>
        <w:t>exister sous sa forme initiale. Il s’agit de mettre en place une nouvelle génération de schéma d’aménagement et de passer de l’échelle du quartier à la ville, c’est-à-dire, inscrire les interventions de quartiers dans une planification plus large et intégré. Par ailleurs, le cadre législatif est susceptible d’évoluer dans les prochains mois</w:t>
      </w:r>
      <w:r>
        <w:rPr>
          <w:rStyle w:val="FootnoteReference"/>
        </w:rPr>
        <w:footnoteReference w:id="32"/>
      </w:r>
      <w:r>
        <w:t>.</w:t>
      </w:r>
    </w:p>
    <w:p w14:paraId="2CC2E38F" w14:textId="77777777" w:rsidR="00F26A4C" w:rsidRPr="0037109E" w:rsidRDefault="00F26A4C" w:rsidP="00F26A4C">
      <w:pPr>
        <w:pStyle w:val="ListParagraph"/>
        <w:rPr>
          <w:sz w:val="12"/>
          <w:szCs w:val="12"/>
        </w:rPr>
      </w:pPr>
    </w:p>
    <w:p w14:paraId="4BA0A7C9" w14:textId="77777777" w:rsidR="00F26A4C" w:rsidRPr="0037109E" w:rsidRDefault="00F26A4C" w:rsidP="00F26A4C">
      <w:pPr>
        <w:pStyle w:val="ListParagraph"/>
        <w:numPr>
          <w:ilvl w:val="0"/>
          <w:numId w:val="20"/>
        </w:numPr>
        <w:spacing w:before="0"/>
      </w:pPr>
      <w:r w:rsidRPr="0037109E">
        <w:rPr>
          <w:b/>
        </w:rPr>
        <w:t>Suivi post-validation du schéma d’aménagement</w:t>
      </w:r>
      <w:r w:rsidRPr="0037109E">
        <w:t xml:space="preserve"> : Une fois les schémas d’aménagement présentés au comité de validation, aucun mécanisme de suivi n’a été réfléchi afin de poursuivre la démarche pour replacer la puissance publique au sein d’un mécanisme de suivi et d’orientation des travaux des ONG. Il en résulte que certaines interventions jugées prioritaires dans les schémas </w:t>
      </w:r>
      <w:r w:rsidRPr="00615D4B">
        <w:t xml:space="preserve">d’aménagement n’ont pas vu le jour. Elles se sont réduites à de petites activités, parfois par manque de </w:t>
      </w:r>
      <w:r>
        <w:t xml:space="preserve">financement mais aussi suivant </w:t>
      </w:r>
      <w:r w:rsidRPr="00615D4B">
        <w:t xml:space="preserve">une attitude pragmatique des opérateurs, limité par le temps, et parfois </w:t>
      </w:r>
      <w:r w:rsidRPr="0037109E">
        <w:t>éloignée d’une réflexion sur le caractère structurant des projets</w:t>
      </w:r>
      <w:r w:rsidRPr="0037109E">
        <w:rPr>
          <w:rStyle w:val="FootnoteReference"/>
        </w:rPr>
        <w:footnoteReference w:id="33"/>
      </w:r>
      <w:r w:rsidRPr="0037109E">
        <w:t>. Par ailleurs, une réflexion doit aussi être menée sur le suivi à</w:t>
      </w:r>
      <w:r w:rsidRPr="00845B8F">
        <w:t xml:space="preserve"> plus long terme de la mise en </w:t>
      </w:r>
      <w:r w:rsidRPr="00B92A27">
        <w:t xml:space="preserve">œuvre des schémas d’aménagement, car au-delà des </w:t>
      </w:r>
      <w:r>
        <w:t>premiers</w:t>
      </w:r>
      <w:r w:rsidRPr="00646CAE">
        <w:t xml:space="preserve"> projets réalisés par les ONG, le schéma d’aménagement et son plan programme </w:t>
      </w:r>
      <w:r w:rsidRPr="00E805BB">
        <w:t>doit demeurer une source d’orientations de développement pour tous les acteurs publics.</w:t>
      </w:r>
    </w:p>
    <w:p w14:paraId="6D51A4C1" w14:textId="77777777" w:rsidR="00F26A4C" w:rsidRPr="0037109E" w:rsidRDefault="00F26A4C" w:rsidP="00F26A4C"/>
    <w:p w14:paraId="702A7F0A" w14:textId="77777777" w:rsidR="00F26A4C" w:rsidRPr="0037109E" w:rsidRDefault="00F26A4C" w:rsidP="00F26A4C">
      <w:r w:rsidRPr="0037109E">
        <w:t>Ainsi, les réflexions autours de la place du SPU dans le processus de planification urbaine, d’élaboration et/ou de suivi des schémas d’aménagement doit tenir compte :</w:t>
      </w:r>
    </w:p>
    <w:p w14:paraId="29589773" w14:textId="77777777" w:rsidR="00F26A4C" w:rsidRPr="0037109E" w:rsidRDefault="00F26A4C" w:rsidP="00F26A4C">
      <w:pPr>
        <w:pStyle w:val="ListParagraph"/>
        <w:numPr>
          <w:ilvl w:val="0"/>
          <w:numId w:val="21"/>
        </w:numPr>
        <w:spacing w:before="0" w:after="200"/>
      </w:pPr>
      <w:r w:rsidRPr="0037109E">
        <w:t>de l’</w:t>
      </w:r>
      <w:r>
        <w:t xml:space="preserve">expérience </w:t>
      </w:r>
      <w:r w:rsidRPr="0037109E">
        <w:t>du PARAQ et tirer les leçons de cette 1</w:t>
      </w:r>
      <w:r w:rsidRPr="0037109E">
        <w:rPr>
          <w:vertAlign w:val="superscript"/>
        </w:rPr>
        <w:t>ère</w:t>
      </w:r>
      <w:r w:rsidRPr="0037109E">
        <w:t xml:space="preserve"> phase de mise en œuvre, interven</w:t>
      </w:r>
      <w:r>
        <w:t xml:space="preserve">ue dans une situation singulière </w:t>
      </w:r>
      <w:r w:rsidRPr="00B766D9">
        <w:t>de</w:t>
      </w:r>
      <w:r>
        <w:t xml:space="preserve"> </w:t>
      </w:r>
      <w:r w:rsidRPr="0037109E">
        <w:t>post-urgence,</w:t>
      </w:r>
    </w:p>
    <w:p w14:paraId="46B6D125" w14:textId="77777777" w:rsidR="00F26A4C" w:rsidRPr="0037109E" w:rsidRDefault="00F26A4C" w:rsidP="00F26A4C">
      <w:pPr>
        <w:pStyle w:val="ListParagraph"/>
        <w:numPr>
          <w:ilvl w:val="0"/>
          <w:numId w:val="21"/>
        </w:numPr>
        <w:spacing w:before="0" w:after="200"/>
      </w:pPr>
      <w:r w:rsidRPr="0037109E">
        <w:t>de la nécessité de ré-ancrer la maitrise d’ouvrage au cœur de l’administration publique (locale et/ou centrale).</w:t>
      </w:r>
    </w:p>
    <w:p w14:paraId="6E826562" w14:textId="77777777" w:rsidR="00F26A4C" w:rsidRDefault="00F26A4C" w:rsidP="00F26A4C">
      <w:r w:rsidRPr="0037109E">
        <w:t>Bien que les compétences tendent à se solidifier avec divers programme</w:t>
      </w:r>
      <w:r>
        <w:t>s</w:t>
      </w:r>
      <w:r w:rsidRPr="0037109E">
        <w:t xml:space="preserve"> de formation, force est de constater que pour l’instant les compétences du SPU et les moyens humains disponibles ne permettent pas de travailler sur tous les aspects en régie. Nos propositions sont donc dans un premier temps proportionnées à ces contraintes. Elles permettent de replacer le SPU au cœur des discussions inter-institutions et en font un acteur incontournable pour connaitre l’état d’avancement des schémas d’aménagement. Il est entendu que ce suivi ne se substitue par au suivi opérationnel sectoriel réalisé par les institutions en</w:t>
      </w:r>
      <w:r>
        <w:t xml:space="preserve"> fonction de leurs prérogatives, à leur échelle territoriale,</w:t>
      </w:r>
      <w:r w:rsidRPr="0037109E">
        <w:t xml:space="preserve"> </w:t>
      </w:r>
      <w:r w:rsidRPr="001F3B6E">
        <w:t>ni</w:t>
      </w:r>
      <w:r w:rsidRPr="001F3B6E">
        <w:rPr>
          <w:strike/>
        </w:rPr>
        <w:t xml:space="preserve"> </w:t>
      </w:r>
      <w:r w:rsidRPr="0037109E">
        <w:t>au rôle de maitrise d’ouvrage en lieu et place des mairies.</w:t>
      </w:r>
    </w:p>
    <w:p w14:paraId="1B7864DA" w14:textId="77777777" w:rsidR="00F26A4C" w:rsidRPr="0037109E" w:rsidRDefault="00F26A4C" w:rsidP="00F26A4C">
      <w:pPr>
        <w:pStyle w:val="Caption"/>
      </w:pPr>
      <w:r w:rsidRPr="005F401E">
        <w:t xml:space="preserve">Figure </w:t>
      </w:r>
      <w:fldSimple w:instr=" SEQ Figure \* ARABIC ">
        <w:r w:rsidR="00995EB5">
          <w:rPr>
            <w:noProof/>
          </w:rPr>
          <w:t>3</w:t>
        </w:r>
      </w:fldSimple>
      <w:r w:rsidRPr="005F401E">
        <w:t> : Listing des phases clefs et du rôle du SPU dans l’encadrement de la production des Schémas d’Aménagement urbain ou de quartier</w:t>
      </w:r>
      <w:r w:rsidRPr="005F401E">
        <w:rPr>
          <w:rStyle w:val="FootnoteReference"/>
        </w:rPr>
        <w:footnoteReference w:id="3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F26A4C" w:rsidRPr="0037109E" w14:paraId="7D516476" w14:textId="77777777" w:rsidTr="00F26A4C">
        <w:trPr>
          <w:tblHeader/>
        </w:trPr>
        <w:tc>
          <w:tcPr>
            <w:tcW w:w="2405" w:type="dxa"/>
            <w:shd w:val="clear" w:color="auto" w:fill="E36C0A" w:themeFill="accent6" w:themeFillShade="BF"/>
          </w:tcPr>
          <w:p w14:paraId="74C1C999" w14:textId="77777777" w:rsidR="00F26A4C" w:rsidRPr="0037109E" w:rsidRDefault="00F26A4C" w:rsidP="00F26A4C">
            <w:pPr>
              <w:jc w:val="center"/>
              <w:rPr>
                <w:color w:val="FFFFFF" w:themeColor="background1"/>
              </w:rPr>
            </w:pPr>
            <w:r w:rsidRPr="0037109E">
              <w:rPr>
                <w:color w:val="FFFFFF" w:themeColor="background1"/>
              </w:rPr>
              <w:t>Phases Clefs</w:t>
            </w:r>
          </w:p>
        </w:tc>
        <w:tc>
          <w:tcPr>
            <w:tcW w:w="6657" w:type="dxa"/>
            <w:shd w:val="clear" w:color="auto" w:fill="E36C0A" w:themeFill="accent6" w:themeFillShade="BF"/>
          </w:tcPr>
          <w:p w14:paraId="495FDA95" w14:textId="77777777" w:rsidR="00F26A4C" w:rsidRPr="0037109E" w:rsidRDefault="00F26A4C" w:rsidP="00F26A4C">
            <w:pPr>
              <w:jc w:val="center"/>
              <w:rPr>
                <w:color w:val="FFFFFF" w:themeColor="background1"/>
              </w:rPr>
            </w:pPr>
            <w:r w:rsidRPr="0037109E">
              <w:rPr>
                <w:color w:val="FFFFFF" w:themeColor="background1"/>
              </w:rPr>
              <w:t>Rôle du SPU</w:t>
            </w:r>
          </w:p>
        </w:tc>
      </w:tr>
      <w:tr w:rsidR="00F26A4C" w:rsidRPr="00615D4B" w14:paraId="26734242" w14:textId="77777777" w:rsidTr="00F26A4C">
        <w:tc>
          <w:tcPr>
            <w:tcW w:w="2405" w:type="dxa"/>
            <w:vAlign w:val="center"/>
          </w:tcPr>
          <w:p w14:paraId="3687F702" w14:textId="77777777" w:rsidR="00F26A4C" w:rsidRPr="0037109E" w:rsidRDefault="00F26A4C" w:rsidP="00F26A4C">
            <w:pPr>
              <w:jc w:val="left"/>
            </w:pPr>
            <w:r w:rsidRPr="0037109E">
              <w:t>Conception du schéma d’aménagement</w:t>
            </w:r>
          </w:p>
        </w:tc>
        <w:tc>
          <w:tcPr>
            <w:tcW w:w="6657" w:type="dxa"/>
          </w:tcPr>
          <w:p w14:paraId="191BD02F" w14:textId="269483D7" w:rsidR="00F26A4C" w:rsidRPr="00B92A27" w:rsidRDefault="00F26A4C" w:rsidP="00F26A4C">
            <w:pPr>
              <w:rPr>
                <w:sz w:val="12"/>
                <w:szCs w:val="12"/>
              </w:rPr>
            </w:pPr>
            <w:r w:rsidRPr="00845B8F">
              <w:rPr>
                <w:u w:val="single"/>
              </w:rPr>
              <w:t>Dans le passé</w:t>
            </w:r>
            <w:r w:rsidRPr="00845B8F">
              <w:t> </w:t>
            </w:r>
            <w:r w:rsidRPr="00B766D9">
              <w:t xml:space="preserve">: le rôle du SPU se </w:t>
            </w:r>
            <w:r>
              <w:t>limitait</w:t>
            </w:r>
            <w:r w:rsidRPr="00B766D9">
              <w:t xml:space="preserve"> à un rôle de participation au comité technique qui n’était pas formalisé </w:t>
            </w:r>
            <w:r w:rsidR="005F401E">
              <w:t xml:space="preserve">et de suivi,  à la demande, des opérations </w:t>
            </w:r>
            <w:r w:rsidRPr="00B766D9">
              <w:t>urbaines</w:t>
            </w:r>
            <w:r>
              <w:t xml:space="preserve"> (infrastructures notamment) </w:t>
            </w:r>
          </w:p>
          <w:p w14:paraId="5B0E675A" w14:textId="77777777" w:rsidR="00F26A4C" w:rsidRPr="00254E46" w:rsidRDefault="00F26A4C" w:rsidP="00F26A4C">
            <w:r w:rsidRPr="00646CAE">
              <w:rPr>
                <w:u w:val="single"/>
              </w:rPr>
              <w:t>Dans les nouveaux programmes</w:t>
            </w:r>
            <w:r w:rsidRPr="00646CAE">
              <w:t xml:space="preserve"> : </w:t>
            </w:r>
            <w:r w:rsidRPr="00254E46">
              <w:t>le SPU est moteur de la conception du schéma d’aménagement</w:t>
            </w:r>
          </w:p>
          <w:p w14:paraId="529FBE16" w14:textId="77777777" w:rsidR="00F26A4C" w:rsidRPr="00254E46" w:rsidRDefault="00F26A4C" w:rsidP="00F26A4C">
            <w:pPr>
              <w:pStyle w:val="ListParagraph"/>
              <w:numPr>
                <w:ilvl w:val="0"/>
                <w:numId w:val="22"/>
              </w:numPr>
              <w:spacing w:before="0" w:after="200"/>
            </w:pPr>
            <w:r w:rsidRPr="00254E46">
              <w:t>soit par la réalisation du document en régie directe (non souhaitable),</w:t>
            </w:r>
          </w:p>
          <w:p w14:paraId="554C3C64" w14:textId="77777777" w:rsidR="00F26A4C" w:rsidRDefault="00F26A4C" w:rsidP="00F26A4C">
            <w:pPr>
              <w:pStyle w:val="ListParagraph"/>
              <w:numPr>
                <w:ilvl w:val="0"/>
                <w:numId w:val="22"/>
              </w:numPr>
              <w:spacing w:before="0" w:after="200"/>
            </w:pPr>
            <w:r w:rsidRPr="00254E46">
              <w:t>soit par la rédaction des TdR</w:t>
            </w:r>
            <w:r>
              <w:t xml:space="preserve"> </w:t>
            </w:r>
            <w:r w:rsidRPr="00254E46">
              <w:t>/</w:t>
            </w:r>
            <w:r>
              <w:t xml:space="preserve"> </w:t>
            </w:r>
            <w:r w:rsidRPr="00254E46">
              <w:t>demandes de propositions permettant le recrutement d’un prestataire sur appel d’offre et par l’encadrement et la validation de la prestation,</w:t>
            </w:r>
          </w:p>
          <w:p w14:paraId="68B59F78" w14:textId="77777777" w:rsidR="00F26A4C" w:rsidRPr="005011FA" w:rsidRDefault="00F26A4C" w:rsidP="00F26A4C">
            <w:r>
              <w:t xml:space="preserve">Par ailleurs, </w:t>
            </w:r>
          </w:p>
          <w:p w14:paraId="1AB3A1F4" w14:textId="77777777" w:rsidR="00F26A4C" w:rsidRPr="00254E46" w:rsidRDefault="00F26A4C" w:rsidP="00F26A4C">
            <w:pPr>
              <w:pStyle w:val="ListParagraph"/>
              <w:numPr>
                <w:ilvl w:val="0"/>
                <w:numId w:val="22"/>
              </w:numPr>
              <w:spacing w:before="0" w:after="200"/>
            </w:pPr>
            <w:r w:rsidRPr="00254E46">
              <w:t>Il s’assure que le prestataire a pris connaissance des documents d’urbanisme supra-local et qu’il a à sa disposition l’ensemble des éléments normatifs lui permettant de s’aligner aux lois et normes en vigueur,</w:t>
            </w:r>
          </w:p>
          <w:p w14:paraId="7858BB92" w14:textId="77777777" w:rsidR="00F26A4C" w:rsidRPr="00254E46" w:rsidRDefault="00F26A4C" w:rsidP="00F26A4C">
            <w:pPr>
              <w:pStyle w:val="ListParagraph"/>
              <w:numPr>
                <w:ilvl w:val="0"/>
                <w:numId w:val="22"/>
              </w:numPr>
              <w:spacing w:before="0" w:after="200"/>
            </w:pPr>
            <w:r w:rsidRPr="00254E46">
              <w:t>Il s’assure de la prise en compte des recommandations formulées par le comité technique,</w:t>
            </w:r>
          </w:p>
          <w:p w14:paraId="7F20B723" w14:textId="77777777" w:rsidR="00F26A4C" w:rsidRPr="00254E46" w:rsidRDefault="00F26A4C" w:rsidP="00F26A4C">
            <w:r w:rsidRPr="00254E46">
              <w:rPr>
                <w:u w:val="single"/>
              </w:rPr>
              <w:t>NB</w:t>
            </w:r>
            <w:r w:rsidRPr="00254E46">
              <w:t> : la constitution d’un comité technique ad-hoc permet de maintenir un dialogue interinstitutionnel. La fréquence des réunions est à définir en fonction du volume de schéma d’aménagement prévu.</w:t>
            </w:r>
          </w:p>
          <w:p w14:paraId="251EB785" w14:textId="77777777" w:rsidR="00F26A4C" w:rsidRPr="00B92A27" w:rsidRDefault="00F26A4C" w:rsidP="00F26A4C">
            <w:r w:rsidRPr="00845B8F">
              <w:t xml:space="preserve">Le rôle du SPU serait alors de participer à ces comités techniques </w:t>
            </w:r>
            <w:r>
              <w:t xml:space="preserve">de suivi </w:t>
            </w:r>
            <w:r w:rsidRPr="00845B8F">
              <w:t>et de solliciter des comités exceptionnels</w:t>
            </w:r>
            <w:r>
              <w:t xml:space="preserve"> ad-hoc</w:t>
            </w:r>
            <w:r w:rsidRPr="00845B8F">
              <w:t xml:space="preserve"> pour la validation technique des documents. </w:t>
            </w:r>
          </w:p>
        </w:tc>
      </w:tr>
      <w:tr w:rsidR="00F26A4C" w:rsidRPr="00615D4B" w14:paraId="0A61EC9D" w14:textId="77777777" w:rsidTr="00E53E6F">
        <w:tc>
          <w:tcPr>
            <w:tcW w:w="2405" w:type="dxa"/>
            <w:vAlign w:val="center"/>
          </w:tcPr>
          <w:p w14:paraId="2EC1A8C2" w14:textId="77777777" w:rsidR="00F26A4C" w:rsidRPr="0037109E" w:rsidRDefault="00F26A4C" w:rsidP="00E53E6F">
            <w:pPr>
              <w:jc w:val="left"/>
            </w:pPr>
            <w:r w:rsidRPr="0037109E">
              <w:t>Validation du schéma d’aménagement</w:t>
            </w:r>
          </w:p>
        </w:tc>
        <w:tc>
          <w:tcPr>
            <w:tcW w:w="6657" w:type="dxa"/>
          </w:tcPr>
          <w:p w14:paraId="5673D897" w14:textId="77777777" w:rsidR="00F26A4C" w:rsidRPr="0037109E" w:rsidRDefault="00F26A4C" w:rsidP="00F26A4C">
            <w:r w:rsidRPr="0037109E">
              <w:rPr>
                <w:u w:val="single"/>
              </w:rPr>
              <w:t>Dans le passé</w:t>
            </w:r>
            <w:r w:rsidRPr="0037109E">
              <w:t xml:space="preserve"> : </w:t>
            </w:r>
            <w:r w:rsidRPr="00B766D9">
              <w:t>Le SPU participait aux validations sans que son rôle soit clairement formalisé.</w:t>
            </w:r>
          </w:p>
          <w:p w14:paraId="354908F3" w14:textId="77777777" w:rsidR="00F26A4C" w:rsidRPr="0037109E" w:rsidRDefault="00F26A4C" w:rsidP="00F26A4C">
            <w:pPr>
              <w:rPr>
                <w:sz w:val="12"/>
                <w:szCs w:val="12"/>
              </w:rPr>
            </w:pPr>
          </w:p>
          <w:p w14:paraId="4DE921ED" w14:textId="77777777" w:rsidR="00F26A4C" w:rsidRPr="00254E46" w:rsidRDefault="00F26A4C" w:rsidP="00F26A4C">
            <w:r w:rsidRPr="0037109E">
              <w:rPr>
                <w:u w:val="single"/>
              </w:rPr>
              <w:t>Dans les nouveaux programmes</w:t>
            </w:r>
            <w:r w:rsidRPr="0037109E">
              <w:t xml:space="preserve"> : </w:t>
            </w:r>
            <w:r w:rsidRPr="00254E46">
              <w:t xml:space="preserve">le SPU sollicite la tenue d’un comité de validation </w:t>
            </w:r>
            <w:r>
              <w:t>stratégique</w:t>
            </w:r>
            <w:r w:rsidRPr="00254E46">
              <w:t xml:space="preserve"> du document, distinct du comité technique. </w:t>
            </w:r>
            <w:r>
              <w:t>Ce dernier serait un comité de pilotage interinstitutionnel qui définirait les stratégies de territoire et vérifierait la cohérence des documents proposés par le comité technique. En outre, le comité technique</w:t>
            </w:r>
            <w:r w:rsidRPr="00254E46">
              <w:t xml:space="preserve"> peut présenter une note de synthèse du schéma d’aménagement pour en faciliter l’adoption</w:t>
            </w:r>
            <w:r>
              <w:t xml:space="preserve"> et avoir un rôle de facilitateur des débats lors des comités de pilotage</w:t>
            </w:r>
            <w:r w:rsidRPr="00254E46">
              <w:t xml:space="preserve">. </w:t>
            </w:r>
          </w:p>
          <w:p w14:paraId="03C75E2A" w14:textId="77777777" w:rsidR="00F26A4C" w:rsidRPr="00254E46" w:rsidRDefault="00F26A4C" w:rsidP="00F26A4C">
            <w:pPr>
              <w:pStyle w:val="ListParagraph"/>
              <w:numPr>
                <w:ilvl w:val="0"/>
                <w:numId w:val="23"/>
              </w:numPr>
              <w:spacing w:before="0" w:after="200"/>
            </w:pPr>
            <w:r w:rsidRPr="00254E46">
              <w:t>Il met à jour le fichier de suivi des documents d’urbanisme</w:t>
            </w:r>
            <w:r w:rsidRPr="00254E46">
              <w:rPr>
                <w:rStyle w:val="FootnoteReference"/>
              </w:rPr>
              <w:footnoteReference w:id="35"/>
            </w:r>
            <w:r w:rsidRPr="00254E46">
              <w:t>, en indiquant si le décret municipal est adopté et si la publication au Moniteur est effective</w:t>
            </w:r>
          </w:p>
          <w:p w14:paraId="1274154D" w14:textId="77777777" w:rsidR="00F26A4C" w:rsidRPr="00066425" w:rsidRDefault="00F26A4C" w:rsidP="00F26A4C">
            <w:pPr>
              <w:pStyle w:val="ListParagraph"/>
              <w:numPr>
                <w:ilvl w:val="0"/>
                <w:numId w:val="23"/>
              </w:numPr>
              <w:spacing w:before="0" w:after="200"/>
            </w:pPr>
            <w:r w:rsidRPr="00254E46">
              <w:t>Il joue un rôle de facilitateur pour l’adoption du décret et sa publication au Moniteur</w:t>
            </w:r>
          </w:p>
        </w:tc>
      </w:tr>
      <w:tr w:rsidR="00F26A4C" w:rsidRPr="00615D4B" w14:paraId="65FE0317" w14:textId="77777777" w:rsidTr="00E53E6F">
        <w:tc>
          <w:tcPr>
            <w:tcW w:w="2405" w:type="dxa"/>
            <w:vAlign w:val="center"/>
          </w:tcPr>
          <w:p w14:paraId="69BEFB01" w14:textId="77777777" w:rsidR="00F26A4C" w:rsidRPr="0037109E" w:rsidRDefault="00F26A4C" w:rsidP="00E53E6F">
            <w:pPr>
              <w:jc w:val="left"/>
            </w:pPr>
            <w:r w:rsidRPr="0037109E">
              <w:t>Mise en œuvre du schéma d’aménagement</w:t>
            </w:r>
          </w:p>
        </w:tc>
        <w:tc>
          <w:tcPr>
            <w:tcW w:w="6657" w:type="dxa"/>
          </w:tcPr>
          <w:p w14:paraId="5EB04980" w14:textId="77777777" w:rsidR="00F26A4C" w:rsidRPr="0037109E" w:rsidRDefault="00F26A4C" w:rsidP="00F26A4C">
            <w:r w:rsidRPr="0037109E">
              <w:rPr>
                <w:u w:val="single"/>
              </w:rPr>
              <w:t>Dans le passé</w:t>
            </w:r>
            <w:r w:rsidRPr="0037109E">
              <w:t xml:space="preserve"> : </w:t>
            </w:r>
            <w:r w:rsidRPr="00254E46">
              <w:t>Absence de dispositif de suivi</w:t>
            </w:r>
          </w:p>
          <w:p w14:paraId="2C00A22C" w14:textId="77777777" w:rsidR="00F26A4C" w:rsidRPr="0037109E" w:rsidRDefault="00F26A4C" w:rsidP="00F26A4C">
            <w:pPr>
              <w:rPr>
                <w:sz w:val="12"/>
                <w:szCs w:val="12"/>
              </w:rPr>
            </w:pPr>
          </w:p>
          <w:p w14:paraId="2F5A3053" w14:textId="77777777" w:rsidR="00F26A4C" w:rsidRPr="00254E46" w:rsidRDefault="00F26A4C" w:rsidP="00F26A4C">
            <w:r w:rsidRPr="0037109E">
              <w:rPr>
                <w:u w:val="single"/>
              </w:rPr>
              <w:t>Dans les nouveaux programmes</w:t>
            </w:r>
            <w:r w:rsidRPr="0037109E">
              <w:t xml:space="preserve"> : </w:t>
            </w:r>
            <w:r w:rsidRPr="00254E46">
              <w:t>le SPU est garant de la conformité des passations de marché en lien avec les schémas d’aménagement validés.</w:t>
            </w:r>
          </w:p>
          <w:p w14:paraId="31FCBECA" w14:textId="77777777" w:rsidR="00F26A4C" w:rsidRPr="00254E46" w:rsidRDefault="00F26A4C" w:rsidP="00F26A4C">
            <w:r w:rsidRPr="00254E46">
              <w:t>Elaboration des appels d’offres : le SPU pourrait être consulté par les institutions/bailleurs lors de l’élaboration des appels d’offres pour la mise en œuvre des schémas d’aménagement. Lors de cette consultation le SPU :</w:t>
            </w:r>
          </w:p>
          <w:p w14:paraId="48300EAB" w14:textId="77777777" w:rsidR="00F26A4C" w:rsidRPr="00254E46" w:rsidRDefault="00F26A4C" w:rsidP="00F26A4C">
            <w:pPr>
              <w:pStyle w:val="ListParagraph"/>
              <w:numPr>
                <w:ilvl w:val="0"/>
                <w:numId w:val="24"/>
              </w:numPr>
              <w:spacing w:before="0" w:after="200"/>
            </w:pPr>
            <w:r w:rsidRPr="00254E46">
              <w:t>donnerait son avis quant à la pertinence des projets sélectionnés, leur cohérence au regard de la stratégie globale définie et par rapport à d’autres initiatives en cours ;</w:t>
            </w:r>
          </w:p>
          <w:p w14:paraId="76AF944E" w14:textId="77777777" w:rsidR="00F26A4C" w:rsidRPr="00254E46" w:rsidRDefault="00F26A4C" w:rsidP="00F26A4C">
            <w:pPr>
              <w:pStyle w:val="ListParagraph"/>
              <w:numPr>
                <w:ilvl w:val="0"/>
                <w:numId w:val="24"/>
              </w:numPr>
              <w:spacing w:before="0" w:after="200"/>
            </w:pPr>
            <w:r w:rsidRPr="00254E46">
              <w:t>définirait un cadre minimum pour le suivi du projet. En coordination avec l’institution en charge du projet, il vérifierait que :</w:t>
            </w:r>
          </w:p>
          <w:p w14:paraId="48D95A8A" w14:textId="77777777" w:rsidR="00F26A4C" w:rsidRPr="00254E46" w:rsidRDefault="00F26A4C" w:rsidP="00F26A4C">
            <w:pPr>
              <w:pStyle w:val="ListParagraph"/>
              <w:numPr>
                <w:ilvl w:val="0"/>
                <w:numId w:val="25"/>
              </w:numPr>
              <w:spacing w:before="0" w:after="200"/>
              <w:ind w:left="1593"/>
            </w:pPr>
            <w:r w:rsidRPr="00254E46">
              <w:t xml:space="preserve">les étapes clefs du projet fassent l’objet d’une validation par le comité technique ad-hoc, </w:t>
            </w:r>
          </w:p>
          <w:p w14:paraId="557330AE" w14:textId="77777777" w:rsidR="00F26A4C" w:rsidRPr="00254E46" w:rsidRDefault="00F26A4C" w:rsidP="00F26A4C">
            <w:pPr>
              <w:pStyle w:val="ListParagraph"/>
              <w:numPr>
                <w:ilvl w:val="0"/>
                <w:numId w:val="25"/>
              </w:numPr>
              <w:spacing w:before="0" w:after="200"/>
              <w:ind w:left="1593"/>
            </w:pPr>
            <w:r w:rsidRPr="00254E46">
              <w:t>les TdR précisent la terminologie communément acceptée,</w:t>
            </w:r>
          </w:p>
          <w:p w14:paraId="3F1F672A" w14:textId="77777777" w:rsidR="00F26A4C" w:rsidRPr="00254E46" w:rsidRDefault="00F26A4C" w:rsidP="00F26A4C">
            <w:pPr>
              <w:pStyle w:val="ListParagraph"/>
              <w:numPr>
                <w:ilvl w:val="0"/>
                <w:numId w:val="25"/>
              </w:numPr>
              <w:spacing w:before="0" w:after="200"/>
              <w:ind w:left="1593"/>
            </w:pPr>
            <w:r w:rsidRPr="00254E46">
              <w:t>les TdR précisent les procédures Evaluatives exigées et les indicateurs à suivre a minima et les données à transmettre,</w:t>
            </w:r>
          </w:p>
          <w:p w14:paraId="32C59BF0" w14:textId="77777777" w:rsidR="00F26A4C" w:rsidRPr="00254E46" w:rsidRDefault="00F26A4C" w:rsidP="00F26A4C"/>
          <w:p w14:paraId="61FC0C52" w14:textId="77777777" w:rsidR="00F26A4C" w:rsidRPr="00254E46" w:rsidRDefault="00F26A4C" w:rsidP="00F26A4C">
            <w:r w:rsidRPr="00254E46">
              <w:t xml:space="preserve">Attribution du marché et démarrage des activités : le SPU pourrait être </w:t>
            </w:r>
            <w:r>
              <w:t>un</w:t>
            </w:r>
            <w:r w:rsidRPr="00254E46">
              <w:t xml:space="preserve"> passage </w:t>
            </w:r>
            <w:r>
              <w:t>obligé</w:t>
            </w:r>
            <w:r w:rsidRPr="00254E46">
              <w:rPr>
                <w:rStyle w:val="FootnoteReference"/>
              </w:rPr>
              <w:footnoteReference w:id="36"/>
            </w:r>
            <w:r w:rsidRPr="00254E46">
              <w:t xml:space="preserve"> </w:t>
            </w:r>
            <w:r>
              <w:t xml:space="preserve">dans le circuit de validation des projets issus des schémas d’aménagement que </w:t>
            </w:r>
            <w:r w:rsidRPr="00254E46">
              <w:t>tout opérateur souhait</w:t>
            </w:r>
            <w:r>
              <w:t>erait</w:t>
            </w:r>
            <w:r w:rsidRPr="00254E46">
              <w:t xml:space="preserve"> mettre en œuvre. Sans l’aval du SPU, les interventions ne seraient pas autorisées</w:t>
            </w:r>
            <w:r>
              <w:t xml:space="preserve"> (cf. NB2)</w:t>
            </w:r>
            <w:r w:rsidRPr="00254E46">
              <w:t>. Lors de ce passage, un certain nombre d’activités permettraient de s’assurer d’une information continue du SPU sur le travail envisagé et réalisé.</w:t>
            </w:r>
          </w:p>
          <w:p w14:paraId="1D71803B" w14:textId="77777777" w:rsidR="00F26A4C" w:rsidRPr="00254E46" w:rsidRDefault="00F26A4C" w:rsidP="00F26A4C">
            <w:pPr>
              <w:pStyle w:val="ListParagraph"/>
              <w:numPr>
                <w:ilvl w:val="0"/>
                <w:numId w:val="26"/>
              </w:numPr>
              <w:spacing w:before="0" w:after="200"/>
            </w:pPr>
            <w:r w:rsidRPr="00254E46">
              <w:t>Elaboration d’une check-list permettant de garantir le respect de certaines étapes, dispositions essentielles à l’harmonisation des informations transmises</w:t>
            </w:r>
            <w:r>
              <w:t> ;</w:t>
            </w:r>
          </w:p>
          <w:p w14:paraId="26511421" w14:textId="77777777" w:rsidR="00F26A4C" w:rsidRPr="00254E46" w:rsidRDefault="00F26A4C" w:rsidP="00F26A4C">
            <w:pPr>
              <w:pStyle w:val="ListParagraph"/>
              <w:numPr>
                <w:ilvl w:val="0"/>
                <w:numId w:val="26"/>
              </w:numPr>
              <w:spacing w:before="0" w:after="200"/>
            </w:pPr>
            <w:r w:rsidRPr="00254E46">
              <w:t>Remplissage du tableau de suivi de projet ;</w:t>
            </w:r>
          </w:p>
          <w:p w14:paraId="0F7DEE6A" w14:textId="77777777" w:rsidR="00F26A4C" w:rsidRDefault="00F26A4C" w:rsidP="00F26A4C">
            <w:r w:rsidRPr="00254E46">
              <w:t>NB : Il est important que le SPU ne se substitue pas à la maitrise d’ouvrage communale, qui plus est dans la ZMPP.</w:t>
            </w:r>
          </w:p>
          <w:p w14:paraId="6D30035D" w14:textId="77777777" w:rsidR="00F26A4C" w:rsidRPr="0037109E" w:rsidRDefault="00F26A4C" w:rsidP="00F26A4C">
            <w:r>
              <w:t xml:space="preserve">NB2 : Cette action doit avoir une portée </w:t>
            </w:r>
            <w:r w:rsidRPr="00615D4B">
              <w:t xml:space="preserve">limitée </w:t>
            </w:r>
            <w:r>
              <w:t>telle que celle que pourrait avoir un visa de conformité au schéma d’aménagement (c’est à dire une analyse juridico-technique dont le résultat serait : « </w:t>
            </w:r>
            <w:r w:rsidRPr="0011543D">
              <w:rPr>
                <w:i/>
              </w:rPr>
              <w:t>le bureau s’est présenté au SPU, la proposition est conforme aux orientations (ou non conforme et dire en quoi) et nous en prenons bonne note</w:t>
            </w:r>
            <w:r>
              <w:t> ». Cette action serait à mener en parallèle de l’instruction du projet par exemple ou des études de faisabilité + prescriptions/recommandations à prendre en compte dans la définition du projet.</w:t>
            </w:r>
          </w:p>
        </w:tc>
      </w:tr>
      <w:tr w:rsidR="00F26A4C" w:rsidRPr="00615D4B" w14:paraId="2B62A194" w14:textId="77777777" w:rsidTr="00E53E6F">
        <w:tc>
          <w:tcPr>
            <w:tcW w:w="2405" w:type="dxa"/>
            <w:vAlign w:val="center"/>
          </w:tcPr>
          <w:p w14:paraId="5CC97061" w14:textId="77777777" w:rsidR="00F26A4C" w:rsidRPr="00254E46" w:rsidRDefault="00F26A4C" w:rsidP="00E53E6F">
            <w:pPr>
              <w:jc w:val="left"/>
            </w:pPr>
            <w:r w:rsidRPr="00254E46">
              <w:t>Actualisation du schéma d’aménagement</w:t>
            </w:r>
          </w:p>
        </w:tc>
        <w:tc>
          <w:tcPr>
            <w:tcW w:w="6657" w:type="dxa"/>
            <w:shd w:val="clear" w:color="auto" w:fill="auto"/>
          </w:tcPr>
          <w:p w14:paraId="36E93013" w14:textId="77777777" w:rsidR="00F26A4C" w:rsidRPr="00254E46" w:rsidRDefault="00F26A4C" w:rsidP="00F26A4C">
            <w:r w:rsidRPr="00254E46">
              <w:t xml:space="preserve">Périodiquement les schémas d’aménagement devront être réactualisés, en fonction des résultats obtenus dans le cadre des projets, des données récoltées, de l’avancement des travaux et de l’évolution des indicateurs. </w:t>
            </w:r>
          </w:p>
          <w:p w14:paraId="2AE625E4" w14:textId="77777777" w:rsidR="00F26A4C" w:rsidRPr="00254E46" w:rsidRDefault="00F26A4C" w:rsidP="00F26A4C">
            <w:r w:rsidRPr="00254E46">
              <w:t xml:space="preserve">Un schéma d’aménagement est </w:t>
            </w:r>
            <w:r>
              <w:t xml:space="preserve">pour l’instant </w:t>
            </w:r>
            <w:r w:rsidRPr="00254E46">
              <w:t>un instrument rigide et défini sur le temps long. La périodicité d’actualisation est de plus ou moins 10 ans.</w:t>
            </w:r>
            <w:r>
              <w:t xml:space="preserve"> Mais elle doit pouvoir s’adapter aux contextes et aux nouvelles méthodologies qui pourront voir le jour dans le secteur de la production de l’urbain.</w:t>
            </w:r>
          </w:p>
          <w:p w14:paraId="5A485F43" w14:textId="77777777" w:rsidR="00F26A4C" w:rsidRPr="00BC1BA7" w:rsidRDefault="00F26A4C" w:rsidP="00F26A4C">
            <w:pPr>
              <w:rPr>
                <w:sz w:val="12"/>
              </w:rPr>
            </w:pPr>
          </w:p>
          <w:p w14:paraId="257B7977" w14:textId="77777777" w:rsidR="00F26A4C" w:rsidRPr="00254E46" w:rsidRDefault="00F26A4C" w:rsidP="00F26A4C">
            <w:r w:rsidRPr="00254E46">
              <w:t xml:space="preserve">Cependant, en fonction de l’avancement des différents projets issus des orientations des schémas, les plans d’investissements prioritaires évolueront, quant à eux, plus rapidement. Il sera donc nécessaire de revoir les priorités d’investissements de façon plus régulière en fonction des avancées, des résultats obtenus et de l’évolution des indicateurs de projet. </w:t>
            </w:r>
          </w:p>
          <w:p w14:paraId="0CEF81D5" w14:textId="77777777" w:rsidR="00F26A4C" w:rsidRPr="00254E46" w:rsidRDefault="00F26A4C" w:rsidP="00F26A4C">
            <w:r w:rsidRPr="00254E46">
              <w:rPr>
                <w:u w:val="single"/>
              </w:rPr>
              <w:t>Dans le passé</w:t>
            </w:r>
            <w:r w:rsidRPr="00254E46">
              <w:t> : Absence de dispositif de suivi</w:t>
            </w:r>
          </w:p>
          <w:p w14:paraId="5B547350" w14:textId="77777777" w:rsidR="00F26A4C" w:rsidRPr="00254E46" w:rsidRDefault="00F26A4C" w:rsidP="00F26A4C">
            <w:pPr>
              <w:rPr>
                <w:sz w:val="12"/>
                <w:szCs w:val="12"/>
              </w:rPr>
            </w:pPr>
          </w:p>
          <w:p w14:paraId="51D8A0F9" w14:textId="77777777" w:rsidR="00F26A4C" w:rsidRPr="00254E46" w:rsidRDefault="00F26A4C" w:rsidP="00F26A4C">
            <w:r w:rsidRPr="00254E46">
              <w:rPr>
                <w:u w:val="single"/>
              </w:rPr>
              <w:t>Dans les nouveaux programmes</w:t>
            </w:r>
            <w:r w:rsidRPr="00254E46">
              <w:t> : Accompagner</w:t>
            </w:r>
            <w:r>
              <w:t xml:space="preserve"> techniquement </w:t>
            </w:r>
            <w:r w:rsidRPr="00254E46">
              <w:t>les mairies à faire le suivi des actions prioritaires mis</w:t>
            </w:r>
            <w:r>
              <w:t>es</w:t>
            </w:r>
            <w:r w:rsidRPr="00254E46">
              <w:t xml:space="preserve"> en œuvre, le degré de réalisation </w:t>
            </w:r>
            <w:r>
              <w:t xml:space="preserve">et de pertinence </w:t>
            </w:r>
            <w:r w:rsidRPr="00254E46">
              <w:t>du plan d’investissement</w:t>
            </w:r>
            <w:r>
              <w:t>s</w:t>
            </w:r>
            <w:r w:rsidRPr="00254E46">
              <w:t xml:space="preserve"> en cours et </w:t>
            </w:r>
            <w:r>
              <w:t xml:space="preserve">à </w:t>
            </w:r>
            <w:r w:rsidRPr="00254E46">
              <w:t>la prise de décision d’actualiser le plan d’investissement en fonction des (nouveaux) enjeux du territoire.</w:t>
            </w:r>
          </w:p>
          <w:p w14:paraId="7EA45349" w14:textId="77777777" w:rsidR="00F26A4C" w:rsidRPr="00254E46" w:rsidRDefault="00F26A4C" w:rsidP="00F26A4C"/>
          <w:p w14:paraId="011C07C4" w14:textId="77777777" w:rsidR="00F26A4C" w:rsidRPr="00254E46" w:rsidRDefault="00F26A4C" w:rsidP="00F26A4C">
            <w:r w:rsidRPr="00254E46">
              <w:t>Ces évolutions devront être documentées, afin de garder une mémoire, un historique de l’évolution des priorités de la commune.</w:t>
            </w:r>
          </w:p>
        </w:tc>
      </w:tr>
    </w:tbl>
    <w:p w14:paraId="01DD672A" w14:textId="77777777" w:rsidR="00F26A4C" w:rsidRPr="00B92A27" w:rsidRDefault="00F26A4C" w:rsidP="00F26A4C"/>
    <w:p w14:paraId="25CB5E4F" w14:textId="77777777" w:rsidR="00F26A4C" w:rsidRPr="00607A57" w:rsidRDefault="00F26A4C" w:rsidP="00F26A4C">
      <w:pPr>
        <w:pStyle w:val="Heading4"/>
        <w:rPr>
          <w:rFonts w:eastAsia="MS Gothic"/>
        </w:rPr>
      </w:pPr>
      <w:r w:rsidRPr="00607A57">
        <w:rPr>
          <w:rFonts w:eastAsia="MS Gothic"/>
        </w:rPr>
        <w:t>Dans les autres projets de planification urbaine ?</w:t>
      </w:r>
    </w:p>
    <w:p w14:paraId="05EDC6B2" w14:textId="77777777" w:rsidR="00F26A4C" w:rsidRDefault="00F26A4C" w:rsidP="00F26A4C">
      <w:r>
        <w:t xml:space="preserve">Tel que le montre le tableau précédent, le travail sur la planification urbaine bien que faisant </w:t>
      </w:r>
      <w:r w:rsidRPr="00444911">
        <w:t xml:space="preserve">parti des prérogatives du SPU n’est pas effectif. Il convient de </w:t>
      </w:r>
      <w:r w:rsidRPr="00B766D9">
        <w:t>regarder en interne quelles seraient</w:t>
      </w:r>
      <w:r>
        <w:t xml:space="preserve"> les ressources humaines formées capables d’assurer l’encadrement de la production des documents de planification (PCD, schéma d’aménagement). Une fois son rôle bien assis sur ces 2 documents, il sera </w:t>
      </w:r>
      <w:r w:rsidRPr="00615D4B">
        <w:t xml:space="preserve">possible d’étendre </w:t>
      </w:r>
      <w:r>
        <w:t xml:space="preserve">les attributions -même légères - aux autres outils de planification existantes. </w:t>
      </w:r>
    </w:p>
    <w:p w14:paraId="0DEC602A" w14:textId="77777777" w:rsidR="00F26A4C" w:rsidRDefault="00F26A4C" w:rsidP="00F26A4C">
      <w:r>
        <w:t>Toutefois au regard du peu de communication existant et de la multitude des bailleurs/opérateurs intervenant sur la planification urbaine, il n’est pas réaliste d’étendre aujourd’hui les fonctions du SPU au-delà des 2 documents cités ci-dessus.</w:t>
      </w:r>
    </w:p>
    <w:p w14:paraId="3A7BBDE0" w14:textId="77777777" w:rsidR="00F927A2" w:rsidRDefault="00F927A2" w:rsidP="00607A57"/>
    <w:p w14:paraId="13A60AAA" w14:textId="77777777" w:rsidR="00607A57" w:rsidRPr="00615D4B" w:rsidRDefault="00607A57" w:rsidP="00607A57">
      <w:pPr>
        <w:pStyle w:val="Heading3"/>
      </w:pPr>
      <w:bookmarkStart w:id="23" w:name="_Toc468189943"/>
      <w:r w:rsidRPr="00615D4B">
        <w:t>Suivi de l’avancement des projets</w:t>
      </w:r>
      <w:bookmarkEnd w:id="23"/>
      <w:r w:rsidRPr="00615D4B">
        <w:t xml:space="preserve"> </w:t>
      </w:r>
    </w:p>
    <w:p w14:paraId="63F3D30E" w14:textId="0637CBCF" w:rsidR="00607A57" w:rsidRPr="0011335E" w:rsidRDefault="00607A57" w:rsidP="00607A57">
      <w:r>
        <w:t xml:space="preserve">Le chapitre précédent présente le rôle et les fonctions qui pourraient être celles du SPU dans l’encadrement de la production des documents de planification et de leur actualisation. Les paragraphes suivants présentent quant à eux les outils que pourraient utiliser le SPU. Ces outils </w:t>
      </w:r>
      <w:r w:rsidR="00F26A4C">
        <w:t>ont été élaborés conjointement avec le MTPTC lors qu’une séance conjointe le 9 novembre 2016</w:t>
      </w:r>
      <w:r>
        <w:t>.</w:t>
      </w:r>
    </w:p>
    <w:p w14:paraId="1BF49BE0" w14:textId="77777777" w:rsidR="00607A57" w:rsidRPr="00E805BB" w:rsidRDefault="00607A57" w:rsidP="00607A57">
      <w:pPr>
        <w:pStyle w:val="Heading4"/>
      </w:pPr>
      <w:bookmarkStart w:id="24" w:name="_Ref468125340"/>
      <w:r w:rsidRPr="00E805BB">
        <w:t>Quels outils pour le SPU ?</w:t>
      </w:r>
      <w:bookmarkEnd w:id="24"/>
    </w:p>
    <w:p w14:paraId="120CA769" w14:textId="01CBF995" w:rsidR="00607A57" w:rsidRDefault="00607A57" w:rsidP="00607A57">
      <w:r w:rsidRPr="0037109E">
        <w:t>Le tableau ci-dessous reprend phase par phase les outils de suivi proposés par la mission.</w:t>
      </w:r>
      <w:r>
        <w:t xml:space="preserve"> Ils concerne</w:t>
      </w:r>
      <w:r w:rsidR="00F26A4C">
        <w:t>nt</w:t>
      </w:r>
      <w:r>
        <w:t xml:space="preserve"> </w:t>
      </w:r>
      <w:r w:rsidR="00F26A4C">
        <w:t>exclusivement</w:t>
      </w:r>
      <w:r>
        <w:t xml:space="preserve"> les Schémas d’Aménagement (5 outils).</w:t>
      </w:r>
    </w:p>
    <w:p w14:paraId="0A7F221E" w14:textId="77777777" w:rsidR="00607A57" w:rsidRPr="0037109E" w:rsidRDefault="00607A57" w:rsidP="00F927A2">
      <w:pPr>
        <w:pStyle w:val="Caption"/>
      </w:pPr>
      <w:r>
        <w:t xml:space="preserve">Figure </w:t>
      </w:r>
      <w:fldSimple w:instr=" SEQ Figure \* ARABIC ">
        <w:r w:rsidR="00995EB5">
          <w:rPr>
            <w:noProof/>
          </w:rPr>
          <w:t>4</w:t>
        </w:r>
      </w:fldSimple>
      <w:r>
        <w:t> : Liste synthétique des outils proposés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607A57" w:rsidRPr="0037109E" w14:paraId="06514CFC" w14:textId="77777777" w:rsidTr="00607A57">
        <w:trPr>
          <w:tblHeader/>
        </w:trPr>
        <w:tc>
          <w:tcPr>
            <w:tcW w:w="2405" w:type="dxa"/>
            <w:shd w:val="clear" w:color="auto" w:fill="E36C0A" w:themeFill="accent6" w:themeFillShade="BF"/>
          </w:tcPr>
          <w:p w14:paraId="4A4C8A80" w14:textId="77777777" w:rsidR="00607A57" w:rsidRPr="00B47561" w:rsidRDefault="00607A57" w:rsidP="00607A57">
            <w:pPr>
              <w:jc w:val="center"/>
              <w:rPr>
                <w:color w:val="FFFFFF" w:themeColor="background1"/>
              </w:rPr>
            </w:pPr>
            <w:r w:rsidRPr="00B47561">
              <w:rPr>
                <w:color w:val="FFFFFF" w:themeColor="background1"/>
              </w:rPr>
              <w:t>Phases Clefs</w:t>
            </w:r>
          </w:p>
        </w:tc>
        <w:tc>
          <w:tcPr>
            <w:tcW w:w="6946" w:type="dxa"/>
            <w:shd w:val="clear" w:color="auto" w:fill="E36C0A" w:themeFill="accent6" w:themeFillShade="BF"/>
          </w:tcPr>
          <w:p w14:paraId="756A33C7" w14:textId="77777777" w:rsidR="00607A57" w:rsidRPr="00845B8F" w:rsidRDefault="00607A57" w:rsidP="00607A57">
            <w:pPr>
              <w:jc w:val="center"/>
              <w:rPr>
                <w:color w:val="FFFFFF" w:themeColor="background1"/>
              </w:rPr>
            </w:pPr>
            <w:r w:rsidRPr="00845B8F">
              <w:rPr>
                <w:color w:val="FFFFFF" w:themeColor="background1"/>
              </w:rPr>
              <w:t>Outils proposés</w:t>
            </w:r>
          </w:p>
        </w:tc>
      </w:tr>
      <w:tr w:rsidR="00607A57" w:rsidRPr="00615D4B" w14:paraId="2B9880D9" w14:textId="77777777" w:rsidTr="00607A57">
        <w:tc>
          <w:tcPr>
            <w:tcW w:w="9351" w:type="dxa"/>
            <w:gridSpan w:val="2"/>
            <w:shd w:val="clear" w:color="auto" w:fill="FFFFCC"/>
            <w:vAlign w:val="center"/>
          </w:tcPr>
          <w:p w14:paraId="78032467" w14:textId="77777777" w:rsidR="00607A57" w:rsidRPr="0037109E" w:rsidRDefault="00607A57" w:rsidP="00607A57">
            <w:pPr>
              <w:jc w:val="center"/>
            </w:pPr>
            <w:r w:rsidRPr="0037109E">
              <w:t>Schéma d’aménagement urbain ou de quartier</w:t>
            </w:r>
          </w:p>
        </w:tc>
      </w:tr>
      <w:tr w:rsidR="00607A57" w:rsidRPr="00615D4B" w14:paraId="61768C9A" w14:textId="77777777" w:rsidTr="00607A57">
        <w:tc>
          <w:tcPr>
            <w:tcW w:w="2405" w:type="dxa"/>
            <w:vAlign w:val="center"/>
          </w:tcPr>
          <w:p w14:paraId="1493E15F" w14:textId="41AFBB6C" w:rsidR="00607A57" w:rsidRPr="005F401E" w:rsidRDefault="00607A57" w:rsidP="00607A57">
            <w:pPr>
              <w:jc w:val="left"/>
            </w:pPr>
            <w:r w:rsidRPr="005F401E">
              <w:t xml:space="preserve">Conception </w:t>
            </w:r>
            <w:r w:rsidR="005F401E" w:rsidRPr="005F401E">
              <w:t xml:space="preserve">et validation </w:t>
            </w:r>
            <w:r w:rsidRPr="005F401E">
              <w:t>du schéma d’aménagement</w:t>
            </w:r>
          </w:p>
        </w:tc>
        <w:tc>
          <w:tcPr>
            <w:tcW w:w="6946" w:type="dxa"/>
          </w:tcPr>
          <w:p w14:paraId="56E1AF2E" w14:textId="75D6F364" w:rsidR="00F26A4C" w:rsidRPr="005F401E" w:rsidRDefault="00F26A4C" w:rsidP="00F26A4C">
            <w:r w:rsidRPr="005F401E">
              <w:t>O1 - Répertoire des institutions ressources : où trouver l’information ?</w:t>
            </w:r>
          </w:p>
          <w:p w14:paraId="2B0A530D" w14:textId="1F417131" w:rsidR="00F26A4C" w:rsidRPr="005F401E" w:rsidRDefault="00F26A4C" w:rsidP="00F26A4C">
            <w:r w:rsidRPr="005F401E">
              <w:t>O2 - Répertoire des documents disponibles</w:t>
            </w:r>
          </w:p>
          <w:p w14:paraId="20ABAAA0" w14:textId="77777777" w:rsidR="005F401E" w:rsidRDefault="005F401E" w:rsidP="005F401E">
            <w:r>
              <w:t>O3 : Listing des Schémas d’Aménagement</w:t>
            </w:r>
          </w:p>
          <w:p w14:paraId="3510D2DF" w14:textId="1839E045" w:rsidR="00607A57" w:rsidRPr="005F401E" w:rsidRDefault="005F401E" w:rsidP="005F401E">
            <w:r>
              <w:t>O4 : Document de suivi de la conception des schémas d’aménagement</w:t>
            </w:r>
          </w:p>
        </w:tc>
      </w:tr>
      <w:tr w:rsidR="00607A57" w:rsidRPr="00615D4B" w14:paraId="682F517C" w14:textId="77777777" w:rsidTr="00607A57">
        <w:tc>
          <w:tcPr>
            <w:tcW w:w="2405" w:type="dxa"/>
          </w:tcPr>
          <w:p w14:paraId="56FF679A" w14:textId="77777777" w:rsidR="00607A57" w:rsidRPr="005F401E" w:rsidRDefault="00607A57" w:rsidP="00607A57">
            <w:r w:rsidRPr="005F401E">
              <w:t>Mise en œuvre du schéma d’aménagement</w:t>
            </w:r>
          </w:p>
        </w:tc>
        <w:tc>
          <w:tcPr>
            <w:tcW w:w="6946" w:type="dxa"/>
            <w:vAlign w:val="center"/>
          </w:tcPr>
          <w:p w14:paraId="6A3FAE75" w14:textId="77777777" w:rsidR="005F401E" w:rsidRPr="00BE4F15" w:rsidRDefault="005F401E" w:rsidP="005F401E">
            <w:r>
              <w:t>O5</w:t>
            </w:r>
            <w:r w:rsidRPr="00BE4F15">
              <w:t xml:space="preserve"> - Listing des actions prioritaires identifiées dans le cadre des schémas d’aménagement et suivi</w:t>
            </w:r>
          </w:p>
          <w:p w14:paraId="074E76C6" w14:textId="39C072A8" w:rsidR="00607A57" w:rsidRPr="005F401E" w:rsidRDefault="005F401E" w:rsidP="005F401E">
            <w:r>
              <w:t>O6</w:t>
            </w:r>
            <w:r w:rsidRPr="00B55F29">
              <w:t xml:space="preserve"> - Listing des actions réalisées dans les schémas d’aménagement</w:t>
            </w:r>
          </w:p>
        </w:tc>
      </w:tr>
      <w:tr w:rsidR="00607A57" w:rsidRPr="00615D4B" w14:paraId="37AEA50C" w14:textId="77777777" w:rsidTr="00607A57">
        <w:tc>
          <w:tcPr>
            <w:tcW w:w="2405" w:type="dxa"/>
          </w:tcPr>
          <w:p w14:paraId="7A55EDCA" w14:textId="77777777" w:rsidR="00607A57" w:rsidRPr="0037109E" w:rsidRDefault="00607A57" w:rsidP="00607A57">
            <w:r w:rsidRPr="0037109E">
              <w:t>Actualisation du schéma d’aménagement</w:t>
            </w:r>
          </w:p>
        </w:tc>
        <w:tc>
          <w:tcPr>
            <w:tcW w:w="6946" w:type="dxa"/>
            <w:shd w:val="clear" w:color="auto" w:fill="auto"/>
            <w:vAlign w:val="center"/>
          </w:tcPr>
          <w:p w14:paraId="4D90663A" w14:textId="26FB7811" w:rsidR="00607A57" w:rsidRPr="0037109E" w:rsidRDefault="00607A57" w:rsidP="00607A57">
            <w:pPr>
              <w:jc w:val="left"/>
            </w:pPr>
            <w:r w:rsidRPr="0037109E">
              <w:t>Actualisatio</w:t>
            </w:r>
            <w:r>
              <w:t>n des outils de suivi de projet</w:t>
            </w:r>
          </w:p>
        </w:tc>
      </w:tr>
    </w:tbl>
    <w:p w14:paraId="11DE0D11" w14:textId="6DC11C10" w:rsidR="00607A57" w:rsidRDefault="00607A57" w:rsidP="00607A57">
      <w:pPr>
        <w:spacing w:before="240"/>
      </w:pPr>
      <w:r w:rsidRPr="0037109E">
        <w:t>Les paragraphes suivant détaillent les outils proposés : protocole de mise en place et modèle proposés.</w:t>
      </w:r>
    </w:p>
    <w:p w14:paraId="716DE393" w14:textId="77777777" w:rsidR="00F26A4C" w:rsidRDefault="00F26A4C" w:rsidP="00607A57">
      <w:pPr>
        <w:spacing w:before="240"/>
      </w:pPr>
    </w:p>
    <w:p w14:paraId="36783579" w14:textId="12A5FA1E" w:rsidR="00F26A4C" w:rsidRDefault="003F6057" w:rsidP="00F26A4C">
      <w:pPr>
        <w:pStyle w:val="Heading4"/>
        <w:numPr>
          <w:ilvl w:val="3"/>
          <w:numId w:val="45"/>
        </w:numPr>
      </w:pPr>
      <w:r>
        <w:t>O1</w:t>
      </w:r>
      <w:r w:rsidR="00F26A4C" w:rsidRPr="00630129">
        <w:t xml:space="preserve"> - Répertoire des institutions ressources : où trouver l’information ?</w:t>
      </w:r>
    </w:p>
    <w:p w14:paraId="3CA83887" w14:textId="5CED80FA" w:rsidR="00F26A4C" w:rsidRDefault="00F26A4C" w:rsidP="00F26A4C">
      <w:r>
        <w:t>Ce répertoire est essentiel. Il a partiellement était débuté en 2016 lors de l</w:t>
      </w:r>
      <w:r w:rsidRPr="007D4124">
        <w:t xml:space="preserve">’étude pour l'identification et la formulation du programme de développement urbain du 11ème FED </w:t>
      </w:r>
      <w:r>
        <w:t>(</w:t>
      </w:r>
      <w:r w:rsidRPr="007D4124">
        <w:t>Page 85</w:t>
      </w:r>
      <w:r>
        <w:t xml:space="preserve"> et suivant). Le rapport sur la revue documentaire </w:t>
      </w:r>
      <w:r w:rsidR="007F10E5">
        <w:t xml:space="preserve">a </w:t>
      </w:r>
      <w:r>
        <w:t>poursuivi ce travail par l’identification des différentes institutions productrices de données et l’identification du type de données disponibles. Cependant ce travail devra nécessairement être complété en parallèle de la mise en place d’une Base de Données Urbaines (cf.</w:t>
      </w:r>
      <w:r>
        <w:fldChar w:fldCharType="begin"/>
      </w:r>
      <w:r>
        <w:instrText xml:space="preserve"> REF _Ref462149944 \w \h </w:instrText>
      </w:r>
      <w:r>
        <w:fldChar w:fldCharType="separate"/>
      </w:r>
      <w:r>
        <w:t>2</w:t>
      </w:r>
      <w:r>
        <w:fldChar w:fldCharType="end"/>
      </w:r>
      <w:r>
        <w:t xml:space="preserve"> -</w:t>
      </w:r>
      <w:r w:rsidRPr="007D4124">
        <w:t xml:space="preserve"> Diagnostic préalable : analyse technique des besoins et choix</w:t>
      </w:r>
      <w:r>
        <w:t>).</w:t>
      </w:r>
    </w:p>
    <w:p w14:paraId="1C8D5728" w14:textId="77777777" w:rsidR="00F26A4C" w:rsidRDefault="00F26A4C" w:rsidP="00F26A4C">
      <w:r>
        <w:t>Il est important que ce répertoire soit facilement accessible pour chaque opérateur devant intervenir sur le territoire.</w:t>
      </w:r>
    </w:p>
    <w:p w14:paraId="4AA81603" w14:textId="77777777" w:rsidR="00F26A4C" w:rsidRDefault="00F26A4C" w:rsidP="00F26A4C"/>
    <w:p w14:paraId="78197806" w14:textId="77777777" w:rsidR="00F26A4C" w:rsidRDefault="00F26A4C" w:rsidP="00F26A4C">
      <w:r>
        <w:t>Dans un premier temps nous proposons que ce répertoire soit exclusivement consacré aux Schémas d’aménagement de quartier financés par l’Union Européenne. S’il le juge utile et en fonction de l’évolution de son rôle le SPU pourra adapter l’outil en fonction de ses besoins. Le modèle élaboré avec le MTPTC est le suivant :</w:t>
      </w:r>
    </w:p>
    <w:p w14:paraId="3C28337E" w14:textId="7DF73C77" w:rsidR="00F26A4C" w:rsidRDefault="00F26A4C" w:rsidP="00F26A4C">
      <w:pPr>
        <w:pStyle w:val="Caption"/>
      </w:pPr>
      <w:r>
        <w:t xml:space="preserve">Figure </w:t>
      </w:r>
      <w:fldSimple w:instr=" SEQ Figure \* ARABIC ">
        <w:r w:rsidR="00995EB5">
          <w:rPr>
            <w:noProof/>
          </w:rPr>
          <w:t>5</w:t>
        </w:r>
      </w:fldSimple>
      <w:r>
        <w:t xml:space="preserve"> : </w:t>
      </w:r>
      <w:r w:rsidR="003F6057">
        <w:t>Répertoire des personnes référentes</w:t>
      </w:r>
    </w:p>
    <w:p w14:paraId="2D61456B" w14:textId="236CB375" w:rsidR="00F26A4C" w:rsidRDefault="00F26A4C" w:rsidP="00F26A4C">
      <w:pPr>
        <w:pStyle w:val="Caption"/>
      </w:pPr>
      <w:r w:rsidRPr="00F26A4C">
        <w:rPr>
          <w:noProof/>
        </w:rPr>
        <w:drawing>
          <wp:inline distT="0" distB="0" distL="0" distR="0" wp14:anchorId="0781B40A" wp14:editId="3EB20A3F">
            <wp:extent cx="5760720" cy="1821721"/>
            <wp:effectExtent l="0" t="0" r="0" b="762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821721"/>
                    </a:xfrm>
                    <a:prstGeom prst="rect">
                      <a:avLst/>
                    </a:prstGeom>
                    <a:noFill/>
                    <a:ln>
                      <a:noFill/>
                    </a:ln>
                  </pic:spPr>
                </pic:pic>
              </a:graphicData>
            </a:graphic>
          </wp:inline>
        </w:drawing>
      </w:r>
      <w:r>
        <w:t xml:space="preserve"> </w:t>
      </w:r>
    </w:p>
    <w:p w14:paraId="75555146" w14:textId="4218C29A" w:rsidR="00F26A4C" w:rsidRDefault="003F6057" w:rsidP="00F26A4C">
      <w:r>
        <w:t xml:space="preserve">Les informations concernant la mise à jour du fichier est importante au regard du turn-over des équipes </w:t>
      </w:r>
      <w:r w:rsidR="007F10E5">
        <w:t xml:space="preserve">opérationnelles </w:t>
      </w:r>
      <w:r>
        <w:t>en Haiti.</w:t>
      </w:r>
    </w:p>
    <w:p w14:paraId="10D7A3D5" w14:textId="77777777" w:rsidR="003F6057" w:rsidRPr="001F3B6E" w:rsidRDefault="003F6057" w:rsidP="00F26A4C"/>
    <w:p w14:paraId="651BF006" w14:textId="3078F642" w:rsidR="00F26A4C" w:rsidRDefault="003F6057" w:rsidP="00E53E6F">
      <w:pPr>
        <w:pStyle w:val="Heading4"/>
        <w:numPr>
          <w:ilvl w:val="3"/>
          <w:numId w:val="45"/>
        </w:numPr>
      </w:pPr>
      <w:r>
        <w:t>O2</w:t>
      </w:r>
      <w:r w:rsidR="00F26A4C" w:rsidRPr="0037109E">
        <w:t xml:space="preserve"> - Répertoire des documents disponibles</w:t>
      </w:r>
    </w:p>
    <w:p w14:paraId="7BD41149" w14:textId="54EA20CA" w:rsidR="00F26A4C" w:rsidRDefault="00F26A4C" w:rsidP="00F26A4C">
      <w:r>
        <w:t>Ce répertoire est en réalité la base docume</w:t>
      </w:r>
      <w:r w:rsidR="007F10E5">
        <w:t>ntaire sur laquelle travaille a DTP</w:t>
      </w:r>
      <w:r>
        <w:t>. Il n’est pas détaillé dans le cadre de ce rapport mais fait l’objet d’une note séparée.</w:t>
      </w:r>
    </w:p>
    <w:p w14:paraId="5D2059B0" w14:textId="77777777" w:rsidR="003F6057" w:rsidRDefault="003F6057" w:rsidP="00F26A4C"/>
    <w:p w14:paraId="627C50F8" w14:textId="6DD978B0" w:rsidR="003F6057" w:rsidRDefault="003F6057" w:rsidP="00E53E6F">
      <w:pPr>
        <w:pStyle w:val="Heading4"/>
        <w:numPr>
          <w:ilvl w:val="3"/>
          <w:numId w:val="45"/>
        </w:numPr>
      </w:pPr>
      <w:r>
        <w:t>O3 : Listing des Schémas d’Aménagement</w:t>
      </w:r>
    </w:p>
    <w:p w14:paraId="563B29D0" w14:textId="77777777" w:rsidR="003F6057" w:rsidRDefault="003F6057" w:rsidP="003F6057">
      <w:r>
        <w:t>Ce travail a d’ores et déjà été amorcé dans le cadre du travail de la préparation du 11</w:t>
      </w:r>
      <w:r w:rsidRPr="00B45F91">
        <w:rPr>
          <w:vertAlign w:val="superscript"/>
        </w:rPr>
        <w:t>ème</w:t>
      </w:r>
      <w:r>
        <w:t xml:space="preserve"> FED. Il regroupe l’ensemble des documents d’urbanisme élaboré par les communes. Cet état des lieux est récent, cependant, une vérification de son exhaustivité est à faire.</w:t>
      </w:r>
    </w:p>
    <w:p w14:paraId="36BFE3BC" w14:textId="77777777" w:rsidR="003F6057" w:rsidRDefault="003F6057" w:rsidP="003F6057">
      <w:r>
        <w:t>Où aller chercher l’information : Le SPU doit réaliser ce travail en étroite relation avec les équipes du MICT, qui comme énoncé plus haut sont en train de réaliser un inventaire des capacités des communes et traitent de cette thématique.</w:t>
      </w:r>
    </w:p>
    <w:p w14:paraId="7A906E99" w14:textId="77777777" w:rsidR="003F6057" w:rsidRDefault="003F6057" w:rsidP="003F6057">
      <w:r>
        <w:t xml:space="preserve">Le tableau ci-dessous présente un extrait du listing par département des documents d’urbanisme (schéma d’aménagement et PCD) produit et de leur statut. La totalité du listing est présenté </w:t>
      </w:r>
      <w:r w:rsidRPr="00A74206">
        <w:t>en annexe 1.</w:t>
      </w:r>
    </w:p>
    <w:p w14:paraId="3D1D9BE4" w14:textId="77777777" w:rsidR="003F6057" w:rsidRDefault="003F6057" w:rsidP="00F26A4C">
      <w:pPr>
        <w:sectPr w:rsidR="003F6057" w:rsidSect="00607A57">
          <w:footerReference w:type="default" r:id="rId21"/>
          <w:pgSz w:w="11906" w:h="16838"/>
          <w:pgMar w:top="1417" w:right="1417" w:bottom="1417" w:left="1417" w:header="708" w:footer="708" w:gutter="0"/>
          <w:cols w:space="708"/>
          <w:docGrid w:linePitch="360"/>
        </w:sectPr>
      </w:pPr>
    </w:p>
    <w:p w14:paraId="101AD50C" w14:textId="36EBCD28" w:rsidR="00607A57" w:rsidRDefault="00607A57" w:rsidP="00607A57">
      <w:pPr>
        <w:pStyle w:val="Caption"/>
      </w:pPr>
      <w:r>
        <w:t xml:space="preserve">Figure </w:t>
      </w:r>
      <w:fldSimple w:instr=" SEQ Figure \* ARABIC ">
        <w:r w:rsidR="00995EB5">
          <w:rPr>
            <w:noProof/>
          </w:rPr>
          <w:t>6</w:t>
        </w:r>
      </w:fldSimple>
      <w:r>
        <w:t> : Extrait du listing des documents d’urbanisme identifiés dans le cadre du diagnostic 11</w:t>
      </w:r>
      <w:r w:rsidRPr="00645A24">
        <w:rPr>
          <w:vertAlign w:val="superscript"/>
        </w:rPr>
        <w:t>ème</w:t>
      </w:r>
      <w:r>
        <w:t xml:space="preserve"> FED - Mars 2016</w:t>
      </w:r>
      <w:r w:rsidR="003F6057">
        <w:t xml:space="preserve"> et modifié pour les besoins du SPU</w:t>
      </w:r>
    </w:p>
    <w:tbl>
      <w:tblPr>
        <w:tblW w:w="5000" w:type="pct"/>
        <w:tblCellMar>
          <w:left w:w="70" w:type="dxa"/>
          <w:right w:w="70" w:type="dxa"/>
        </w:tblCellMar>
        <w:tblLook w:val="04A0" w:firstRow="1" w:lastRow="0" w:firstColumn="1" w:lastColumn="0" w:noHBand="0" w:noVBand="1"/>
      </w:tblPr>
      <w:tblGrid>
        <w:gridCol w:w="1143"/>
        <w:gridCol w:w="2367"/>
        <w:gridCol w:w="1691"/>
        <w:gridCol w:w="1582"/>
        <w:gridCol w:w="1395"/>
        <w:gridCol w:w="987"/>
        <w:gridCol w:w="3010"/>
        <w:gridCol w:w="1969"/>
      </w:tblGrid>
      <w:tr w:rsidR="0041633D" w:rsidRPr="003F6057" w14:paraId="4A79391F" w14:textId="77777777" w:rsidTr="0041633D">
        <w:trPr>
          <w:trHeight w:val="720"/>
          <w:tblHeader/>
        </w:trPr>
        <w:tc>
          <w:tcPr>
            <w:tcW w:w="268"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7F4D78D2" w14:textId="77777777" w:rsidR="003F6057" w:rsidRPr="003F6057" w:rsidRDefault="003F6057" w:rsidP="003F6057">
            <w:pPr>
              <w:spacing w:before="0"/>
              <w:jc w:val="center"/>
              <w:rPr>
                <w:rFonts w:ascii="Calibri" w:hAnsi="Calibri"/>
                <w:b/>
                <w:bCs/>
                <w:color w:val="000000"/>
                <w:sz w:val="18"/>
                <w:szCs w:val="18"/>
              </w:rPr>
            </w:pPr>
            <w:r w:rsidRPr="003F6057">
              <w:rPr>
                <w:rFonts w:ascii="Calibri" w:hAnsi="Calibri"/>
                <w:b/>
                <w:bCs/>
                <w:color w:val="000000"/>
                <w:sz w:val="18"/>
                <w:szCs w:val="18"/>
              </w:rPr>
              <w:t>Département</w:t>
            </w:r>
          </w:p>
        </w:tc>
        <w:tc>
          <w:tcPr>
            <w:tcW w:w="1210" w:type="pct"/>
            <w:tcBorders>
              <w:top w:val="single" w:sz="4" w:space="0" w:color="auto"/>
              <w:left w:val="nil"/>
              <w:bottom w:val="single" w:sz="4" w:space="0" w:color="auto"/>
              <w:right w:val="single" w:sz="4" w:space="0" w:color="auto"/>
            </w:tcBorders>
            <w:shd w:val="clear" w:color="000000" w:fill="E7E6E6"/>
            <w:vAlign w:val="center"/>
            <w:hideMark/>
          </w:tcPr>
          <w:p w14:paraId="5A210660" w14:textId="77777777" w:rsidR="003F6057" w:rsidRPr="003F6057" w:rsidRDefault="003F6057" w:rsidP="003F6057">
            <w:pPr>
              <w:spacing w:before="0"/>
              <w:jc w:val="center"/>
              <w:rPr>
                <w:rFonts w:ascii="Calibri" w:hAnsi="Calibri"/>
                <w:b/>
                <w:bCs/>
                <w:color w:val="000000"/>
                <w:sz w:val="18"/>
                <w:szCs w:val="18"/>
              </w:rPr>
            </w:pPr>
            <w:r w:rsidRPr="003F6057">
              <w:rPr>
                <w:rFonts w:ascii="Calibri" w:hAnsi="Calibri"/>
                <w:b/>
                <w:bCs/>
                <w:color w:val="000000"/>
                <w:sz w:val="18"/>
                <w:szCs w:val="18"/>
              </w:rPr>
              <w:t>Arrondissement</w:t>
            </w:r>
          </w:p>
        </w:tc>
        <w:tc>
          <w:tcPr>
            <w:tcW w:w="971" w:type="pct"/>
            <w:tcBorders>
              <w:top w:val="single" w:sz="4" w:space="0" w:color="auto"/>
              <w:left w:val="nil"/>
              <w:bottom w:val="single" w:sz="4" w:space="0" w:color="auto"/>
              <w:right w:val="single" w:sz="4" w:space="0" w:color="auto"/>
            </w:tcBorders>
            <w:shd w:val="clear" w:color="000000" w:fill="E7E6E6"/>
            <w:vAlign w:val="center"/>
            <w:hideMark/>
          </w:tcPr>
          <w:p w14:paraId="3FFE74E8" w14:textId="77777777" w:rsidR="003F6057" w:rsidRPr="003F6057" w:rsidRDefault="003F6057" w:rsidP="003F6057">
            <w:pPr>
              <w:spacing w:before="0"/>
              <w:jc w:val="center"/>
              <w:rPr>
                <w:rFonts w:ascii="Calibri" w:hAnsi="Calibri"/>
                <w:b/>
                <w:bCs/>
                <w:color w:val="000000"/>
                <w:sz w:val="18"/>
                <w:szCs w:val="18"/>
              </w:rPr>
            </w:pPr>
            <w:r w:rsidRPr="003F6057">
              <w:rPr>
                <w:rFonts w:ascii="Calibri" w:hAnsi="Calibri"/>
                <w:b/>
                <w:bCs/>
                <w:color w:val="000000"/>
                <w:sz w:val="18"/>
                <w:szCs w:val="18"/>
              </w:rPr>
              <w:t>Commune</w:t>
            </w:r>
          </w:p>
        </w:tc>
        <w:tc>
          <w:tcPr>
            <w:tcW w:w="766" w:type="pct"/>
            <w:tcBorders>
              <w:top w:val="single" w:sz="4" w:space="0" w:color="auto"/>
              <w:left w:val="nil"/>
              <w:bottom w:val="single" w:sz="4" w:space="0" w:color="auto"/>
              <w:right w:val="single" w:sz="4" w:space="0" w:color="auto"/>
            </w:tcBorders>
            <w:shd w:val="clear" w:color="000000" w:fill="E7E6E6"/>
            <w:vAlign w:val="center"/>
            <w:hideMark/>
          </w:tcPr>
          <w:p w14:paraId="1FD7AE91" w14:textId="77777777" w:rsidR="003F6057" w:rsidRPr="003F6057" w:rsidRDefault="003F6057" w:rsidP="003F6057">
            <w:pPr>
              <w:spacing w:before="0"/>
              <w:jc w:val="center"/>
              <w:rPr>
                <w:rFonts w:ascii="Calibri" w:hAnsi="Calibri"/>
                <w:b/>
                <w:bCs/>
                <w:color w:val="000000"/>
                <w:sz w:val="18"/>
                <w:szCs w:val="18"/>
              </w:rPr>
            </w:pPr>
            <w:r w:rsidRPr="003F6057">
              <w:rPr>
                <w:rFonts w:ascii="Calibri" w:hAnsi="Calibri"/>
                <w:b/>
                <w:bCs/>
                <w:color w:val="000000"/>
                <w:sz w:val="18"/>
                <w:szCs w:val="18"/>
              </w:rPr>
              <w:t>Titre</w:t>
            </w:r>
          </w:p>
        </w:tc>
        <w:tc>
          <w:tcPr>
            <w:tcW w:w="402" w:type="pct"/>
            <w:tcBorders>
              <w:top w:val="single" w:sz="4" w:space="0" w:color="auto"/>
              <w:left w:val="nil"/>
              <w:bottom w:val="single" w:sz="4" w:space="0" w:color="auto"/>
              <w:right w:val="single" w:sz="4" w:space="0" w:color="auto"/>
            </w:tcBorders>
            <w:shd w:val="clear" w:color="000000" w:fill="E7E6E6"/>
            <w:vAlign w:val="center"/>
            <w:hideMark/>
          </w:tcPr>
          <w:p w14:paraId="3050B2B0" w14:textId="77777777" w:rsidR="003F6057" w:rsidRPr="003F6057" w:rsidRDefault="003F6057" w:rsidP="003F6057">
            <w:pPr>
              <w:spacing w:before="0"/>
              <w:jc w:val="center"/>
              <w:rPr>
                <w:rFonts w:ascii="Calibri" w:hAnsi="Calibri"/>
                <w:b/>
                <w:bCs/>
                <w:color w:val="000000"/>
                <w:sz w:val="18"/>
                <w:szCs w:val="18"/>
              </w:rPr>
            </w:pPr>
            <w:r w:rsidRPr="003F6057">
              <w:rPr>
                <w:rFonts w:ascii="Calibri" w:hAnsi="Calibri"/>
                <w:b/>
                <w:bCs/>
                <w:color w:val="000000"/>
                <w:sz w:val="18"/>
                <w:szCs w:val="18"/>
              </w:rPr>
              <w:t>Statut</w:t>
            </w:r>
          </w:p>
        </w:tc>
        <w:tc>
          <w:tcPr>
            <w:tcW w:w="262" w:type="pct"/>
            <w:tcBorders>
              <w:top w:val="single" w:sz="4" w:space="0" w:color="auto"/>
              <w:left w:val="nil"/>
              <w:bottom w:val="single" w:sz="4" w:space="0" w:color="auto"/>
              <w:right w:val="single" w:sz="4" w:space="0" w:color="auto"/>
            </w:tcBorders>
            <w:shd w:val="clear" w:color="000000" w:fill="E7E6E6"/>
            <w:vAlign w:val="center"/>
            <w:hideMark/>
          </w:tcPr>
          <w:p w14:paraId="22E3E4C1" w14:textId="77777777" w:rsidR="003F6057" w:rsidRPr="003F6057" w:rsidRDefault="003F6057" w:rsidP="003F6057">
            <w:pPr>
              <w:spacing w:before="0"/>
              <w:jc w:val="center"/>
              <w:rPr>
                <w:rFonts w:ascii="Calibri" w:hAnsi="Calibri"/>
                <w:b/>
                <w:bCs/>
                <w:color w:val="000000"/>
                <w:sz w:val="18"/>
                <w:szCs w:val="18"/>
              </w:rPr>
            </w:pPr>
            <w:r w:rsidRPr="003F6057">
              <w:rPr>
                <w:rFonts w:ascii="Calibri" w:hAnsi="Calibri"/>
                <w:b/>
                <w:bCs/>
                <w:color w:val="000000"/>
                <w:sz w:val="18"/>
                <w:szCs w:val="18"/>
              </w:rPr>
              <w:t>Date (considérer après 2010)</w:t>
            </w:r>
          </w:p>
        </w:tc>
        <w:tc>
          <w:tcPr>
            <w:tcW w:w="677" w:type="pct"/>
            <w:tcBorders>
              <w:top w:val="single" w:sz="4" w:space="0" w:color="auto"/>
              <w:left w:val="nil"/>
              <w:bottom w:val="single" w:sz="4" w:space="0" w:color="auto"/>
              <w:right w:val="single" w:sz="4" w:space="0" w:color="auto"/>
            </w:tcBorders>
            <w:shd w:val="clear" w:color="000000" w:fill="E7E6E6"/>
            <w:vAlign w:val="center"/>
            <w:hideMark/>
          </w:tcPr>
          <w:p w14:paraId="1BCB7949" w14:textId="77777777" w:rsidR="003F6057" w:rsidRPr="003F6057" w:rsidRDefault="003F6057" w:rsidP="003F6057">
            <w:pPr>
              <w:spacing w:before="0"/>
              <w:jc w:val="center"/>
              <w:rPr>
                <w:rFonts w:ascii="Calibri" w:hAnsi="Calibri"/>
                <w:b/>
                <w:bCs/>
                <w:color w:val="000000"/>
                <w:sz w:val="18"/>
                <w:szCs w:val="18"/>
              </w:rPr>
            </w:pPr>
            <w:r w:rsidRPr="003F6057">
              <w:rPr>
                <w:rFonts w:ascii="Calibri" w:hAnsi="Calibri"/>
                <w:b/>
                <w:bCs/>
                <w:color w:val="000000"/>
                <w:sz w:val="18"/>
                <w:szCs w:val="18"/>
              </w:rPr>
              <w:t>Auteur (opérateur)</w:t>
            </w:r>
          </w:p>
        </w:tc>
        <w:tc>
          <w:tcPr>
            <w:tcW w:w="443" w:type="pct"/>
            <w:tcBorders>
              <w:top w:val="single" w:sz="4" w:space="0" w:color="auto"/>
              <w:left w:val="nil"/>
              <w:bottom w:val="single" w:sz="4" w:space="0" w:color="auto"/>
              <w:right w:val="single" w:sz="4" w:space="0" w:color="auto"/>
            </w:tcBorders>
            <w:shd w:val="clear" w:color="000000" w:fill="E7E6E6"/>
            <w:vAlign w:val="center"/>
            <w:hideMark/>
          </w:tcPr>
          <w:p w14:paraId="67F8AFB2" w14:textId="77777777" w:rsidR="003F6057" w:rsidRPr="003F6057" w:rsidRDefault="003F6057" w:rsidP="003F6057">
            <w:pPr>
              <w:spacing w:before="0"/>
              <w:jc w:val="center"/>
              <w:rPr>
                <w:rFonts w:ascii="Calibri" w:hAnsi="Calibri"/>
                <w:b/>
                <w:bCs/>
                <w:color w:val="000000"/>
                <w:sz w:val="18"/>
                <w:szCs w:val="18"/>
              </w:rPr>
            </w:pPr>
            <w:r w:rsidRPr="003F6057">
              <w:rPr>
                <w:rFonts w:ascii="Calibri" w:hAnsi="Calibri"/>
                <w:b/>
                <w:bCs/>
                <w:color w:val="000000"/>
                <w:sz w:val="18"/>
                <w:szCs w:val="18"/>
              </w:rPr>
              <w:t>Financement</w:t>
            </w:r>
          </w:p>
        </w:tc>
      </w:tr>
      <w:tr w:rsidR="003F6057" w:rsidRPr="003F6057" w14:paraId="7A152189" w14:textId="77777777" w:rsidTr="0041633D">
        <w:trPr>
          <w:trHeight w:val="1125"/>
        </w:trPr>
        <w:tc>
          <w:tcPr>
            <w:tcW w:w="26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9144F6"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Ouest</w:t>
            </w:r>
          </w:p>
        </w:tc>
        <w:tc>
          <w:tcPr>
            <w:tcW w:w="2948" w:type="pct"/>
            <w:gridSpan w:val="3"/>
            <w:tcBorders>
              <w:top w:val="single" w:sz="4" w:space="0" w:color="auto"/>
              <w:left w:val="nil"/>
              <w:bottom w:val="single" w:sz="4" w:space="0" w:color="auto"/>
              <w:right w:val="single" w:sz="4" w:space="0" w:color="auto"/>
            </w:tcBorders>
            <w:shd w:val="clear" w:color="auto" w:fill="auto"/>
            <w:vAlign w:val="center"/>
            <w:hideMark/>
          </w:tcPr>
          <w:p w14:paraId="0B0F5E06"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Esquisse de schéma d'aménagement pour la zone métropolitaine de Port-au-Prince (ce territoire comprend les 15 communes situées dans les 3 arrondissements de Port-au-Prince, Croix-des-Bouquets et de l’Arcahaie)</w:t>
            </w:r>
          </w:p>
        </w:tc>
        <w:tc>
          <w:tcPr>
            <w:tcW w:w="402" w:type="pct"/>
            <w:tcBorders>
              <w:top w:val="nil"/>
              <w:left w:val="nil"/>
              <w:bottom w:val="single" w:sz="4" w:space="0" w:color="auto"/>
              <w:right w:val="single" w:sz="4" w:space="0" w:color="auto"/>
            </w:tcBorders>
            <w:shd w:val="clear" w:color="auto" w:fill="auto"/>
            <w:vAlign w:val="center"/>
            <w:hideMark/>
          </w:tcPr>
          <w:p w14:paraId="6796B8AF"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En attente de validation</w:t>
            </w:r>
          </w:p>
        </w:tc>
        <w:tc>
          <w:tcPr>
            <w:tcW w:w="262" w:type="pct"/>
            <w:tcBorders>
              <w:top w:val="nil"/>
              <w:left w:val="nil"/>
              <w:bottom w:val="single" w:sz="4" w:space="0" w:color="auto"/>
              <w:right w:val="single" w:sz="4" w:space="0" w:color="auto"/>
            </w:tcBorders>
            <w:shd w:val="clear" w:color="auto" w:fill="auto"/>
            <w:vAlign w:val="center"/>
            <w:hideMark/>
          </w:tcPr>
          <w:p w14:paraId="1C380DBC"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2013</w:t>
            </w:r>
          </w:p>
        </w:tc>
        <w:tc>
          <w:tcPr>
            <w:tcW w:w="677" w:type="pct"/>
            <w:tcBorders>
              <w:top w:val="nil"/>
              <w:left w:val="nil"/>
              <w:bottom w:val="single" w:sz="4" w:space="0" w:color="auto"/>
              <w:right w:val="single" w:sz="4" w:space="0" w:color="auto"/>
            </w:tcBorders>
            <w:shd w:val="clear" w:color="auto" w:fill="auto"/>
            <w:vAlign w:val="center"/>
            <w:hideMark/>
          </w:tcPr>
          <w:p w14:paraId="2D7397F3"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IBI DAA</w:t>
            </w:r>
          </w:p>
        </w:tc>
        <w:tc>
          <w:tcPr>
            <w:tcW w:w="443" w:type="pct"/>
            <w:tcBorders>
              <w:top w:val="nil"/>
              <w:left w:val="nil"/>
              <w:bottom w:val="single" w:sz="4" w:space="0" w:color="auto"/>
              <w:right w:val="single" w:sz="4" w:space="0" w:color="auto"/>
            </w:tcBorders>
            <w:shd w:val="clear" w:color="auto" w:fill="auto"/>
            <w:vAlign w:val="center"/>
            <w:hideMark/>
          </w:tcPr>
          <w:p w14:paraId="46991706"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FRH (PARLOQ)</w:t>
            </w:r>
          </w:p>
        </w:tc>
      </w:tr>
      <w:tr w:rsidR="003F6057" w:rsidRPr="003F6057" w14:paraId="4D515FDB" w14:textId="77777777" w:rsidTr="0041633D">
        <w:trPr>
          <w:trHeight w:val="765"/>
        </w:trPr>
        <w:tc>
          <w:tcPr>
            <w:tcW w:w="268" w:type="pct"/>
            <w:vMerge/>
            <w:tcBorders>
              <w:top w:val="nil"/>
              <w:left w:val="single" w:sz="4" w:space="0" w:color="auto"/>
              <w:bottom w:val="single" w:sz="4" w:space="0" w:color="auto"/>
              <w:right w:val="single" w:sz="4" w:space="0" w:color="auto"/>
            </w:tcBorders>
            <w:vAlign w:val="center"/>
            <w:hideMark/>
          </w:tcPr>
          <w:p w14:paraId="17B4753D" w14:textId="77777777" w:rsidR="003F6057" w:rsidRPr="003F6057" w:rsidRDefault="003F6057" w:rsidP="003F6057">
            <w:pPr>
              <w:spacing w:before="0"/>
              <w:jc w:val="left"/>
              <w:rPr>
                <w:rFonts w:ascii="Calibri" w:hAnsi="Calibri"/>
                <w:color w:val="000000"/>
                <w:sz w:val="20"/>
              </w:rPr>
            </w:pPr>
          </w:p>
        </w:tc>
        <w:tc>
          <w:tcPr>
            <w:tcW w:w="1210" w:type="pct"/>
            <w:vMerge w:val="restart"/>
            <w:tcBorders>
              <w:top w:val="nil"/>
              <w:left w:val="single" w:sz="4" w:space="0" w:color="auto"/>
              <w:bottom w:val="single" w:sz="4" w:space="0" w:color="auto"/>
              <w:right w:val="single" w:sz="4" w:space="0" w:color="auto"/>
            </w:tcBorders>
            <w:shd w:val="clear" w:color="auto" w:fill="auto"/>
            <w:vAlign w:val="center"/>
            <w:hideMark/>
          </w:tcPr>
          <w:p w14:paraId="0102715E" w14:textId="77777777" w:rsidR="003F6057" w:rsidRPr="003F6057" w:rsidRDefault="003F6057" w:rsidP="0041633D">
            <w:pPr>
              <w:spacing w:before="0"/>
              <w:jc w:val="center"/>
              <w:rPr>
                <w:rFonts w:ascii="Calibri" w:hAnsi="Calibri"/>
                <w:color w:val="000000"/>
                <w:sz w:val="20"/>
              </w:rPr>
            </w:pPr>
            <w:r w:rsidRPr="003F6057">
              <w:rPr>
                <w:rFonts w:ascii="Calibri" w:hAnsi="Calibri"/>
                <w:color w:val="000000"/>
                <w:sz w:val="20"/>
              </w:rPr>
              <w:t>Port-au-Prince</w:t>
            </w:r>
          </w:p>
        </w:tc>
        <w:tc>
          <w:tcPr>
            <w:tcW w:w="971" w:type="pct"/>
            <w:vMerge w:val="restart"/>
            <w:tcBorders>
              <w:top w:val="nil"/>
              <w:left w:val="single" w:sz="4" w:space="0" w:color="auto"/>
              <w:bottom w:val="single" w:sz="4" w:space="0" w:color="auto"/>
              <w:right w:val="single" w:sz="4" w:space="0" w:color="auto"/>
            </w:tcBorders>
            <w:shd w:val="clear" w:color="auto" w:fill="auto"/>
            <w:vAlign w:val="center"/>
            <w:hideMark/>
          </w:tcPr>
          <w:p w14:paraId="55C3CC35"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Port-au-Prince</w:t>
            </w:r>
          </w:p>
        </w:tc>
        <w:tc>
          <w:tcPr>
            <w:tcW w:w="766" w:type="pct"/>
            <w:tcBorders>
              <w:top w:val="nil"/>
              <w:left w:val="nil"/>
              <w:bottom w:val="single" w:sz="4" w:space="0" w:color="auto"/>
              <w:right w:val="single" w:sz="4" w:space="0" w:color="auto"/>
            </w:tcBorders>
            <w:shd w:val="clear" w:color="auto" w:fill="auto"/>
            <w:vAlign w:val="center"/>
            <w:hideMark/>
          </w:tcPr>
          <w:p w14:paraId="537DFBC6"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Plan communal de développement</w:t>
            </w:r>
          </w:p>
        </w:tc>
        <w:tc>
          <w:tcPr>
            <w:tcW w:w="402" w:type="pct"/>
            <w:tcBorders>
              <w:top w:val="nil"/>
              <w:left w:val="nil"/>
              <w:bottom w:val="single" w:sz="4" w:space="0" w:color="auto"/>
              <w:right w:val="single" w:sz="4" w:space="0" w:color="auto"/>
            </w:tcBorders>
            <w:shd w:val="clear" w:color="auto" w:fill="auto"/>
            <w:vAlign w:val="center"/>
            <w:hideMark/>
          </w:tcPr>
          <w:p w14:paraId="2330BD2A"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Pas encore de validation municipale</w:t>
            </w:r>
          </w:p>
        </w:tc>
        <w:tc>
          <w:tcPr>
            <w:tcW w:w="262" w:type="pct"/>
            <w:tcBorders>
              <w:top w:val="nil"/>
              <w:left w:val="nil"/>
              <w:bottom w:val="single" w:sz="4" w:space="0" w:color="auto"/>
              <w:right w:val="single" w:sz="4" w:space="0" w:color="auto"/>
            </w:tcBorders>
            <w:shd w:val="clear" w:color="auto" w:fill="auto"/>
            <w:vAlign w:val="center"/>
            <w:hideMark/>
          </w:tcPr>
          <w:p w14:paraId="1FD5ACC2"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2015</w:t>
            </w:r>
          </w:p>
        </w:tc>
        <w:tc>
          <w:tcPr>
            <w:tcW w:w="677" w:type="pct"/>
            <w:tcBorders>
              <w:top w:val="nil"/>
              <w:left w:val="nil"/>
              <w:bottom w:val="single" w:sz="4" w:space="0" w:color="auto"/>
              <w:right w:val="single" w:sz="4" w:space="0" w:color="auto"/>
            </w:tcBorders>
            <w:shd w:val="clear" w:color="auto" w:fill="auto"/>
            <w:vAlign w:val="center"/>
            <w:hideMark/>
          </w:tcPr>
          <w:p w14:paraId="6351404D"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ATL/Groupe Trame</w:t>
            </w:r>
          </w:p>
        </w:tc>
        <w:tc>
          <w:tcPr>
            <w:tcW w:w="443" w:type="pct"/>
            <w:tcBorders>
              <w:top w:val="nil"/>
              <w:left w:val="nil"/>
              <w:bottom w:val="single" w:sz="4" w:space="0" w:color="auto"/>
              <w:right w:val="single" w:sz="4" w:space="0" w:color="auto"/>
            </w:tcBorders>
            <w:shd w:val="clear" w:color="auto" w:fill="auto"/>
            <w:vAlign w:val="center"/>
            <w:hideMark/>
          </w:tcPr>
          <w:p w14:paraId="3F1CC228"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PARLOQ</w:t>
            </w:r>
          </w:p>
        </w:tc>
      </w:tr>
      <w:tr w:rsidR="003F6057" w:rsidRPr="003F6057" w14:paraId="669CBAB6" w14:textId="77777777" w:rsidTr="0041633D">
        <w:trPr>
          <w:trHeight w:val="1020"/>
        </w:trPr>
        <w:tc>
          <w:tcPr>
            <w:tcW w:w="268" w:type="pct"/>
            <w:vMerge/>
            <w:tcBorders>
              <w:top w:val="nil"/>
              <w:left w:val="single" w:sz="4" w:space="0" w:color="auto"/>
              <w:bottom w:val="single" w:sz="4" w:space="0" w:color="auto"/>
              <w:right w:val="single" w:sz="4" w:space="0" w:color="auto"/>
            </w:tcBorders>
            <w:vAlign w:val="center"/>
            <w:hideMark/>
          </w:tcPr>
          <w:p w14:paraId="45D740E8"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6DE1D0C8" w14:textId="77777777" w:rsidR="003F6057" w:rsidRPr="003F6057" w:rsidRDefault="003F6057" w:rsidP="003F6057">
            <w:pPr>
              <w:spacing w:before="0"/>
              <w:jc w:val="left"/>
              <w:rPr>
                <w:rFonts w:ascii="Calibri" w:hAnsi="Calibri"/>
                <w:color w:val="000000"/>
                <w:sz w:val="20"/>
              </w:rPr>
            </w:pPr>
          </w:p>
        </w:tc>
        <w:tc>
          <w:tcPr>
            <w:tcW w:w="971" w:type="pct"/>
            <w:vMerge/>
            <w:tcBorders>
              <w:top w:val="nil"/>
              <w:left w:val="single" w:sz="4" w:space="0" w:color="auto"/>
              <w:bottom w:val="single" w:sz="4" w:space="0" w:color="auto"/>
              <w:right w:val="single" w:sz="4" w:space="0" w:color="auto"/>
            </w:tcBorders>
            <w:vAlign w:val="center"/>
            <w:hideMark/>
          </w:tcPr>
          <w:p w14:paraId="0B1373F5" w14:textId="77777777" w:rsidR="003F6057" w:rsidRPr="003F6057" w:rsidRDefault="003F6057" w:rsidP="003F6057">
            <w:pPr>
              <w:spacing w:before="0"/>
              <w:jc w:val="left"/>
              <w:rPr>
                <w:rFonts w:ascii="Calibri" w:hAnsi="Calibri"/>
                <w:color w:val="000000"/>
                <w:sz w:val="20"/>
              </w:rPr>
            </w:pPr>
          </w:p>
        </w:tc>
        <w:tc>
          <w:tcPr>
            <w:tcW w:w="766" w:type="pct"/>
            <w:tcBorders>
              <w:top w:val="nil"/>
              <w:left w:val="nil"/>
              <w:bottom w:val="single" w:sz="4" w:space="0" w:color="auto"/>
              <w:right w:val="single" w:sz="4" w:space="0" w:color="auto"/>
            </w:tcBorders>
            <w:shd w:val="clear" w:color="auto" w:fill="auto"/>
            <w:vAlign w:val="center"/>
            <w:hideMark/>
          </w:tcPr>
          <w:p w14:paraId="045435AE"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Schéma d'aménagement de la ZAC de Martissant</w:t>
            </w:r>
          </w:p>
        </w:tc>
        <w:tc>
          <w:tcPr>
            <w:tcW w:w="402" w:type="pct"/>
            <w:tcBorders>
              <w:top w:val="nil"/>
              <w:left w:val="nil"/>
              <w:bottom w:val="single" w:sz="4" w:space="0" w:color="auto"/>
              <w:right w:val="single" w:sz="4" w:space="0" w:color="auto"/>
            </w:tcBorders>
            <w:shd w:val="clear" w:color="auto" w:fill="auto"/>
            <w:vAlign w:val="center"/>
            <w:hideMark/>
          </w:tcPr>
          <w:p w14:paraId="2D9C061D"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Validé CoPil programme</w:t>
            </w:r>
          </w:p>
        </w:tc>
        <w:tc>
          <w:tcPr>
            <w:tcW w:w="262" w:type="pct"/>
            <w:tcBorders>
              <w:top w:val="nil"/>
              <w:left w:val="nil"/>
              <w:bottom w:val="single" w:sz="4" w:space="0" w:color="auto"/>
              <w:right w:val="single" w:sz="4" w:space="0" w:color="auto"/>
            </w:tcBorders>
            <w:shd w:val="clear" w:color="auto" w:fill="auto"/>
            <w:vAlign w:val="center"/>
            <w:hideMark/>
          </w:tcPr>
          <w:p w14:paraId="55A35F53"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2012</w:t>
            </w:r>
          </w:p>
        </w:tc>
        <w:tc>
          <w:tcPr>
            <w:tcW w:w="677" w:type="pct"/>
            <w:tcBorders>
              <w:top w:val="nil"/>
              <w:left w:val="nil"/>
              <w:bottom w:val="single" w:sz="4" w:space="0" w:color="auto"/>
              <w:right w:val="single" w:sz="4" w:space="0" w:color="auto"/>
            </w:tcBorders>
            <w:shd w:val="clear" w:color="auto" w:fill="auto"/>
            <w:vAlign w:val="center"/>
            <w:hideMark/>
          </w:tcPr>
          <w:p w14:paraId="778CD65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FOKAL/ACT Consultants (France) / LGL (Haïti)</w:t>
            </w:r>
          </w:p>
        </w:tc>
        <w:tc>
          <w:tcPr>
            <w:tcW w:w="443" w:type="pct"/>
            <w:tcBorders>
              <w:top w:val="nil"/>
              <w:left w:val="nil"/>
              <w:bottom w:val="single" w:sz="4" w:space="0" w:color="auto"/>
              <w:right w:val="single" w:sz="4" w:space="0" w:color="auto"/>
            </w:tcBorders>
            <w:shd w:val="clear" w:color="auto" w:fill="auto"/>
            <w:vAlign w:val="center"/>
            <w:hideMark/>
          </w:tcPr>
          <w:p w14:paraId="71084DC7"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AFD (AIQIP) / UE (PARAQ)</w:t>
            </w:r>
          </w:p>
        </w:tc>
      </w:tr>
      <w:tr w:rsidR="003F6057" w:rsidRPr="003F6057" w14:paraId="06A657E7" w14:textId="77777777" w:rsidTr="0041633D">
        <w:trPr>
          <w:trHeight w:val="1020"/>
        </w:trPr>
        <w:tc>
          <w:tcPr>
            <w:tcW w:w="268" w:type="pct"/>
            <w:vMerge/>
            <w:tcBorders>
              <w:top w:val="nil"/>
              <w:left w:val="single" w:sz="4" w:space="0" w:color="auto"/>
              <w:bottom w:val="single" w:sz="4" w:space="0" w:color="auto"/>
              <w:right w:val="single" w:sz="4" w:space="0" w:color="auto"/>
            </w:tcBorders>
            <w:vAlign w:val="center"/>
            <w:hideMark/>
          </w:tcPr>
          <w:p w14:paraId="25B3B5DB"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7A544EF3" w14:textId="77777777" w:rsidR="003F6057" w:rsidRPr="003F6057" w:rsidRDefault="003F6057" w:rsidP="003F6057">
            <w:pPr>
              <w:spacing w:before="0"/>
              <w:jc w:val="left"/>
              <w:rPr>
                <w:rFonts w:ascii="Calibri" w:hAnsi="Calibri"/>
                <w:color w:val="000000"/>
                <w:sz w:val="20"/>
              </w:rPr>
            </w:pPr>
          </w:p>
        </w:tc>
        <w:tc>
          <w:tcPr>
            <w:tcW w:w="971" w:type="pct"/>
            <w:vMerge/>
            <w:tcBorders>
              <w:top w:val="nil"/>
              <w:left w:val="single" w:sz="4" w:space="0" w:color="auto"/>
              <w:bottom w:val="single" w:sz="4" w:space="0" w:color="auto"/>
              <w:right w:val="single" w:sz="4" w:space="0" w:color="auto"/>
            </w:tcBorders>
            <w:vAlign w:val="center"/>
            <w:hideMark/>
          </w:tcPr>
          <w:p w14:paraId="0F65A98E" w14:textId="77777777" w:rsidR="003F6057" w:rsidRPr="003F6057" w:rsidRDefault="003F6057" w:rsidP="003F6057">
            <w:pPr>
              <w:spacing w:before="0"/>
              <w:jc w:val="left"/>
              <w:rPr>
                <w:rFonts w:ascii="Calibri" w:hAnsi="Calibri"/>
                <w:color w:val="000000"/>
                <w:sz w:val="20"/>
              </w:rPr>
            </w:pPr>
          </w:p>
        </w:tc>
        <w:tc>
          <w:tcPr>
            <w:tcW w:w="766" w:type="pct"/>
            <w:tcBorders>
              <w:top w:val="nil"/>
              <w:left w:val="nil"/>
              <w:bottom w:val="single" w:sz="4" w:space="0" w:color="auto"/>
              <w:right w:val="single" w:sz="4" w:space="0" w:color="auto"/>
            </w:tcBorders>
            <w:shd w:val="clear" w:color="auto" w:fill="auto"/>
            <w:vAlign w:val="center"/>
            <w:hideMark/>
          </w:tcPr>
          <w:p w14:paraId="4A266801"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Schéma d'aménagement du quartier de Baillergeau</w:t>
            </w:r>
          </w:p>
        </w:tc>
        <w:tc>
          <w:tcPr>
            <w:tcW w:w="402" w:type="pct"/>
            <w:tcBorders>
              <w:top w:val="nil"/>
              <w:left w:val="nil"/>
              <w:bottom w:val="single" w:sz="4" w:space="0" w:color="auto"/>
              <w:right w:val="single" w:sz="4" w:space="0" w:color="auto"/>
            </w:tcBorders>
            <w:shd w:val="clear" w:color="auto" w:fill="auto"/>
            <w:vAlign w:val="center"/>
            <w:hideMark/>
          </w:tcPr>
          <w:p w14:paraId="3E70C9C7"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Validé CoPil programme</w:t>
            </w:r>
          </w:p>
        </w:tc>
        <w:tc>
          <w:tcPr>
            <w:tcW w:w="262" w:type="pct"/>
            <w:tcBorders>
              <w:top w:val="nil"/>
              <w:left w:val="nil"/>
              <w:bottom w:val="single" w:sz="4" w:space="0" w:color="auto"/>
              <w:right w:val="single" w:sz="4" w:space="0" w:color="auto"/>
            </w:tcBorders>
            <w:shd w:val="clear" w:color="auto" w:fill="auto"/>
            <w:vAlign w:val="center"/>
            <w:hideMark/>
          </w:tcPr>
          <w:p w14:paraId="07F9A1DA"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2012</w:t>
            </w:r>
          </w:p>
        </w:tc>
        <w:tc>
          <w:tcPr>
            <w:tcW w:w="677" w:type="pct"/>
            <w:tcBorders>
              <w:top w:val="nil"/>
              <w:left w:val="nil"/>
              <w:bottom w:val="single" w:sz="4" w:space="0" w:color="auto"/>
              <w:right w:val="single" w:sz="4" w:space="0" w:color="auto"/>
            </w:tcBorders>
            <w:shd w:val="clear" w:color="auto" w:fill="auto"/>
            <w:vAlign w:val="center"/>
            <w:hideMark/>
          </w:tcPr>
          <w:p w14:paraId="0EC2D169" w14:textId="77777777" w:rsidR="003F6057" w:rsidRPr="003F6057" w:rsidRDefault="003F6057" w:rsidP="003F6057">
            <w:pPr>
              <w:spacing w:before="0"/>
              <w:jc w:val="center"/>
              <w:rPr>
                <w:rFonts w:ascii="Calibri" w:hAnsi="Calibri"/>
                <w:color w:val="000000"/>
                <w:sz w:val="20"/>
                <w:lang w:val="en-IE"/>
              </w:rPr>
            </w:pPr>
            <w:r w:rsidRPr="003F6057">
              <w:rPr>
                <w:rFonts w:ascii="Calibri" w:hAnsi="Calibri"/>
                <w:color w:val="000000"/>
                <w:sz w:val="20"/>
                <w:lang w:val="en-IE"/>
              </w:rPr>
              <w:t>FOKAL/GRET/ACT Consultants (France) / LGL (Haïti)</w:t>
            </w:r>
          </w:p>
        </w:tc>
        <w:tc>
          <w:tcPr>
            <w:tcW w:w="443" w:type="pct"/>
            <w:tcBorders>
              <w:top w:val="nil"/>
              <w:left w:val="nil"/>
              <w:bottom w:val="single" w:sz="4" w:space="0" w:color="auto"/>
              <w:right w:val="single" w:sz="4" w:space="0" w:color="auto"/>
            </w:tcBorders>
            <w:shd w:val="clear" w:color="auto" w:fill="auto"/>
            <w:vAlign w:val="center"/>
            <w:hideMark/>
          </w:tcPr>
          <w:p w14:paraId="62E858DF"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AFD (AIQIP) / UE (PARAQ)</w:t>
            </w:r>
          </w:p>
        </w:tc>
      </w:tr>
      <w:tr w:rsidR="003F6057" w:rsidRPr="003F6057" w14:paraId="45A315A7" w14:textId="77777777" w:rsidTr="0041633D">
        <w:trPr>
          <w:trHeight w:val="1020"/>
        </w:trPr>
        <w:tc>
          <w:tcPr>
            <w:tcW w:w="268" w:type="pct"/>
            <w:vMerge/>
            <w:tcBorders>
              <w:top w:val="nil"/>
              <w:left w:val="single" w:sz="4" w:space="0" w:color="auto"/>
              <w:bottom w:val="single" w:sz="4" w:space="0" w:color="auto"/>
              <w:right w:val="single" w:sz="4" w:space="0" w:color="auto"/>
            </w:tcBorders>
            <w:vAlign w:val="center"/>
            <w:hideMark/>
          </w:tcPr>
          <w:p w14:paraId="3686FA2E"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73389891" w14:textId="77777777" w:rsidR="003F6057" w:rsidRPr="003F6057" w:rsidRDefault="003F6057" w:rsidP="003F6057">
            <w:pPr>
              <w:spacing w:before="0"/>
              <w:jc w:val="left"/>
              <w:rPr>
                <w:rFonts w:ascii="Calibri" w:hAnsi="Calibri"/>
                <w:color w:val="000000"/>
                <w:sz w:val="20"/>
              </w:rPr>
            </w:pPr>
          </w:p>
        </w:tc>
        <w:tc>
          <w:tcPr>
            <w:tcW w:w="971" w:type="pct"/>
            <w:vMerge/>
            <w:tcBorders>
              <w:top w:val="nil"/>
              <w:left w:val="single" w:sz="4" w:space="0" w:color="auto"/>
              <w:bottom w:val="single" w:sz="4" w:space="0" w:color="auto"/>
              <w:right w:val="single" w:sz="4" w:space="0" w:color="auto"/>
            </w:tcBorders>
            <w:vAlign w:val="center"/>
            <w:hideMark/>
          </w:tcPr>
          <w:p w14:paraId="5D41D50E" w14:textId="77777777" w:rsidR="003F6057" w:rsidRPr="003F6057" w:rsidRDefault="003F6057" w:rsidP="003F6057">
            <w:pPr>
              <w:spacing w:before="0"/>
              <w:jc w:val="left"/>
              <w:rPr>
                <w:rFonts w:ascii="Calibri" w:hAnsi="Calibri"/>
                <w:color w:val="000000"/>
                <w:sz w:val="20"/>
              </w:rPr>
            </w:pPr>
          </w:p>
        </w:tc>
        <w:tc>
          <w:tcPr>
            <w:tcW w:w="766" w:type="pct"/>
            <w:tcBorders>
              <w:top w:val="nil"/>
              <w:left w:val="nil"/>
              <w:bottom w:val="single" w:sz="4" w:space="0" w:color="auto"/>
              <w:right w:val="single" w:sz="4" w:space="0" w:color="auto"/>
            </w:tcBorders>
            <w:shd w:val="clear" w:color="auto" w:fill="auto"/>
            <w:vAlign w:val="center"/>
            <w:hideMark/>
          </w:tcPr>
          <w:p w14:paraId="419766F5"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Schéma d'aménagement de Campèche</w:t>
            </w:r>
          </w:p>
        </w:tc>
        <w:tc>
          <w:tcPr>
            <w:tcW w:w="402" w:type="pct"/>
            <w:tcBorders>
              <w:top w:val="nil"/>
              <w:left w:val="nil"/>
              <w:bottom w:val="single" w:sz="4" w:space="0" w:color="auto"/>
              <w:right w:val="single" w:sz="4" w:space="0" w:color="auto"/>
            </w:tcBorders>
            <w:shd w:val="clear" w:color="auto" w:fill="auto"/>
            <w:vAlign w:val="center"/>
            <w:hideMark/>
          </w:tcPr>
          <w:p w14:paraId="68559BE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Validé Copil puis Comité Technique Interministériel</w:t>
            </w:r>
          </w:p>
        </w:tc>
        <w:tc>
          <w:tcPr>
            <w:tcW w:w="262" w:type="pct"/>
            <w:tcBorders>
              <w:top w:val="nil"/>
              <w:left w:val="nil"/>
              <w:bottom w:val="single" w:sz="4" w:space="0" w:color="auto"/>
              <w:right w:val="single" w:sz="4" w:space="0" w:color="auto"/>
            </w:tcBorders>
            <w:shd w:val="clear" w:color="auto" w:fill="auto"/>
            <w:vAlign w:val="center"/>
            <w:hideMark/>
          </w:tcPr>
          <w:p w14:paraId="374B7B2F"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2013</w:t>
            </w:r>
          </w:p>
        </w:tc>
        <w:tc>
          <w:tcPr>
            <w:tcW w:w="677" w:type="pct"/>
            <w:tcBorders>
              <w:top w:val="nil"/>
              <w:left w:val="nil"/>
              <w:bottom w:val="single" w:sz="4" w:space="0" w:color="auto"/>
              <w:right w:val="single" w:sz="4" w:space="0" w:color="auto"/>
            </w:tcBorders>
            <w:shd w:val="clear" w:color="auto" w:fill="auto"/>
            <w:vAlign w:val="center"/>
            <w:hideMark/>
          </w:tcPr>
          <w:p w14:paraId="65C19AB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ACT/LGL puis WE(Espagne)/SPORA(Espagne)/LGL</w:t>
            </w:r>
          </w:p>
        </w:tc>
        <w:tc>
          <w:tcPr>
            <w:tcW w:w="443" w:type="pct"/>
            <w:tcBorders>
              <w:top w:val="nil"/>
              <w:left w:val="nil"/>
              <w:bottom w:val="single" w:sz="4" w:space="0" w:color="auto"/>
              <w:right w:val="single" w:sz="4" w:space="0" w:color="auto"/>
            </w:tcBorders>
            <w:shd w:val="clear" w:color="auto" w:fill="auto"/>
            <w:vAlign w:val="center"/>
            <w:hideMark/>
          </w:tcPr>
          <w:p w14:paraId="4F59DDE9"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Croix Rouge Américaine (LAMIKA)</w:t>
            </w:r>
          </w:p>
        </w:tc>
      </w:tr>
      <w:tr w:rsidR="003F6057" w:rsidRPr="003F6057" w14:paraId="13F3EA53" w14:textId="77777777" w:rsidTr="0041633D">
        <w:trPr>
          <w:trHeight w:val="1485"/>
        </w:trPr>
        <w:tc>
          <w:tcPr>
            <w:tcW w:w="268" w:type="pct"/>
            <w:vMerge/>
            <w:tcBorders>
              <w:top w:val="nil"/>
              <w:left w:val="single" w:sz="4" w:space="0" w:color="auto"/>
              <w:bottom w:val="single" w:sz="4" w:space="0" w:color="auto"/>
              <w:right w:val="single" w:sz="4" w:space="0" w:color="auto"/>
            </w:tcBorders>
            <w:vAlign w:val="center"/>
            <w:hideMark/>
          </w:tcPr>
          <w:p w14:paraId="1C8271A0"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534DC551" w14:textId="77777777" w:rsidR="003F6057" w:rsidRPr="003F6057" w:rsidRDefault="003F6057" w:rsidP="003F6057">
            <w:pPr>
              <w:spacing w:before="0"/>
              <w:jc w:val="left"/>
              <w:rPr>
                <w:rFonts w:ascii="Calibri" w:hAnsi="Calibri"/>
                <w:color w:val="000000"/>
                <w:sz w:val="20"/>
              </w:rPr>
            </w:pPr>
          </w:p>
        </w:tc>
        <w:tc>
          <w:tcPr>
            <w:tcW w:w="971" w:type="pct"/>
            <w:vMerge/>
            <w:tcBorders>
              <w:top w:val="nil"/>
              <w:left w:val="single" w:sz="4" w:space="0" w:color="auto"/>
              <w:bottom w:val="single" w:sz="4" w:space="0" w:color="auto"/>
              <w:right w:val="single" w:sz="4" w:space="0" w:color="auto"/>
            </w:tcBorders>
            <w:vAlign w:val="center"/>
            <w:hideMark/>
          </w:tcPr>
          <w:p w14:paraId="6997851F" w14:textId="77777777" w:rsidR="003F6057" w:rsidRPr="003F6057" w:rsidRDefault="003F6057" w:rsidP="003F6057">
            <w:pPr>
              <w:spacing w:before="0"/>
              <w:jc w:val="left"/>
              <w:rPr>
                <w:rFonts w:ascii="Calibri" w:hAnsi="Calibri"/>
                <w:color w:val="000000"/>
                <w:sz w:val="20"/>
              </w:rPr>
            </w:pPr>
          </w:p>
        </w:tc>
        <w:tc>
          <w:tcPr>
            <w:tcW w:w="766" w:type="pct"/>
            <w:tcBorders>
              <w:top w:val="nil"/>
              <w:left w:val="nil"/>
              <w:bottom w:val="single" w:sz="4" w:space="0" w:color="auto"/>
              <w:right w:val="single" w:sz="4" w:space="0" w:color="auto"/>
            </w:tcBorders>
            <w:shd w:val="clear" w:color="auto" w:fill="auto"/>
            <w:vAlign w:val="center"/>
            <w:hideMark/>
          </w:tcPr>
          <w:p w14:paraId="74DAE826"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Schéma d'aménagement de Carrefour Feuille</w:t>
            </w:r>
          </w:p>
        </w:tc>
        <w:tc>
          <w:tcPr>
            <w:tcW w:w="402" w:type="pct"/>
            <w:tcBorders>
              <w:top w:val="nil"/>
              <w:left w:val="nil"/>
              <w:bottom w:val="single" w:sz="4" w:space="0" w:color="auto"/>
              <w:right w:val="single" w:sz="4" w:space="0" w:color="auto"/>
            </w:tcBorders>
            <w:shd w:val="clear" w:color="auto" w:fill="auto"/>
            <w:vAlign w:val="center"/>
            <w:hideMark/>
          </w:tcPr>
          <w:p w14:paraId="0D08FD9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processus validation géré par BM-PAD (pas d'acceptation du produit final)</w:t>
            </w:r>
          </w:p>
        </w:tc>
        <w:tc>
          <w:tcPr>
            <w:tcW w:w="262" w:type="pct"/>
            <w:tcBorders>
              <w:top w:val="nil"/>
              <w:left w:val="nil"/>
              <w:bottom w:val="single" w:sz="4" w:space="0" w:color="auto"/>
              <w:right w:val="single" w:sz="4" w:space="0" w:color="auto"/>
            </w:tcBorders>
            <w:shd w:val="clear" w:color="auto" w:fill="auto"/>
            <w:vAlign w:val="center"/>
            <w:hideMark/>
          </w:tcPr>
          <w:p w14:paraId="2CF5EA44"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2013</w:t>
            </w:r>
          </w:p>
        </w:tc>
        <w:tc>
          <w:tcPr>
            <w:tcW w:w="677" w:type="pct"/>
            <w:tcBorders>
              <w:top w:val="nil"/>
              <w:left w:val="nil"/>
              <w:bottom w:val="single" w:sz="4" w:space="0" w:color="auto"/>
              <w:right w:val="single" w:sz="4" w:space="0" w:color="auto"/>
            </w:tcBorders>
            <w:shd w:val="clear" w:color="auto" w:fill="auto"/>
            <w:vAlign w:val="center"/>
            <w:hideMark/>
          </w:tcPr>
          <w:p w14:paraId="71290D10"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WE/SPORA/LGL</w:t>
            </w:r>
          </w:p>
        </w:tc>
        <w:tc>
          <w:tcPr>
            <w:tcW w:w="443" w:type="pct"/>
            <w:tcBorders>
              <w:top w:val="nil"/>
              <w:left w:val="nil"/>
              <w:bottom w:val="single" w:sz="4" w:space="0" w:color="auto"/>
              <w:right w:val="single" w:sz="4" w:space="0" w:color="auto"/>
            </w:tcBorders>
            <w:shd w:val="clear" w:color="auto" w:fill="auto"/>
            <w:vAlign w:val="center"/>
            <w:hideMark/>
          </w:tcPr>
          <w:p w14:paraId="4EE72143"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Banque Mondiale (PRODEPUR-Habitat)</w:t>
            </w:r>
          </w:p>
        </w:tc>
      </w:tr>
      <w:tr w:rsidR="003F6057" w:rsidRPr="003F6057" w14:paraId="1102506C" w14:textId="77777777" w:rsidTr="0041633D">
        <w:trPr>
          <w:trHeight w:val="1275"/>
        </w:trPr>
        <w:tc>
          <w:tcPr>
            <w:tcW w:w="268" w:type="pct"/>
            <w:vMerge/>
            <w:tcBorders>
              <w:top w:val="nil"/>
              <w:left w:val="single" w:sz="4" w:space="0" w:color="auto"/>
              <w:bottom w:val="single" w:sz="4" w:space="0" w:color="auto"/>
              <w:right w:val="single" w:sz="4" w:space="0" w:color="auto"/>
            </w:tcBorders>
            <w:vAlign w:val="center"/>
            <w:hideMark/>
          </w:tcPr>
          <w:p w14:paraId="0F71239C"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026FC6A8" w14:textId="77777777" w:rsidR="003F6057" w:rsidRPr="003F6057" w:rsidRDefault="003F6057" w:rsidP="003F6057">
            <w:pPr>
              <w:spacing w:before="0"/>
              <w:jc w:val="left"/>
              <w:rPr>
                <w:rFonts w:ascii="Calibri" w:hAnsi="Calibri"/>
                <w:color w:val="000000"/>
                <w:sz w:val="20"/>
              </w:rPr>
            </w:pPr>
          </w:p>
        </w:tc>
        <w:tc>
          <w:tcPr>
            <w:tcW w:w="971" w:type="pct"/>
            <w:vMerge/>
            <w:tcBorders>
              <w:top w:val="nil"/>
              <w:left w:val="single" w:sz="4" w:space="0" w:color="auto"/>
              <w:bottom w:val="single" w:sz="4" w:space="0" w:color="auto"/>
              <w:right w:val="single" w:sz="4" w:space="0" w:color="auto"/>
            </w:tcBorders>
            <w:vAlign w:val="center"/>
            <w:hideMark/>
          </w:tcPr>
          <w:p w14:paraId="1524CA3D" w14:textId="77777777" w:rsidR="003F6057" w:rsidRPr="003F6057" w:rsidRDefault="003F6057" w:rsidP="003F6057">
            <w:pPr>
              <w:spacing w:before="0"/>
              <w:jc w:val="left"/>
              <w:rPr>
                <w:rFonts w:ascii="Calibri" w:hAnsi="Calibri"/>
                <w:color w:val="000000"/>
                <w:sz w:val="20"/>
              </w:rPr>
            </w:pPr>
          </w:p>
        </w:tc>
        <w:tc>
          <w:tcPr>
            <w:tcW w:w="766" w:type="pct"/>
            <w:tcBorders>
              <w:top w:val="nil"/>
              <w:left w:val="nil"/>
              <w:bottom w:val="single" w:sz="4" w:space="0" w:color="auto"/>
              <w:right w:val="single" w:sz="4" w:space="0" w:color="auto"/>
            </w:tcBorders>
            <w:shd w:val="clear" w:color="auto" w:fill="auto"/>
            <w:vAlign w:val="center"/>
            <w:hideMark/>
          </w:tcPr>
          <w:p w14:paraId="3F6F4A46"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Schéma d'aménagement du quartier de Christ-Roi</w:t>
            </w:r>
          </w:p>
        </w:tc>
        <w:tc>
          <w:tcPr>
            <w:tcW w:w="402" w:type="pct"/>
            <w:tcBorders>
              <w:top w:val="nil"/>
              <w:left w:val="nil"/>
              <w:bottom w:val="single" w:sz="4" w:space="0" w:color="auto"/>
              <w:right w:val="single" w:sz="4" w:space="0" w:color="auto"/>
            </w:tcBorders>
            <w:shd w:val="clear" w:color="auto" w:fill="auto"/>
            <w:vAlign w:val="center"/>
            <w:hideMark/>
          </w:tcPr>
          <w:p w14:paraId="2B812E2E"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Validé Comité Technique Interministériel</w:t>
            </w:r>
          </w:p>
        </w:tc>
        <w:tc>
          <w:tcPr>
            <w:tcW w:w="262" w:type="pct"/>
            <w:tcBorders>
              <w:top w:val="nil"/>
              <w:left w:val="nil"/>
              <w:bottom w:val="single" w:sz="4" w:space="0" w:color="auto"/>
              <w:right w:val="single" w:sz="4" w:space="0" w:color="auto"/>
            </w:tcBorders>
            <w:shd w:val="clear" w:color="auto" w:fill="auto"/>
            <w:vAlign w:val="center"/>
            <w:hideMark/>
          </w:tcPr>
          <w:p w14:paraId="15D570E2"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2013</w:t>
            </w:r>
          </w:p>
        </w:tc>
        <w:tc>
          <w:tcPr>
            <w:tcW w:w="677" w:type="pct"/>
            <w:tcBorders>
              <w:top w:val="nil"/>
              <w:left w:val="nil"/>
              <w:bottom w:val="single" w:sz="4" w:space="0" w:color="auto"/>
              <w:right w:val="single" w:sz="4" w:space="0" w:color="auto"/>
            </w:tcBorders>
            <w:shd w:val="clear" w:color="auto" w:fill="auto"/>
            <w:vAlign w:val="center"/>
            <w:hideMark/>
          </w:tcPr>
          <w:p w14:paraId="38583D3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Solidarités International/ Fondation Architectes de l'Urgence</w:t>
            </w:r>
          </w:p>
        </w:tc>
        <w:tc>
          <w:tcPr>
            <w:tcW w:w="443" w:type="pct"/>
            <w:tcBorders>
              <w:top w:val="nil"/>
              <w:left w:val="nil"/>
              <w:bottom w:val="single" w:sz="4" w:space="0" w:color="auto"/>
              <w:right w:val="single" w:sz="4" w:space="0" w:color="auto"/>
            </w:tcBorders>
            <w:shd w:val="clear" w:color="auto" w:fill="auto"/>
            <w:vAlign w:val="center"/>
            <w:hideMark/>
          </w:tcPr>
          <w:p w14:paraId="2C31E3F1"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UE (PARAQ)</w:t>
            </w:r>
          </w:p>
        </w:tc>
      </w:tr>
      <w:tr w:rsidR="003F6057" w:rsidRPr="003F6057" w14:paraId="52EE9BAB" w14:textId="77777777" w:rsidTr="0041633D">
        <w:trPr>
          <w:trHeight w:val="1020"/>
        </w:trPr>
        <w:tc>
          <w:tcPr>
            <w:tcW w:w="268" w:type="pct"/>
            <w:vMerge/>
            <w:tcBorders>
              <w:top w:val="nil"/>
              <w:left w:val="single" w:sz="4" w:space="0" w:color="auto"/>
              <w:bottom w:val="single" w:sz="4" w:space="0" w:color="auto"/>
              <w:right w:val="single" w:sz="4" w:space="0" w:color="auto"/>
            </w:tcBorders>
            <w:vAlign w:val="center"/>
            <w:hideMark/>
          </w:tcPr>
          <w:p w14:paraId="20D3F7BC"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7ED3991F" w14:textId="77777777" w:rsidR="003F6057" w:rsidRPr="003F6057" w:rsidRDefault="003F6057" w:rsidP="003F6057">
            <w:pPr>
              <w:spacing w:before="0"/>
              <w:jc w:val="left"/>
              <w:rPr>
                <w:rFonts w:ascii="Calibri" w:hAnsi="Calibri"/>
                <w:color w:val="000000"/>
                <w:sz w:val="20"/>
              </w:rPr>
            </w:pPr>
          </w:p>
        </w:tc>
        <w:tc>
          <w:tcPr>
            <w:tcW w:w="971" w:type="pct"/>
            <w:vMerge/>
            <w:tcBorders>
              <w:top w:val="nil"/>
              <w:left w:val="single" w:sz="4" w:space="0" w:color="auto"/>
              <w:bottom w:val="single" w:sz="4" w:space="0" w:color="auto"/>
              <w:right w:val="single" w:sz="4" w:space="0" w:color="auto"/>
            </w:tcBorders>
            <w:vAlign w:val="center"/>
            <w:hideMark/>
          </w:tcPr>
          <w:p w14:paraId="16A63273" w14:textId="77777777" w:rsidR="003F6057" w:rsidRPr="003F6057" w:rsidRDefault="003F6057" w:rsidP="003F6057">
            <w:pPr>
              <w:spacing w:before="0"/>
              <w:jc w:val="left"/>
              <w:rPr>
                <w:rFonts w:ascii="Calibri" w:hAnsi="Calibri"/>
                <w:color w:val="000000"/>
                <w:sz w:val="20"/>
              </w:rPr>
            </w:pPr>
          </w:p>
        </w:tc>
        <w:tc>
          <w:tcPr>
            <w:tcW w:w="766" w:type="pct"/>
            <w:tcBorders>
              <w:top w:val="nil"/>
              <w:left w:val="nil"/>
              <w:bottom w:val="single" w:sz="4" w:space="0" w:color="auto"/>
              <w:right w:val="single" w:sz="4" w:space="0" w:color="auto"/>
            </w:tcBorders>
            <w:shd w:val="clear" w:color="auto" w:fill="auto"/>
            <w:vAlign w:val="center"/>
            <w:hideMark/>
          </w:tcPr>
          <w:p w14:paraId="00EA26BF"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Schéma d'aménagement du quartier de Grand Ravine</w:t>
            </w:r>
          </w:p>
        </w:tc>
        <w:tc>
          <w:tcPr>
            <w:tcW w:w="402" w:type="pct"/>
            <w:tcBorders>
              <w:top w:val="nil"/>
              <w:left w:val="nil"/>
              <w:bottom w:val="single" w:sz="4" w:space="0" w:color="auto"/>
              <w:right w:val="single" w:sz="4" w:space="0" w:color="auto"/>
            </w:tcBorders>
            <w:shd w:val="clear" w:color="auto" w:fill="auto"/>
            <w:vAlign w:val="center"/>
            <w:hideMark/>
          </w:tcPr>
          <w:p w14:paraId="31DD0D02"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Validé Comité Technique Interministériel</w:t>
            </w:r>
          </w:p>
        </w:tc>
        <w:tc>
          <w:tcPr>
            <w:tcW w:w="262" w:type="pct"/>
            <w:tcBorders>
              <w:top w:val="nil"/>
              <w:left w:val="nil"/>
              <w:bottom w:val="single" w:sz="4" w:space="0" w:color="auto"/>
              <w:right w:val="single" w:sz="4" w:space="0" w:color="auto"/>
            </w:tcBorders>
            <w:shd w:val="clear" w:color="auto" w:fill="auto"/>
            <w:vAlign w:val="center"/>
            <w:hideMark/>
          </w:tcPr>
          <w:p w14:paraId="0848D23C"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2014</w:t>
            </w:r>
          </w:p>
        </w:tc>
        <w:tc>
          <w:tcPr>
            <w:tcW w:w="677" w:type="pct"/>
            <w:tcBorders>
              <w:top w:val="nil"/>
              <w:left w:val="nil"/>
              <w:bottom w:val="single" w:sz="4" w:space="0" w:color="auto"/>
              <w:right w:val="single" w:sz="4" w:space="0" w:color="auto"/>
            </w:tcBorders>
            <w:shd w:val="clear" w:color="auto" w:fill="auto"/>
            <w:vAlign w:val="center"/>
            <w:hideMark/>
          </w:tcPr>
          <w:p w14:paraId="6CB5F1DE"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 xml:space="preserve">Concern/ Architecture for Humanity </w:t>
            </w:r>
          </w:p>
        </w:tc>
        <w:tc>
          <w:tcPr>
            <w:tcW w:w="443" w:type="pct"/>
            <w:tcBorders>
              <w:top w:val="nil"/>
              <w:left w:val="nil"/>
              <w:bottom w:val="single" w:sz="4" w:space="0" w:color="auto"/>
              <w:right w:val="single" w:sz="4" w:space="0" w:color="auto"/>
            </w:tcBorders>
            <w:shd w:val="clear" w:color="auto" w:fill="auto"/>
            <w:vAlign w:val="center"/>
            <w:hideMark/>
          </w:tcPr>
          <w:p w14:paraId="1B0CBE56"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UE (PARAQ)</w:t>
            </w:r>
          </w:p>
        </w:tc>
      </w:tr>
      <w:tr w:rsidR="003F6057" w:rsidRPr="003F6057" w14:paraId="2834A32E" w14:textId="77777777" w:rsidTr="0041633D">
        <w:trPr>
          <w:trHeight w:val="1020"/>
        </w:trPr>
        <w:tc>
          <w:tcPr>
            <w:tcW w:w="268" w:type="pct"/>
            <w:vMerge/>
            <w:tcBorders>
              <w:top w:val="nil"/>
              <w:left w:val="single" w:sz="4" w:space="0" w:color="auto"/>
              <w:bottom w:val="single" w:sz="4" w:space="0" w:color="auto"/>
              <w:right w:val="single" w:sz="4" w:space="0" w:color="auto"/>
            </w:tcBorders>
            <w:vAlign w:val="center"/>
            <w:hideMark/>
          </w:tcPr>
          <w:p w14:paraId="26D6D254"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1A4FA6E0" w14:textId="77777777" w:rsidR="003F6057" w:rsidRPr="003F6057" w:rsidRDefault="003F6057" w:rsidP="003F6057">
            <w:pPr>
              <w:spacing w:before="0"/>
              <w:jc w:val="left"/>
              <w:rPr>
                <w:rFonts w:ascii="Calibri" w:hAnsi="Calibri"/>
                <w:color w:val="000000"/>
                <w:sz w:val="20"/>
              </w:rPr>
            </w:pPr>
          </w:p>
        </w:tc>
        <w:tc>
          <w:tcPr>
            <w:tcW w:w="971" w:type="pct"/>
            <w:tcBorders>
              <w:top w:val="nil"/>
              <w:left w:val="nil"/>
              <w:bottom w:val="single" w:sz="4" w:space="0" w:color="auto"/>
              <w:right w:val="single" w:sz="4" w:space="0" w:color="auto"/>
            </w:tcBorders>
            <w:shd w:val="clear" w:color="000000" w:fill="FFFFFF"/>
            <w:vAlign w:val="center"/>
            <w:hideMark/>
          </w:tcPr>
          <w:p w14:paraId="7CC1A85A"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Carrefour</w:t>
            </w:r>
          </w:p>
        </w:tc>
        <w:tc>
          <w:tcPr>
            <w:tcW w:w="766" w:type="pct"/>
            <w:tcBorders>
              <w:top w:val="nil"/>
              <w:left w:val="nil"/>
              <w:bottom w:val="single" w:sz="4" w:space="0" w:color="auto"/>
              <w:right w:val="single" w:sz="4" w:space="0" w:color="auto"/>
            </w:tcBorders>
            <w:shd w:val="clear" w:color="auto" w:fill="auto"/>
            <w:vAlign w:val="center"/>
            <w:hideMark/>
          </w:tcPr>
          <w:p w14:paraId="2C6481C1"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Schéma d'aménagement des quartiers de Ti-Sous, La Grenade et Sapotille</w:t>
            </w:r>
          </w:p>
        </w:tc>
        <w:tc>
          <w:tcPr>
            <w:tcW w:w="402" w:type="pct"/>
            <w:tcBorders>
              <w:top w:val="nil"/>
              <w:left w:val="nil"/>
              <w:bottom w:val="single" w:sz="4" w:space="0" w:color="auto"/>
              <w:right w:val="single" w:sz="4" w:space="0" w:color="auto"/>
            </w:tcBorders>
            <w:shd w:val="clear" w:color="auto" w:fill="auto"/>
            <w:vAlign w:val="center"/>
            <w:hideMark/>
          </w:tcPr>
          <w:p w14:paraId="26D282BC"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Validé Comité Technique Interministériel</w:t>
            </w:r>
          </w:p>
        </w:tc>
        <w:tc>
          <w:tcPr>
            <w:tcW w:w="262" w:type="pct"/>
            <w:tcBorders>
              <w:top w:val="nil"/>
              <w:left w:val="nil"/>
              <w:bottom w:val="single" w:sz="4" w:space="0" w:color="auto"/>
              <w:right w:val="single" w:sz="4" w:space="0" w:color="auto"/>
            </w:tcBorders>
            <w:shd w:val="clear" w:color="auto" w:fill="auto"/>
            <w:vAlign w:val="center"/>
            <w:hideMark/>
          </w:tcPr>
          <w:p w14:paraId="74EE33E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2014</w:t>
            </w:r>
          </w:p>
        </w:tc>
        <w:tc>
          <w:tcPr>
            <w:tcW w:w="677" w:type="pct"/>
            <w:tcBorders>
              <w:top w:val="nil"/>
              <w:left w:val="nil"/>
              <w:bottom w:val="single" w:sz="4" w:space="0" w:color="auto"/>
              <w:right w:val="single" w:sz="4" w:space="0" w:color="auto"/>
            </w:tcBorders>
            <w:shd w:val="clear" w:color="auto" w:fill="auto"/>
            <w:vAlign w:val="center"/>
            <w:hideMark/>
          </w:tcPr>
          <w:p w14:paraId="714AC577"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Concern/ Fondation Architectes de l'Urgence</w:t>
            </w:r>
          </w:p>
        </w:tc>
        <w:tc>
          <w:tcPr>
            <w:tcW w:w="443" w:type="pct"/>
            <w:tcBorders>
              <w:top w:val="nil"/>
              <w:left w:val="nil"/>
              <w:bottom w:val="single" w:sz="4" w:space="0" w:color="auto"/>
              <w:right w:val="single" w:sz="4" w:space="0" w:color="auto"/>
            </w:tcBorders>
            <w:shd w:val="clear" w:color="auto" w:fill="auto"/>
            <w:vAlign w:val="center"/>
            <w:hideMark/>
          </w:tcPr>
          <w:p w14:paraId="5C865340"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UE (PARAQ)</w:t>
            </w:r>
          </w:p>
        </w:tc>
      </w:tr>
      <w:tr w:rsidR="003F6057" w:rsidRPr="003F6057" w14:paraId="7E697644" w14:textId="77777777" w:rsidTr="0041633D">
        <w:trPr>
          <w:trHeight w:val="1365"/>
        </w:trPr>
        <w:tc>
          <w:tcPr>
            <w:tcW w:w="268" w:type="pct"/>
            <w:vMerge/>
            <w:tcBorders>
              <w:top w:val="nil"/>
              <w:left w:val="single" w:sz="4" w:space="0" w:color="auto"/>
              <w:bottom w:val="single" w:sz="4" w:space="0" w:color="auto"/>
              <w:right w:val="single" w:sz="4" w:space="0" w:color="auto"/>
            </w:tcBorders>
            <w:vAlign w:val="center"/>
            <w:hideMark/>
          </w:tcPr>
          <w:p w14:paraId="0664E8E4"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684729C0" w14:textId="77777777" w:rsidR="003F6057" w:rsidRPr="003F6057" w:rsidRDefault="003F6057" w:rsidP="003F6057">
            <w:pPr>
              <w:spacing w:before="0"/>
              <w:jc w:val="left"/>
              <w:rPr>
                <w:rFonts w:ascii="Calibri" w:hAnsi="Calibri"/>
                <w:color w:val="000000"/>
                <w:sz w:val="20"/>
              </w:rPr>
            </w:pPr>
          </w:p>
        </w:tc>
        <w:tc>
          <w:tcPr>
            <w:tcW w:w="971" w:type="pct"/>
            <w:tcBorders>
              <w:top w:val="nil"/>
              <w:left w:val="nil"/>
              <w:bottom w:val="single" w:sz="4" w:space="0" w:color="auto"/>
              <w:right w:val="single" w:sz="4" w:space="0" w:color="auto"/>
            </w:tcBorders>
            <w:shd w:val="clear" w:color="000000" w:fill="FFFFFF"/>
            <w:vAlign w:val="center"/>
            <w:hideMark/>
          </w:tcPr>
          <w:p w14:paraId="0D198A10"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Delmas</w:t>
            </w:r>
          </w:p>
        </w:tc>
        <w:tc>
          <w:tcPr>
            <w:tcW w:w="766" w:type="pct"/>
            <w:tcBorders>
              <w:top w:val="nil"/>
              <w:left w:val="nil"/>
              <w:bottom w:val="single" w:sz="4" w:space="0" w:color="auto"/>
              <w:right w:val="single" w:sz="4" w:space="0" w:color="auto"/>
            </w:tcBorders>
            <w:shd w:val="clear" w:color="auto" w:fill="auto"/>
            <w:vAlign w:val="center"/>
            <w:hideMark/>
          </w:tcPr>
          <w:p w14:paraId="27D23D17"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Schéma d'aménagement des quartiers de Delmas 7, 9, 11 et 13</w:t>
            </w:r>
          </w:p>
        </w:tc>
        <w:tc>
          <w:tcPr>
            <w:tcW w:w="402" w:type="pct"/>
            <w:tcBorders>
              <w:top w:val="nil"/>
              <w:left w:val="nil"/>
              <w:bottom w:val="single" w:sz="4" w:space="0" w:color="auto"/>
              <w:right w:val="single" w:sz="4" w:space="0" w:color="auto"/>
            </w:tcBorders>
            <w:shd w:val="clear" w:color="auto" w:fill="auto"/>
            <w:vAlign w:val="center"/>
            <w:hideMark/>
          </w:tcPr>
          <w:p w14:paraId="477E5473"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Validé sous réserves par le Comité Technique Interministériel</w:t>
            </w:r>
          </w:p>
        </w:tc>
        <w:tc>
          <w:tcPr>
            <w:tcW w:w="262" w:type="pct"/>
            <w:tcBorders>
              <w:top w:val="nil"/>
              <w:left w:val="nil"/>
              <w:bottom w:val="single" w:sz="4" w:space="0" w:color="auto"/>
              <w:right w:val="single" w:sz="4" w:space="0" w:color="auto"/>
            </w:tcBorders>
            <w:shd w:val="clear" w:color="auto" w:fill="auto"/>
            <w:vAlign w:val="center"/>
            <w:hideMark/>
          </w:tcPr>
          <w:p w14:paraId="547AA95A"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2014</w:t>
            </w:r>
          </w:p>
        </w:tc>
        <w:tc>
          <w:tcPr>
            <w:tcW w:w="677" w:type="pct"/>
            <w:tcBorders>
              <w:top w:val="nil"/>
              <w:left w:val="nil"/>
              <w:bottom w:val="single" w:sz="4" w:space="0" w:color="auto"/>
              <w:right w:val="single" w:sz="4" w:space="0" w:color="auto"/>
            </w:tcBorders>
            <w:shd w:val="clear" w:color="auto" w:fill="auto"/>
            <w:vAlign w:val="center"/>
            <w:hideMark/>
          </w:tcPr>
          <w:p w14:paraId="00BFB8E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Croix Rouge Française/ Croix Rouge Haïtienne</w:t>
            </w:r>
          </w:p>
        </w:tc>
        <w:tc>
          <w:tcPr>
            <w:tcW w:w="443" w:type="pct"/>
            <w:tcBorders>
              <w:top w:val="nil"/>
              <w:left w:val="nil"/>
              <w:bottom w:val="single" w:sz="4" w:space="0" w:color="auto"/>
              <w:right w:val="single" w:sz="4" w:space="0" w:color="auto"/>
            </w:tcBorders>
            <w:shd w:val="clear" w:color="auto" w:fill="auto"/>
            <w:vAlign w:val="center"/>
            <w:hideMark/>
          </w:tcPr>
          <w:p w14:paraId="5625ACF7"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UE (PARAQ)</w:t>
            </w:r>
          </w:p>
        </w:tc>
      </w:tr>
      <w:tr w:rsidR="003F6057" w:rsidRPr="003F6057" w14:paraId="49051BB4" w14:textId="77777777" w:rsidTr="0041633D">
        <w:trPr>
          <w:trHeight w:val="1065"/>
        </w:trPr>
        <w:tc>
          <w:tcPr>
            <w:tcW w:w="268" w:type="pct"/>
            <w:vMerge/>
            <w:tcBorders>
              <w:top w:val="nil"/>
              <w:left w:val="single" w:sz="4" w:space="0" w:color="auto"/>
              <w:bottom w:val="single" w:sz="4" w:space="0" w:color="auto"/>
              <w:right w:val="single" w:sz="4" w:space="0" w:color="auto"/>
            </w:tcBorders>
            <w:vAlign w:val="center"/>
            <w:hideMark/>
          </w:tcPr>
          <w:p w14:paraId="2EEB01A5" w14:textId="77777777" w:rsidR="003F6057" w:rsidRPr="003F6057" w:rsidRDefault="003F6057" w:rsidP="003F6057">
            <w:pPr>
              <w:spacing w:before="0"/>
              <w:jc w:val="left"/>
              <w:rPr>
                <w:rFonts w:ascii="Calibri" w:hAnsi="Calibri"/>
                <w:color w:val="000000"/>
                <w:sz w:val="20"/>
              </w:rPr>
            </w:pPr>
          </w:p>
        </w:tc>
        <w:tc>
          <w:tcPr>
            <w:tcW w:w="12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08AAE2FF"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Croix-des-Bouquets</w:t>
            </w:r>
          </w:p>
        </w:tc>
        <w:tc>
          <w:tcPr>
            <w:tcW w:w="97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ED31220"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Croix-des-Bouquets</w:t>
            </w:r>
          </w:p>
        </w:tc>
        <w:tc>
          <w:tcPr>
            <w:tcW w:w="766" w:type="pct"/>
            <w:tcBorders>
              <w:top w:val="nil"/>
              <w:left w:val="nil"/>
              <w:bottom w:val="single" w:sz="4" w:space="0" w:color="auto"/>
              <w:right w:val="single" w:sz="4" w:space="0" w:color="auto"/>
            </w:tcBorders>
            <w:shd w:val="clear" w:color="000000" w:fill="FCE4D6"/>
            <w:vAlign w:val="center"/>
            <w:hideMark/>
          </w:tcPr>
          <w:p w14:paraId="226B2606"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Plan de développement urbain de la Croix des Bouquets</w:t>
            </w:r>
          </w:p>
        </w:tc>
        <w:tc>
          <w:tcPr>
            <w:tcW w:w="402" w:type="pct"/>
            <w:tcBorders>
              <w:top w:val="nil"/>
              <w:left w:val="nil"/>
              <w:bottom w:val="single" w:sz="4" w:space="0" w:color="auto"/>
              <w:right w:val="single" w:sz="4" w:space="0" w:color="auto"/>
            </w:tcBorders>
            <w:shd w:val="clear" w:color="auto" w:fill="auto"/>
            <w:vAlign w:val="center"/>
            <w:hideMark/>
          </w:tcPr>
          <w:p w14:paraId="039E8A34"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w:t>
            </w:r>
          </w:p>
        </w:tc>
        <w:tc>
          <w:tcPr>
            <w:tcW w:w="262" w:type="pct"/>
            <w:tcBorders>
              <w:top w:val="nil"/>
              <w:left w:val="nil"/>
              <w:bottom w:val="single" w:sz="4" w:space="0" w:color="auto"/>
              <w:right w:val="single" w:sz="4" w:space="0" w:color="auto"/>
            </w:tcBorders>
            <w:shd w:val="clear" w:color="auto" w:fill="auto"/>
            <w:vAlign w:val="center"/>
            <w:hideMark/>
          </w:tcPr>
          <w:p w14:paraId="74288E15"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2011</w:t>
            </w:r>
          </w:p>
        </w:tc>
        <w:tc>
          <w:tcPr>
            <w:tcW w:w="677" w:type="pct"/>
            <w:tcBorders>
              <w:top w:val="nil"/>
              <w:left w:val="nil"/>
              <w:bottom w:val="single" w:sz="4" w:space="0" w:color="auto"/>
              <w:right w:val="single" w:sz="4" w:space="0" w:color="auto"/>
            </w:tcBorders>
            <w:shd w:val="clear" w:color="auto" w:fill="auto"/>
            <w:vAlign w:val="center"/>
            <w:hideMark/>
          </w:tcPr>
          <w:p w14:paraId="52DFA760"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TGC INTERNATIONAL/Sodade (Haïti)</w:t>
            </w:r>
          </w:p>
        </w:tc>
        <w:tc>
          <w:tcPr>
            <w:tcW w:w="443" w:type="pct"/>
            <w:tcBorders>
              <w:top w:val="nil"/>
              <w:left w:val="nil"/>
              <w:bottom w:val="single" w:sz="4" w:space="0" w:color="auto"/>
              <w:right w:val="single" w:sz="4" w:space="0" w:color="auto"/>
            </w:tcBorders>
            <w:shd w:val="clear" w:color="auto" w:fill="auto"/>
            <w:vAlign w:val="center"/>
            <w:hideMark/>
          </w:tcPr>
          <w:p w14:paraId="6924EF81"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USAID</w:t>
            </w:r>
          </w:p>
        </w:tc>
      </w:tr>
      <w:tr w:rsidR="003F6057" w:rsidRPr="003F6057" w14:paraId="647EE145" w14:textId="77777777" w:rsidTr="0041633D">
        <w:trPr>
          <w:trHeight w:val="1125"/>
        </w:trPr>
        <w:tc>
          <w:tcPr>
            <w:tcW w:w="268" w:type="pct"/>
            <w:vMerge/>
            <w:tcBorders>
              <w:top w:val="nil"/>
              <w:left w:val="single" w:sz="4" w:space="0" w:color="auto"/>
              <w:bottom w:val="single" w:sz="4" w:space="0" w:color="auto"/>
              <w:right w:val="single" w:sz="4" w:space="0" w:color="auto"/>
            </w:tcBorders>
            <w:vAlign w:val="center"/>
            <w:hideMark/>
          </w:tcPr>
          <w:p w14:paraId="64049B2F"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1FC24F44" w14:textId="77777777" w:rsidR="003F6057" w:rsidRPr="003F6057" w:rsidRDefault="003F6057" w:rsidP="003F6057">
            <w:pPr>
              <w:spacing w:before="0"/>
              <w:jc w:val="left"/>
              <w:rPr>
                <w:rFonts w:ascii="Calibri" w:hAnsi="Calibri"/>
                <w:color w:val="000000"/>
                <w:sz w:val="20"/>
              </w:rPr>
            </w:pPr>
          </w:p>
        </w:tc>
        <w:tc>
          <w:tcPr>
            <w:tcW w:w="971" w:type="pct"/>
            <w:vMerge/>
            <w:tcBorders>
              <w:top w:val="nil"/>
              <w:left w:val="single" w:sz="4" w:space="0" w:color="auto"/>
              <w:bottom w:val="single" w:sz="4" w:space="0" w:color="000000"/>
              <w:right w:val="single" w:sz="4" w:space="0" w:color="auto"/>
            </w:tcBorders>
            <w:vAlign w:val="center"/>
            <w:hideMark/>
          </w:tcPr>
          <w:p w14:paraId="7C679A79" w14:textId="77777777" w:rsidR="003F6057" w:rsidRPr="003F6057" w:rsidRDefault="003F6057" w:rsidP="003F6057">
            <w:pPr>
              <w:spacing w:before="0"/>
              <w:jc w:val="left"/>
              <w:rPr>
                <w:rFonts w:ascii="Calibri" w:hAnsi="Calibri"/>
                <w:color w:val="000000"/>
                <w:sz w:val="20"/>
              </w:rPr>
            </w:pPr>
          </w:p>
        </w:tc>
        <w:tc>
          <w:tcPr>
            <w:tcW w:w="766" w:type="pct"/>
            <w:tcBorders>
              <w:top w:val="nil"/>
              <w:left w:val="nil"/>
              <w:bottom w:val="single" w:sz="4" w:space="0" w:color="auto"/>
              <w:right w:val="single" w:sz="4" w:space="0" w:color="auto"/>
            </w:tcBorders>
            <w:shd w:val="clear" w:color="000000" w:fill="FCE4D6"/>
            <w:vAlign w:val="center"/>
            <w:hideMark/>
          </w:tcPr>
          <w:p w14:paraId="2D9E0BB2"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 xml:space="preserve">Schéma directeur d'aménagement et Plan d'action opérationnel d'urbanisme de la zone de Canaan </w:t>
            </w:r>
          </w:p>
        </w:tc>
        <w:tc>
          <w:tcPr>
            <w:tcW w:w="402" w:type="pct"/>
            <w:tcBorders>
              <w:top w:val="nil"/>
              <w:left w:val="nil"/>
              <w:bottom w:val="single" w:sz="4" w:space="0" w:color="auto"/>
              <w:right w:val="single" w:sz="4" w:space="0" w:color="auto"/>
            </w:tcBorders>
            <w:shd w:val="clear" w:color="auto" w:fill="auto"/>
            <w:vAlign w:val="center"/>
            <w:hideMark/>
          </w:tcPr>
          <w:p w14:paraId="23336955"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Non</w:t>
            </w:r>
          </w:p>
        </w:tc>
        <w:tc>
          <w:tcPr>
            <w:tcW w:w="262" w:type="pct"/>
            <w:tcBorders>
              <w:top w:val="nil"/>
              <w:left w:val="nil"/>
              <w:bottom w:val="single" w:sz="4" w:space="0" w:color="auto"/>
              <w:right w:val="single" w:sz="4" w:space="0" w:color="auto"/>
            </w:tcBorders>
            <w:shd w:val="clear" w:color="auto" w:fill="auto"/>
            <w:vAlign w:val="center"/>
            <w:hideMark/>
          </w:tcPr>
          <w:p w14:paraId="065CA82A"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2012 puis 2014</w:t>
            </w:r>
          </w:p>
        </w:tc>
        <w:tc>
          <w:tcPr>
            <w:tcW w:w="677" w:type="pct"/>
            <w:tcBorders>
              <w:top w:val="nil"/>
              <w:left w:val="nil"/>
              <w:bottom w:val="single" w:sz="4" w:space="0" w:color="auto"/>
              <w:right w:val="single" w:sz="4" w:space="0" w:color="auto"/>
            </w:tcBorders>
            <w:shd w:val="clear" w:color="auto" w:fill="auto"/>
            <w:vAlign w:val="center"/>
            <w:hideMark/>
          </w:tcPr>
          <w:p w14:paraId="2BAC1545"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IBI-DAA / Sodade (Haïti)</w:t>
            </w:r>
          </w:p>
        </w:tc>
        <w:tc>
          <w:tcPr>
            <w:tcW w:w="443" w:type="pct"/>
            <w:tcBorders>
              <w:top w:val="nil"/>
              <w:left w:val="nil"/>
              <w:bottom w:val="single" w:sz="4" w:space="0" w:color="auto"/>
              <w:right w:val="single" w:sz="4" w:space="0" w:color="auto"/>
            </w:tcBorders>
            <w:shd w:val="clear" w:color="auto" w:fill="auto"/>
            <w:vAlign w:val="center"/>
            <w:hideMark/>
          </w:tcPr>
          <w:p w14:paraId="03B8D2E2"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Trésor Public</w:t>
            </w:r>
          </w:p>
        </w:tc>
      </w:tr>
      <w:tr w:rsidR="003F6057" w:rsidRPr="003F6057" w14:paraId="4520E03A" w14:textId="77777777" w:rsidTr="0041633D">
        <w:trPr>
          <w:trHeight w:val="1020"/>
        </w:trPr>
        <w:tc>
          <w:tcPr>
            <w:tcW w:w="268" w:type="pct"/>
            <w:vMerge/>
            <w:tcBorders>
              <w:top w:val="nil"/>
              <w:left w:val="single" w:sz="4" w:space="0" w:color="auto"/>
              <w:bottom w:val="single" w:sz="4" w:space="0" w:color="auto"/>
              <w:right w:val="single" w:sz="4" w:space="0" w:color="auto"/>
            </w:tcBorders>
            <w:vAlign w:val="center"/>
            <w:hideMark/>
          </w:tcPr>
          <w:p w14:paraId="7295049B" w14:textId="77777777" w:rsidR="003F6057" w:rsidRPr="003F6057" w:rsidRDefault="003F6057" w:rsidP="003F6057">
            <w:pPr>
              <w:spacing w:before="0"/>
              <w:jc w:val="left"/>
              <w:rPr>
                <w:rFonts w:ascii="Calibri" w:hAnsi="Calibri"/>
                <w:color w:val="000000"/>
                <w:sz w:val="20"/>
              </w:rPr>
            </w:pPr>
          </w:p>
        </w:tc>
        <w:tc>
          <w:tcPr>
            <w:tcW w:w="1210" w:type="pct"/>
            <w:tcBorders>
              <w:top w:val="nil"/>
              <w:left w:val="nil"/>
              <w:bottom w:val="single" w:sz="4" w:space="0" w:color="auto"/>
              <w:right w:val="single" w:sz="4" w:space="0" w:color="auto"/>
            </w:tcBorders>
            <w:shd w:val="clear" w:color="000000" w:fill="FFFFFF"/>
            <w:vAlign w:val="center"/>
            <w:hideMark/>
          </w:tcPr>
          <w:p w14:paraId="59DEA7C4"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Arcahaie</w:t>
            </w:r>
          </w:p>
        </w:tc>
        <w:tc>
          <w:tcPr>
            <w:tcW w:w="971" w:type="pct"/>
            <w:tcBorders>
              <w:top w:val="nil"/>
              <w:left w:val="nil"/>
              <w:bottom w:val="single" w:sz="4" w:space="0" w:color="auto"/>
              <w:right w:val="single" w:sz="4" w:space="0" w:color="auto"/>
            </w:tcBorders>
            <w:shd w:val="clear" w:color="000000" w:fill="FFFFFF"/>
            <w:vAlign w:val="center"/>
            <w:hideMark/>
          </w:tcPr>
          <w:p w14:paraId="4DD6F4FA" w14:textId="77777777" w:rsidR="003F6057" w:rsidRPr="003F6057" w:rsidRDefault="003F6057" w:rsidP="003F6057">
            <w:pPr>
              <w:spacing w:before="0"/>
              <w:jc w:val="left"/>
              <w:rPr>
                <w:rFonts w:ascii="Calibri" w:hAnsi="Calibri"/>
                <w:color w:val="000000"/>
                <w:sz w:val="20"/>
              </w:rPr>
            </w:pPr>
            <w:r w:rsidRPr="003F6057">
              <w:rPr>
                <w:rFonts w:ascii="Calibri" w:hAnsi="Calibri"/>
                <w:color w:val="000000"/>
                <w:sz w:val="20"/>
              </w:rPr>
              <w:t>Cabaret</w:t>
            </w:r>
          </w:p>
        </w:tc>
        <w:tc>
          <w:tcPr>
            <w:tcW w:w="766" w:type="pct"/>
            <w:tcBorders>
              <w:top w:val="nil"/>
              <w:left w:val="nil"/>
              <w:bottom w:val="single" w:sz="4" w:space="0" w:color="auto"/>
              <w:right w:val="single" w:sz="4" w:space="0" w:color="auto"/>
            </w:tcBorders>
            <w:shd w:val="clear" w:color="000000" w:fill="FCE4D6"/>
            <w:vAlign w:val="center"/>
            <w:hideMark/>
          </w:tcPr>
          <w:p w14:paraId="4A80EE71"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Plan d'urbanisme pour Titanyen et étude de l'aménagement du Carrefour Titanyen</w:t>
            </w:r>
          </w:p>
        </w:tc>
        <w:tc>
          <w:tcPr>
            <w:tcW w:w="402" w:type="pct"/>
            <w:tcBorders>
              <w:top w:val="nil"/>
              <w:left w:val="nil"/>
              <w:bottom w:val="single" w:sz="4" w:space="0" w:color="auto"/>
              <w:right w:val="single" w:sz="4" w:space="0" w:color="auto"/>
            </w:tcBorders>
            <w:shd w:val="clear" w:color="auto" w:fill="auto"/>
            <w:vAlign w:val="center"/>
            <w:hideMark/>
          </w:tcPr>
          <w:p w14:paraId="4F4833CD"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Marché en cours d'attribution</w:t>
            </w:r>
          </w:p>
        </w:tc>
        <w:tc>
          <w:tcPr>
            <w:tcW w:w="262" w:type="pct"/>
            <w:tcBorders>
              <w:top w:val="nil"/>
              <w:left w:val="nil"/>
              <w:bottom w:val="single" w:sz="4" w:space="0" w:color="auto"/>
              <w:right w:val="single" w:sz="4" w:space="0" w:color="auto"/>
            </w:tcBorders>
            <w:shd w:val="clear" w:color="auto" w:fill="auto"/>
            <w:vAlign w:val="center"/>
            <w:hideMark/>
          </w:tcPr>
          <w:p w14:paraId="1FF815A4"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2016</w:t>
            </w:r>
          </w:p>
        </w:tc>
        <w:tc>
          <w:tcPr>
            <w:tcW w:w="677" w:type="pct"/>
            <w:tcBorders>
              <w:top w:val="nil"/>
              <w:left w:val="nil"/>
              <w:bottom w:val="single" w:sz="4" w:space="0" w:color="auto"/>
              <w:right w:val="single" w:sz="4" w:space="0" w:color="auto"/>
            </w:tcBorders>
            <w:shd w:val="clear" w:color="auto" w:fill="auto"/>
            <w:vAlign w:val="center"/>
            <w:hideMark/>
          </w:tcPr>
          <w:p w14:paraId="0B630A13"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w:t>
            </w:r>
          </w:p>
        </w:tc>
        <w:tc>
          <w:tcPr>
            <w:tcW w:w="443" w:type="pct"/>
            <w:tcBorders>
              <w:top w:val="nil"/>
              <w:left w:val="nil"/>
              <w:bottom w:val="single" w:sz="4" w:space="0" w:color="auto"/>
              <w:right w:val="single" w:sz="4" w:space="0" w:color="auto"/>
            </w:tcBorders>
            <w:shd w:val="clear" w:color="auto" w:fill="auto"/>
            <w:vAlign w:val="center"/>
            <w:hideMark/>
          </w:tcPr>
          <w:p w14:paraId="7186380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Banque Mondiale</w:t>
            </w:r>
          </w:p>
        </w:tc>
      </w:tr>
      <w:tr w:rsidR="003F6057" w:rsidRPr="003F6057" w14:paraId="04E9484B" w14:textId="77777777" w:rsidTr="0041633D">
        <w:trPr>
          <w:trHeight w:val="1020"/>
        </w:trPr>
        <w:tc>
          <w:tcPr>
            <w:tcW w:w="268" w:type="pct"/>
            <w:vMerge/>
            <w:tcBorders>
              <w:top w:val="nil"/>
              <w:left w:val="single" w:sz="4" w:space="0" w:color="auto"/>
              <w:bottom w:val="single" w:sz="4" w:space="0" w:color="auto"/>
              <w:right w:val="single" w:sz="4" w:space="0" w:color="auto"/>
            </w:tcBorders>
            <w:vAlign w:val="center"/>
            <w:hideMark/>
          </w:tcPr>
          <w:p w14:paraId="1946F002" w14:textId="77777777" w:rsidR="003F6057" w:rsidRPr="003F6057" w:rsidRDefault="003F6057" w:rsidP="003F6057">
            <w:pPr>
              <w:spacing w:before="0"/>
              <w:jc w:val="left"/>
              <w:rPr>
                <w:rFonts w:ascii="Calibri" w:hAnsi="Calibri"/>
                <w:color w:val="000000"/>
                <w:sz w:val="20"/>
              </w:rPr>
            </w:pPr>
          </w:p>
        </w:tc>
        <w:tc>
          <w:tcPr>
            <w:tcW w:w="12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51723585"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Léogâne</w:t>
            </w:r>
          </w:p>
        </w:tc>
        <w:tc>
          <w:tcPr>
            <w:tcW w:w="1738" w:type="pct"/>
            <w:gridSpan w:val="2"/>
            <w:tcBorders>
              <w:top w:val="single" w:sz="4" w:space="0" w:color="auto"/>
              <w:left w:val="nil"/>
              <w:bottom w:val="single" w:sz="4" w:space="0" w:color="auto"/>
              <w:right w:val="single" w:sz="4" w:space="0" w:color="auto"/>
            </w:tcBorders>
            <w:shd w:val="clear" w:color="000000" w:fill="FFFFFF"/>
            <w:vAlign w:val="center"/>
            <w:hideMark/>
          </w:tcPr>
          <w:p w14:paraId="257C2362"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Esquisse de schéma d’aménagement de l'arrondissement de Léogâne</w:t>
            </w:r>
          </w:p>
        </w:tc>
        <w:tc>
          <w:tcPr>
            <w:tcW w:w="402" w:type="pct"/>
            <w:tcBorders>
              <w:top w:val="nil"/>
              <w:left w:val="nil"/>
              <w:bottom w:val="single" w:sz="4" w:space="0" w:color="auto"/>
              <w:right w:val="single" w:sz="4" w:space="0" w:color="auto"/>
            </w:tcBorders>
            <w:shd w:val="clear" w:color="auto" w:fill="auto"/>
            <w:vAlign w:val="center"/>
            <w:hideMark/>
          </w:tcPr>
          <w:p w14:paraId="266627F1"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En attente de validation</w:t>
            </w:r>
          </w:p>
        </w:tc>
        <w:tc>
          <w:tcPr>
            <w:tcW w:w="262" w:type="pct"/>
            <w:tcBorders>
              <w:top w:val="nil"/>
              <w:left w:val="nil"/>
              <w:bottom w:val="single" w:sz="4" w:space="0" w:color="auto"/>
              <w:right w:val="single" w:sz="4" w:space="0" w:color="auto"/>
            </w:tcBorders>
            <w:shd w:val="clear" w:color="auto" w:fill="auto"/>
            <w:vAlign w:val="center"/>
            <w:hideMark/>
          </w:tcPr>
          <w:p w14:paraId="38170B03"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2013</w:t>
            </w:r>
          </w:p>
        </w:tc>
        <w:tc>
          <w:tcPr>
            <w:tcW w:w="677" w:type="pct"/>
            <w:tcBorders>
              <w:top w:val="nil"/>
              <w:left w:val="nil"/>
              <w:bottom w:val="single" w:sz="4" w:space="0" w:color="auto"/>
              <w:right w:val="single" w:sz="4" w:space="0" w:color="auto"/>
            </w:tcBorders>
            <w:shd w:val="clear" w:color="auto" w:fill="auto"/>
            <w:vAlign w:val="center"/>
            <w:hideMark/>
          </w:tcPr>
          <w:p w14:paraId="670E5059"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IBI DAA</w:t>
            </w:r>
          </w:p>
        </w:tc>
        <w:tc>
          <w:tcPr>
            <w:tcW w:w="443" w:type="pct"/>
            <w:tcBorders>
              <w:top w:val="nil"/>
              <w:left w:val="nil"/>
              <w:bottom w:val="single" w:sz="4" w:space="0" w:color="auto"/>
              <w:right w:val="single" w:sz="4" w:space="0" w:color="auto"/>
            </w:tcBorders>
            <w:shd w:val="clear" w:color="auto" w:fill="auto"/>
            <w:vAlign w:val="center"/>
            <w:hideMark/>
          </w:tcPr>
          <w:p w14:paraId="2B2D5381"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FRH (PARLOQ)</w:t>
            </w:r>
          </w:p>
        </w:tc>
      </w:tr>
      <w:tr w:rsidR="003F6057" w:rsidRPr="003F6057" w14:paraId="15FC1479" w14:textId="77777777" w:rsidTr="0041633D">
        <w:trPr>
          <w:trHeight w:val="1785"/>
        </w:trPr>
        <w:tc>
          <w:tcPr>
            <w:tcW w:w="268" w:type="pct"/>
            <w:vMerge/>
            <w:tcBorders>
              <w:top w:val="nil"/>
              <w:left w:val="single" w:sz="4" w:space="0" w:color="auto"/>
              <w:bottom w:val="single" w:sz="4" w:space="0" w:color="auto"/>
              <w:right w:val="single" w:sz="4" w:space="0" w:color="auto"/>
            </w:tcBorders>
            <w:vAlign w:val="center"/>
            <w:hideMark/>
          </w:tcPr>
          <w:p w14:paraId="04872337"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4F5EB0C6" w14:textId="77777777" w:rsidR="003F6057" w:rsidRPr="003F6057" w:rsidRDefault="003F6057" w:rsidP="003F6057">
            <w:pPr>
              <w:spacing w:before="0"/>
              <w:jc w:val="left"/>
              <w:rPr>
                <w:rFonts w:ascii="Calibri" w:hAnsi="Calibri"/>
                <w:color w:val="000000"/>
                <w:sz w:val="20"/>
              </w:rPr>
            </w:pPr>
          </w:p>
        </w:tc>
        <w:tc>
          <w:tcPr>
            <w:tcW w:w="97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EB073D1"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Léogâne</w:t>
            </w:r>
          </w:p>
        </w:tc>
        <w:tc>
          <w:tcPr>
            <w:tcW w:w="766" w:type="pct"/>
            <w:tcBorders>
              <w:top w:val="nil"/>
              <w:left w:val="nil"/>
              <w:bottom w:val="single" w:sz="4" w:space="0" w:color="auto"/>
              <w:right w:val="single" w:sz="4" w:space="0" w:color="auto"/>
            </w:tcBorders>
            <w:shd w:val="clear" w:color="000000" w:fill="FCE4D6"/>
            <w:vAlign w:val="center"/>
            <w:hideMark/>
          </w:tcPr>
          <w:p w14:paraId="52581B9A"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Plan communal de développement et Plan d’Urbanisme pour la Ville de Léogane et sa région périurbaine</w:t>
            </w:r>
          </w:p>
        </w:tc>
        <w:tc>
          <w:tcPr>
            <w:tcW w:w="402" w:type="pct"/>
            <w:tcBorders>
              <w:top w:val="nil"/>
              <w:left w:val="nil"/>
              <w:bottom w:val="single" w:sz="4" w:space="0" w:color="auto"/>
              <w:right w:val="single" w:sz="4" w:space="0" w:color="auto"/>
            </w:tcBorders>
            <w:shd w:val="clear" w:color="auto" w:fill="auto"/>
            <w:vAlign w:val="center"/>
            <w:hideMark/>
          </w:tcPr>
          <w:p w14:paraId="1927B465"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FAES (remis à la Mairie)</w:t>
            </w:r>
          </w:p>
        </w:tc>
        <w:tc>
          <w:tcPr>
            <w:tcW w:w="262" w:type="pct"/>
            <w:tcBorders>
              <w:top w:val="nil"/>
              <w:left w:val="nil"/>
              <w:bottom w:val="single" w:sz="4" w:space="0" w:color="auto"/>
              <w:right w:val="single" w:sz="4" w:space="0" w:color="auto"/>
            </w:tcBorders>
            <w:shd w:val="clear" w:color="auto" w:fill="auto"/>
            <w:vAlign w:val="center"/>
            <w:hideMark/>
          </w:tcPr>
          <w:p w14:paraId="23404B2E"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2012</w:t>
            </w:r>
          </w:p>
        </w:tc>
        <w:tc>
          <w:tcPr>
            <w:tcW w:w="677" w:type="pct"/>
            <w:tcBorders>
              <w:top w:val="nil"/>
              <w:left w:val="nil"/>
              <w:bottom w:val="single" w:sz="4" w:space="0" w:color="auto"/>
              <w:right w:val="single" w:sz="4" w:space="0" w:color="auto"/>
            </w:tcBorders>
            <w:shd w:val="clear" w:color="auto" w:fill="auto"/>
            <w:vAlign w:val="center"/>
            <w:hideMark/>
          </w:tcPr>
          <w:p w14:paraId="7490D7EF"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FAES/Sodade (Haïti)</w:t>
            </w:r>
          </w:p>
        </w:tc>
        <w:tc>
          <w:tcPr>
            <w:tcW w:w="443" w:type="pct"/>
            <w:tcBorders>
              <w:top w:val="nil"/>
              <w:left w:val="nil"/>
              <w:bottom w:val="single" w:sz="4" w:space="0" w:color="auto"/>
              <w:right w:val="single" w:sz="4" w:space="0" w:color="auto"/>
            </w:tcBorders>
            <w:shd w:val="clear" w:color="auto" w:fill="auto"/>
            <w:vAlign w:val="center"/>
            <w:hideMark/>
          </w:tcPr>
          <w:p w14:paraId="73B8DCD0"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Trésor Public (Programme RELEO/Reconstruction de Léogâne co-financé par la KfW)</w:t>
            </w:r>
          </w:p>
        </w:tc>
      </w:tr>
      <w:tr w:rsidR="003F6057" w:rsidRPr="003F6057" w14:paraId="55F64C89" w14:textId="77777777" w:rsidTr="0041633D">
        <w:trPr>
          <w:trHeight w:val="510"/>
        </w:trPr>
        <w:tc>
          <w:tcPr>
            <w:tcW w:w="268" w:type="pct"/>
            <w:vMerge/>
            <w:tcBorders>
              <w:top w:val="nil"/>
              <w:left w:val="single" w:sz="4" w:space="0" w:color="auto"/>
              <w:bottom w:val="single" w:sz="4" w:space="0" w:color="auto"/>
              <w:right w:val="single" w:sz="4" w:space="0" w:color="auto"/>
            </w:tcBorders>
            <w:vAlign w:val="center"/>
            <w:hideMark/>
          </w:tcPr>
          <w:p w14:paraId="02AA11A5"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51739672" w14:textId="77777777" w:rsidR="003F6057" w:rsidRPr="003F6057" w:rsidRDefault="003F6057" w:rsidP="003F6057">
            <w:pPr>
              <w:spacing w:before="0"/>
              <w:jc w:val="left"/>
              <w:rPr>
                <w:rFonts w:ascii="Calibri" w:hAnsi="Calibri"/>
                <w:color w:val="000000"/>
                <w:sz w:val="20"/>
              </w:rPr>
            </w:pPr>
          </w:p>
        </w:tc>
        <w:tc>
          <w:tcPr>
            <w:tcW w:w="971" w:type="pct"/>
            <w:vMerge/>
            <w:tcBorders>
              <w:top w:val="nil"/>
              <w:left w:val="single" w:sz="4" w:space="0" w:color="auto"/>
              <w:bottom w:val="single" w:sz="4" w:space="0" w:color="000000"/>
              <w:right w:val="single" w:sz="4" w:space="0" w:color="auto"/>
            </w:tcBorders>
            <w:vAlign w:val="center"/>
            <w:hideMark/>
          </w:tcPr>
          <w:p w14:paraId="5A5F7366" w14:textId="77777777" w:rsidR="003F6057" w:rsidRPr="003F6057" w:rsidRDefault="003F6057" w:rsidP="003F6057">
            <w:pPr>
              <w:spacing w:before="0"/>
              <w:jc w:val="left"/>
              <w:rPr>
                <w:rFonts w:ascii="Calibri" w:hAnsi="Calibri"/>
                <w:color w:val="000000"/>
                <w:sz w:val="20"/>
              </w:rPr>
            </w:pPr>
          </w:p>
        </w:tc>
        <w:tc>
          <w:tcPr>
            <w:tcW w:w="766" w:type="pct"/>
            <w:tcBorders>
              <w:top w:val="nil"/>
              <w:left w:val="nil"/>
              <w:bottom w:val="single" w:sz="4" w:space="0" w:color="auto"/>
              <w:right w:val="single" w:sz="4" w:space="0" w:color="auto"/>
            </w:tcBorders>
            <w:shd w:val="clear" w:color="000000" w:fill="FCE4D6"/>
            <w:vAlign w:val="center"/>
            <w:hideMark/>
          </w:tcPr>
          <w:p w14:paraId="1ADAF4B0"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Esquisse de plan d'urbanisme pour la ville</w:t>
            </w:r>
          </w:p>
        </w:tc>
        <w:tc>
          <w:tcPr>
            <w:tcW w:w="402" w:type="pct"/>
            <w:tcBorders>
              <w:top w:val="nil"/>
              <w:left w:val="nil"/>
              <w:bottom w:val="single" w:sz="4" w:space="0" w:color="auto"/>
              <w:right w:val="single" w:sz="4" w:space="0" w:color="auto"/>
            </w:tcBorders>
            <w:shd w:val="clear" w:color="auto" w:fill="auto"/>
            <w:vAlign w:val="center"/>
            <w:hideMark/>
          </w:tcPr>
          <w:p w14:paraId="5CE9B53D"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En attente de validation</w:t>
            </w:r>
          </w:p>
        </w:tc>
        <w:tc>
          <w:tcPr>
            <w:tcW w:w="262" w:type="pct"/>
            <w:tcBorders>
              <w:top w:val="nil"/>
              <w:left w:val="nil"/>
              <w:bottom w:val="single" w:sz="4" w:space="0" w:color="auto"/>
              <w:right w:val="single" w:sz="4" w:space="0" w:color="auto"/>
            </w:tcBorders>
            <w:shd w:val="clear" w:color="auto" w:fill="auto"/>
            <w:vAlign w:val="center"/>
            <w:hideMark/>
          </w:tcPr>
          <w:p w14:paraId="0CDAD2EF"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2013</w:t>
            </w:r>
          </w:p>
        </w:tc>
        <w:tc>
          <w:tcPr>
            <w:tcW w:w="677" w:type="pct"/>
            <w:tcBorders>
              <w:top w:val="nil"/>
              <w:left w:val="nil"/>
              <w:bottom w:val="single" w:sz="4" w:space="0" w:color="auto"/>
              <w:right w:val="single" w:sz="4" w:space="0" w:color="auto"/>
            </w:tcBorders>
            <w:shd w:val="clear" w:color="auto" w:fill="auto"/>
            <w:vAlign w:val="center"/>
            <w:hideMark/>
          </w:tcPr>
          <w:p w14:paraId="41DAD245"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IBI DAA</w:t>
            </w:r>
          </w:p>
        </w:tc>
        <w:tc>
          <w:tcPr>
            <w:tcW w:w="443" w:type="pct"/>
            <w:tcBorders>
              <w:top w:val="nil"/>
              <w:left w:val="nil"/>
              <w:bottom w:val="single" w:sz="4" w:space="0" w:color="auto"/>
              <w:right w:val="single" w:sz="4" w:space="0" w:color="auto"/>
            </w:tcBorders>
            <w:shd w:val="clear" w:color="auto" w:fill="auto"/>
            <w:vAlign w:val="center"/>
            <w:hideMark/>
          </w:tcPr>
          <w:p w14:paraId="02C18AC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FRH (PARLOQ)</w:t>
            </w:r>
          </w:p>
        </w:tc>
      </w:tr>
      <w:tr w:rsidR="003F6057" w:rsidRPr="003F6057" w14:paraId="02878681" w14:textId="77777777" w:rsidTr="0041633D">
        <w:trPr>
          <w:trHeight w:val="2040"/>
        </w:trPr>
        <w:tc>
          <w:tcPr>
            <w:tcW w:w="268" w:type="pct"/>
            <w:vMerge/>
            <w:tcBorders>
              <w:top w:val="nil"/>
              <w:left w:val="single" w:sz="4" w:space="0" w:color="auto"/>
              <w:bottom w:val="single" w:sz="4" w:space="0" w:color="auto"/>
              <w:right w:val="single" w:sz="4" w:space="0" w:color="auto"/>
            </w:tcBorders>
            <w:vAlign w:val="center"/>
            <w:hideMark/>
          </w:tcPr>
          <w:p w14:paraId="64E305DA"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7464641E" w14:textId="77777777" w:rsidR="003F6057" w:rsidRPr="003F6057" w:rsidRDefault="003F6057" w:rsidP="003F6057">
            <w:pPr>
              <w:spacing w:before="0"/>
              <w:jc w:val="left"/>
              <w:rPr>
                <w:rFonts w:ascii="Calibri" w:hAnsi="Calibri"/>
                <w:color w:val="000000"/>
                <w:sz w:val="20"/>
              </w:rPr>
            </w:pPr>
          </w:p>
        </w:tc>
        <w:tc>
          <w:tcPr>
            <w:tcW w:w="97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A61D0A1"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Petit-Goâve</w:t>
            </w:r>
          </w:p>
        </w:tc>
        <w:tc>
          <w:tcPr>
            <w:tcW w:w="766" w:type="pct"/>
            <w:tcBorders>
              <w:top w:val="nil"/>
              <w:left w:val="nil"/>
              <w:bottom w:val="single" w:sz="4" w:space="0" w:color="auto"/>
              <w:right w:val="single" w:sz="4" w:space="0" w:color="auto"/>
            </w:tcBorders>
            <w:shd w:val="clear" w:color="000000" w:fill="FCE4D6"/>
            <w:vAlign w:val="center"/>
            <w:hideMark/>
          </w:tcPr>
          <w:p w14:paraId="258D8289"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Plan d'urbanisme sommaire (PUS) + Plan d'investissement associé</w:t>
            </w:r>
          </w:p>
        </w:tc>
        <w:tc>
          <w:tcPr>
            <w:tcW w:w="402" w:type="pct"/>
            <w:tcBorders>
              <w:top w:val="nil"/>
              <w:left w:val="nil"/>
              <w:bottom w:val="single" w:sz="4" w:space="0" w:color="auto"/>
              <w:right w:val="single" w:sz="4" w:space="0" w:color="auto"/>
            </w:tcBorders>
            <w:shd w:val="clear" w:color="auto" w:fill="auto"/>
            <w:vAlign w:val="center"/>
            <w:hideMark/>
          </w:tcPr>
          <w:p w14:paraId="40D597A3"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 xml:space="preserve">Validé par arrêté par Conseil municipal et transmit à l'Etat Central pour validation </w:t>
            </w:r>
          </w:p>
        </w:tc>
        <w:tc>
          <w:tcPr>
            <w:tcW w:w="262" w:type="pct"/>
            <w:tcBorders>
              <w:top w:val="nil"/>
              <w:left w:val="nil"/>
              <w:bottom w:val="single" w:sz="4" w:space="0" w:color="auto"/>
              <w:right w:val="single" w:sz="4" w:space="0" w:color="auto"/>
            </w:tcBorders>
            <w:shd w:val="clear" w:color="auto" w:fill="auto"/>
            <w:vAlign w:val="center"/>
            <w:hideMark/>
          </w:tcPr>
          <w:p w14:paraId="5D272832"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2012</w:t>
            </w:r>
          </w:p>
        </w:tc>
        <w:tc>
          <w:tcPr>
            <w:tcW w:w="677" w:type="pct"/>
            <w:tcBorders>
              <w:top w:val="nil"/>
              <w:left w:val="nil"/>
              <w:bottom w:val="single" w:sz="4" w:space="0" w:color="auto"/>
              <w:right w:val="single" w:sz="4" w:space="0" w:color="auto"/>
            </w:tcBorders>
            <w:shd w:val="clear" w:color="auto" w:fill="auto"/>
            <w:vAlign w:val="center"/>
            <w:hideMark/>
          </w:tcPr>
          <w:p w14:paraId="423DFA27"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DATIP</w:t>
            </w:r>
          </w:p>
        </w:tc>
        <w:tc>
          <w:tcPr>
            <w:tcW w:w="443" w:type="pct"/>
            <w:tcBorders>
              <w:top w:val="nil"/>
              <w:left w:val="nil"/>
              <w:bottom w:val="single" w:sz="4" w:space="0" w:color="auto"/>
              <w:right w:val="single" w:sz="4" w:space="0" w:color="auto"/>
            </w:tcBorders>
            <w:shd w:val="clear" w:color="auto" w:fill="auto"/>
            <w:vAlign w:val="center"/>
            <w:hideMark/>
          </w:tcPr>
          <w:p w14:paraId="5EB28AE6"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Fédération canadienne des municipalités</w:t>
            </w:r>
          </w:p>
        </w:tc>
      </w:tr>
      <w:tr w:rsidR="003F6057" w:rsidRPr="003F6057" w14:paraId="26B58175" w14:textId="77777777" w:rsidTr="0041633D">
        <w:trPr>
          <w:trHeight w:val="510"/>
        </w:trPr>
        <w:tc>
          <w:tcPr>
            <w:tcW w:w="268" w:type="pct"/>
            <w:vMerge/>
            <w:tcBorders>
              <w:top w:val="nil"/>
              <w:left w:val="single" w:sz="4" w:space="0" w:color="auto"/>
              <w:bottom w:val="single" w:sz="4" w:space="0" w:color="auto"/>
              <w:right w:val="single" w:sz="4" w:space="0" w:color="auto"/>
            </w:tcBorders>
            <w:vAlign w:val="center"/>
            <w:hideMark/>
          </w:tcPr>
          <w:p w14:paraId="243FBA63"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3BDE324C" w14:textId="77777777" w:rsidR="003F6057" w:rsidRPr="003F6057" w:rsidRDefault="003F6057" w:rsidP="003F6057">
            <w:pPr>
              <w:spacing w:before="0"/>
              <w:jc w:val="left"/>
              <w:rPr>
                <w:rFonts w:ascii="Calibri" w:hAnsi="Calibri"/>
                <w:color w:val="000000"/>
                <w:sz w:val="20"/>
              </w:rPr>
            </w:pPr>
          </w:p>
        </w:tc>
        <w:tc>
          <w:tcPr>
            <w:tcW w:w="971" w:type="pct"/>
            <w:vMerge/>
            <w:tcBorders>
              <w:top w:val="nil"/>
              <w:left w:val="single" w:sz="4" w:space="0" w:color="auto"/>
              <w:bottom w:val="single" w:sz="4" w:space="0" w:color="auto"/>
              <w:right w:val="single" w:sz="4" w:space="0" w:color="auto"/>
            </w:tcBorders>
            <w:vAlign w:val="center"/>
            <w:hideMark/>
          </w:tcPr>
          <w:p w14:paraId="563C5F48" w14:textId="77777777" w:rsidR="003F6057" w:rsidRPr="003F6057" w:rsidRDefault="003F6057" w:rsidP="003F6057">
            <w:pPr>
              <w:spacing w:before="0"/>
              <w:jc w:val="left"/>
              <w:rPr>
                <w:rFonts w:ascii="Calibri" w:hAnsi="Calibri"/>
                <w:color w:val="000000"/>
                <w:sz w:val="20"/>
              </w:rPr>
            </w:pPr>
          </w:p>
        </w:tc>
        <w:tc>
          <w:tcPr>
            <w:tcW w:w="766" w:type="pct"/>
            <w:tcBorders>
              <w:top w:val="nil"/>
              <w:left w:val="nil"/>
              <w:bottom w:val="single" w:sz="4" w:space="0" w:color="auto"/>
              <w:right w:val="single" w:sz="4" w:space="0" w:color="auto"/>
            </w:tcBorders>
            <w:shd w:val="clear" w:color="000000" w:fill="FCE4D6"/>
            <w:vAlign w:val="center"/>
            <w:hideMark/>
          </w:tcPr>
          <w:p w14:paraId="6520268B"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Esquisse de plan d'urbanisme pour la ville</w:t>
            </w:r>
          </w:p>
        </w:tc>
        <w:tc>
          <w:tcPr>
            <w:tcW w:w="402" w:type="pct"/>
            <w:tcBorders>
              <w:top w:val="nil"/>
              <w:left w:val="nil"/>
              <w:bottom w:val="single" w:sz="4" w:space="0" w:color="auto"/>
              <w:right w:val="single" w:sz="4" w:space="0" w:color="auto"/>
            </w:tcBorders>
            <w:shd w:val="clear" w:color="auto" w:fill="auto"/>
            <w:vAlign w:val="center"/>
            <w:hideMark/>
          </w:tcPr>
          <w:p w14:paraId="1D739716"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En attente de validation</w:t>
            </w:r>
          </w:p>
        </w:tc>
        <w:tc>
          <w:tcPr>
            <w:tcW w:w="262" w:type="pct"/>
            <w:tcBorders>
              <w:top w:val="nil"/>
              <w:left w:val="nil"/>
              <w:bottom w:val="single" w:sz="4" w:space="0" w:color="auto"/>
              <w:right w:val="single" w:sz="4" w:space="0" w:color="auto"/>
            </w:tcBorders>
            <w:shd w:val="clear" w:color="auto" w:fill="auto"/>
            <w:vAlign w:val="center"/>
            <w:hideMark/>
          </w:tcPr>
          <w:p w14:paraId="7677F2BE"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2013</w:t>
            </w:r>
          </w:p>
        </w:tc>
        <w:tc>
          <w:tcPr>
            <w:tcW w:w="677" w:type="pct"/>
            <w:tcBorders>
              <w:top w:val="nil"/>
              <w:left w:val="nil"/>
              <w:bottom w:val="single" w:sz="4" w:space="0" w:color="auto"/>
              <w:right w:val="single" w:sz="4" w:space="0" w:color="auto"/>
            </w:tcBorders>
            <w:shd w:val="clear" w:color="auto" w:fill="auto"/>
            <w:vAlign w:val="center"/>
            <w:hideMark/>
          </w:tcPr>
          <w:p w14:paraId="72A8555C"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IBI DAA</w:t>
            </w:r>
          </w:p>
        </w:tc>
        <w:tc>
          <w:tcPr>
            <w:tcW w:w="443" w:type="pct"/>
            <w:tcBorders>
              <w:top w:val="nil"/>
              <w:left w:val="nil"/>
              <w:bottom w:val="single" w:sz="4" w:space="0" w:color="auto"/>
              <w:right w:val="single" w:sz="4" w:space="0" w:color="auto"/>
            </w:tcBorders>
            <w:shd w:val="clear" w:color="auto" w:fill="auto"/>
            <w:vAlign w:val="center"/>
            <w:hideMark/>
          </w:tcPr>
          <w:p w14:paraId="3EDFB1D1"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FRH (PARLOQ)</w:t>
            </w:r>
          </w:p>
        </w:tc>
      </w:tr>
      <w:tr w:rsidR="003F6057" w:rsidRPr="003F6057" w14:paraId="7B735386" w14:textId="77777777" w:rsidTr="0041633D">
        <w:trPr>
          <w:trHeight w:val="1020"/>
        </w:trPr>
        <w:tc>
          <w:tcPr>
            <w:tcW w:w="268" w:type="pct"/>
            <w:vMerge/>
            <w:tcBorders>
              <w:top w:val="nil"/>
              <w:left w:val="single" w:sz="4" w:space="0" w:color="auto"/>
              <w:bottom w:val="single" w:sz="4" w:space="0" w:color="auto"/>
              <w:right w:val="single" w:sz="4" w:space="0" w:color="auto"/>
            </w:tcBorders>
            <w:vAlign w:val="center"/>
            <w:hideMark/>
          </w:tcPr>
          <w:p w14:paraId="1C3439E0"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1A9D0E16" w14:textId="77777777" w:rsidR="003F6057" w:rsidRPr="003F6057" w:rsidRDefault="003F6057" w:rsidP="003F6057">
            <w:pPr>
              <w:spacing w:before="0"/>
              <w:jc w:val="left"/>
              <w:rPr>
                <w:rFonts w:ascii="Calibri" w:hAnsi="Calibri"/>
                <w:color w:val="000000"/>
                <w:sz w:val="20"/>
              </w:rPr>
            </w:pPr>
          </w:p>
        </w:tc>
        <w:tc>
          <w:tcPr>
            <w:tcW w:w="971" w:type="pct"/>
            <w:vMerge/>
            <w:tcBorders>
              <w:top w:val="nil"/>
              <w:left w:val="single" w:sz="4" w:space="0" w:color="auto"/>
              <w:bottom w:val="single" w:sz="4" w:space="0" w:color="auto"/>
              <w:right w:val="single" w:sz="4" w:space="0" w:color="auto"/>
            </w:tcBorders>
            <w:vAlign w:val="center"/>
            <w:hideMark/>
          </w:tcPr>
          <w:p w14:paraId="16320EF4" w14:textId="77777777" w:rsidR="003F6057" w:rsidRPr="003F6057" w:rsidRDefault="003F6057" w:rsidP="003F6057">
            <w:pPr>
              <w:spacing w:before="0"/>
              <w:jc w:val="left"/>
              <w:rPr>
                <w:rFonts w:ascii="Calibri" w:hAnsi="Calibri"/>
                <w:color w:val="000000"/>
                <w:sz w:val="20"/>
              </w:rPr>
            </w:pPr>
          </w:p>
        </w:tc>
        <w:tc>
          <w:tcPr>
            <w:tcW w:w="766" w:type="pct"/>
            <w:tcBorders>
              <w:top w:val="nil"/>
              <w:left w:val="nil"/>
              <w:bottom w:val="single" w:sz="4" w:space="0" w:color="auto"/>
              <w:right w:val="single" w:sz="4" w:space="0" w:color="auto"/>
            </w:tcBorders>
            <w:shd w:val="clear" w:color="auto" w:fill="auto"/>
            <w:vAlign w:val="center"/>
            <w:hideMark/>
          </w:tcPr>
          <w:p w14:paraId="19745985"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Schéma d'aménagement des quartiers du Centre-Ville et de Fort Liberté</w:t>
            </w:r>
          </w:p>
        </w:tc>
        <w:tc>
          <w:tcPr>
            <w:tcW w:w="402" w:type="pct"/>
            <w:tcBorders>
              <w:top w:val="nil"/>
              <w:left w:val="nil"/>
              <w:bottom w:val="single" w:sz="4" w:space="0" w:color="auto"/>
              <w:right w:val="single" w:sz="4" w:space="0" w:color="auto"/>
            </w:tcBorders>
            <w:shd w:val="clear" w:color="auto" w:fill="auto"/>
            <w:vAlign w:val="center"/>
            <w:hideMark/>
          </w:tcPr>
          <w:p w14:paraId="1F9B039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Validé Comité Technique Interministériel</w:t>
            </w:r>
          </w:p>
        </w:tc>
        <w:tc>
          <w:tcPr>
            <w:tcW w:w="262" w:type="pct"/>
            <w:tcBorders>
              <w:top w:val="nil"/>
              <w:left w:val="nil"/>
              <w:bottom w:val="single" w:sz="4" w:space="0" w:color="auto"/>
              <w:right w:val="single" w:sz="4" w:space="0" w:color="auto"/>
            </w:tcBorders>
            <w:shd w:val="clear" w:color="auto" w:fill="auto"/>
            <w:vAlign w:val="center"/>
            <w:hideMark/>
          </w:tcPr>
          <w:p w14:paraId="18E6254E"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2014</w:t>
            </w:r>
          </w:p>
        </w:tc>
        <w:tc>
          <w:tcPr>
            <w:tcW w:w="677" w:type="pct"/>
            <w:tcBorders>
              <w:top w:val="nil"/>
              <w:left w:val="nil"/>
              <w:bottom w:val="single" w:sz="4" w:space="0" w:color="auto"/>
              <w:right w:val="single" w:sz="4" w:space="0" w:color="auto"/>
            </w:tcBorders>
            <w:shd w:val="clear" w:color="auto" w:fill="auto"/>
            <w:vAlign w:val="center"/>
            <w:hideMark/>
          </w:tcPr>
          <w:p w14:paraId="5031EC90"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Welthungerhilfe</w:t>
            </w:r>
          </w:p>
        </w:tc>
        <w:tc>
          <w:tcPr>
            <w:tcW w:w="443" w:type="pct"/>
            <w:tcBorders>
              <w:top w:val="nil"/>
              <w:left w:val="nil"/>
              <w:bottom w:val="single" w:sz="4" w:space="0" w:color="auto"/>
              <w:right w:val="single" w:sz="4" w:space="0" w:color="auto"/>
            </w:tcBorders>
            <w:shd w:val="clear" w:color="auto" w:fill="auto"/>
            <w:vAlign w:val="center"/>
            <w:hideMark/>
          </w:tcPr>
          <w:p w14:paraId="264D383D"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UE (PARAQ)</w:t>
            </w:r>
          </w:p>
        </w:tc>
      </w:tr>
      <w:tr w:rsidR="003F6057" w:rsidRPr="003F6057" w14:paraId="3C800DCD" w14:textId="77777777" w:rsidTr="0041633D">
        <w:trPr>
          <w:trHeight w:val="2040"/>
        </w:trPr>
        <w:tc>
          <w:tcPr>
            <w:tcW w:w="268" w:type="pct"/>
            <w:vMerge/>
            <w:tcBorders>
              <w:top w:val="nil"/>
              <w:left w:val="single" w:sz="4" w:space="0" w:color="auto"/>
              <w:bottom w:val="single" w:sz="4" w:space="0" w:color="auto"/>
              <w:right w:val="single" w:sz="4" w:space="0" w:color="auto"/>
            </w:tcBorders>
            <w:vAlign w:val="center"/>
            <w:hideMark/>
          </w:tcPr>
          <w:p w14:paraId="125833F1"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5CCD6C8E" w14:textId="77777777" w:rsidR="003F6057" w:rsidRPr="003F6057" w:rsidRDefault="003F6057" w:rsidP="003F6057">
            <w:pPr>
              <w:spacing w:before="0"/>
              <w:jc w:val="left"/>
              <w:rPr>
                <w:rFonts w:ascii="Calibri" w:hAnsi="Calibri"/>
                <w:color w:val="000000"/>
                <w:sz w:val="20"/>
              </w:rPr>
            </w:pPr>
          </w:p>
        </w:tc>
        <w:tc>
          <w:tcPr>
            <w:tcW w:w="971" w:type="pct"/>
            <w:vMerge w:val="restart"/>
            <w:tcBorders>
              <w:top w:val="nil"/>
              <w:left w:val="single" w:sz="4" w:space="0" w:color="auto"/>
              <w:bottom w:val="single" w:sz="4" w:space="0" w:color="auto"/>
              <w:right w:val="single" w:sz="4" w:space="0" w:color="auto"/>
            </w:tcBorders>
            <w:shd w:val="clear" w:color="000000" w:fill="FFFFFF"/>
            <w:vAlign w:val="center"/>
            <w:hideMark/>
          </w:tcPr>
          <w:p w14:paraId="4FCA72C7"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Grand-Goâve</w:t>
            </w:r>
          </w:p>
        </w:tc>
        <w:tc>
          <w:tcPr>
            <w:tcW w:w="766" w:type="pct"/>
            <w:tcBorders>
              <w:top w:val="nil"/>
              <w:left w:val="nil"/>
              <w:bottom w:val="single" w:sz="4" w:space="0" w:color="auto"/>
              <w:right w:val="single" w:sz="4" w:space="0" w:color="auto"/>
            </w:tcBorders>
            <w:shd w:val="clear" w:color="000000" w:fill="FCE4D6"/>
            <w:vAlign w:val="center"/>
            <w:hideMark/>
          </w:tcPr>
          <w:p w14:paraId="24A22B6A"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Plan d'urbanisme sommaire (PUS) + Plan d'investissement associé</w:t>
            </w:r>
          </w:p>
        </w:tc>
        <w:tc>
          <w:tcPr>
            <w:tcW w:w="402" w:type="pct"/>
            <w:tcBorders>
              <w:top w:val="nil"/>
              <w:left w:val="nil"/>
              <w:bottom w:val="single" w:sz="4" w:space="0" w:color="auto"/>
              <w:right w:val="single" w:sz="4" w:space="0" w:color="auto"/>
            </w:tcBorders>
            <w:shd w:val="clear" w:color="auto" w:fill="auto"/>
            <w:vAlign w:val="center"/>
            <w:hideMark/>
          </w:tcPr>
          <w:p w14:paraId="7C68434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 xml:space="preserve">Validé par arrêté par Conseil municipal et transmit à l'Etat Central pour validation </w:t>
            </w:r>
          </w:p>
        </w:tc>
        <w:tc>
          <w:tcPr>
            <w:tcW w:w="262" w:type="pct"/>
            <w:tcBorders>
              <w:top w:val="nil"/>
              <w:left w:val="nil"/>
              <w:bottom w:val="single" w:sz="4" w:space="0" w:color="auto"/>
              <w:right w:val="single" w:sz="4" w:space="0" w:color="auto"/>
            </w:tcBorders>
            <w:shd w:val="clear" w:color="auto" w:fill="auto"/>
            <w:vAlign w:val="center"/>
            <w:hideMark/>
          </w:tcPr>
          <w:p w14:paraId="46EA8084"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2012</w:t>
            </w:r>
          </w:p>
        </w:tc>
        <w:tc>
          <w:tcPr>
            <w:tcW w:w="677" w:type="pct"/>
            <w:tcBorders>
              <w:top w:val="nil"/>
              <w:left w:val="nil"/>
              <w:bottom w:val="single" w:sz="4" w:space="0" w:color="auto"/>
              <w:right w:val="single" w:sz="4" w:space="0" w:color="auto"/>
            </w:tcBorders>
            <w:shd w:val="clear" w:color="auto" w:fill="auto"/>
            <w:vAlign w:val="center"/>
            <w:hideMark/>
          </w:tcPr>
          <w:p w14:paraId="2D5133ED"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DATIP</w:t>
            </w:r>
          </w:p>
        </w:tc>
        <w:tc>
          <w:tcPr>
            <w:tcW w:w="443" w:type="pct"/>
            <w:tcBorders>
              <w:top w:val="nil"/>
              <w:left w:val="nil"/>
              <w:bottom w:val="single" w:sz="4" w:space="0" w:color="auto"/>
              <w:right w:val="single" w:sz="4" w:space="0" w:color="auto"/>
            </w:tcBorders>
            <w:shd w:val="clear" w:color="auto" w:fill="auto"/>
            <w:vAlign w:val="center"/>
            <w:hideMark/>
          </w:tcPr>
          <w:p w14:paraId="1F41DB20"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Fédération canadienne des municipalités</w:t>
            </w:r>
          </w:p>
        </w:tc>
      </w:tr>
      <w:tr w:rsidR="003F6057" w:rsidRPr="003F6057" w14:paraId="1879DF5D" w14:textId="77777777" w:rsidTr="0041633D">
        <w:trPr>
          <w:trHeight w:val="510"/>
        </w:trPr>
        <w:tc>
          <w:tcPr>
            <w:tcW w:w="268" w:type="pct"/>
            <w:vMerge/>
            <w:tcBorders>
              <w:top w:val="nil"/>
              <w:left w:val="single" w:sz="4" w:space="0" w:color="auto"/>
              <w:bottom w:val="single" w:sz="4" w:space="0" w:color="auto"/>
              <w:right w:val="single" w:sz="4" w:space="0" w:color="auto"/>
            </w:tcBorders>
            <w:vAlign w:val="center"/>
            <w:hideMark/>
          </w:tcPr>
          <w:p w14:paraId="179E4DA3" w14:textId="77777777" w:rsidR="003F6057" w:rsidRPr="003F6057" w:rsidRDefault="003F6057" w:rsidP="003F6057">
            <w:pPr>
              <w:spacing w:before="0"/>
              <w:jc w:val="left"/>
              <w:rPr>
                <w:rFonts w:ascii="Calibri" w:hAnsi="Calibri"/>
                <w:color w:val="000000"/>
                <w:sz w:val="20"/>
              </w:rPr>
            </w:pPr>
          </w:p>
        </w:tc>
        <w:tc>
          <w:tcPr>
            <w:tcW w:w="1210" w:type="pct"/>
            <w:vMerge/>
            <w:tcBorders>
              <w:top w:val="nil"/>
              <w:left w:val="single" w:sz="4" w:space="0" w:color="auto"/>
              <w:bottom w:val="single" w:sz="4" w:space="0" w:color="auto"/>
              <w:right w:val="single" w:sz="4" w:space="0" w:color="auto"/>
            </w:tcBorders>
            <w:vAlign w:val="center"/>
            <w:hideMark/>
          </w:tcPr>
          <w:p w14:paraId="2F1529BA" w14:textId="77777777" w:rsidR="003F6057" w:rsidRPr="003F6057" w:rsidRDefault="003F6057" w:rsidP="003F6057">
            <w:pPr>
              <w:spacing w:before="0"/>
              <w:jc w:val="left"/>
              <w:rPr>
                <w:rFonts w:ascii="Calibri" w:hAnsi="Calibri"/>
                <w:color w:val="000000"/>
                <w:sz w:val="20"/>
              </w:rPr>
            </w:pPr>
          </w:p>
        </w:tc>
        <w:tc>
          <w:tcPr>
            <w:tcW w:w="971" w:type="pct"/>
            <w:vMerge/>
            <w:tcBorders>
              <w:top w:val="nil"/>
              <w:left w:val="single" w:sz="4" w:space="0" w:color="auto"/>
              <w:bottom w:val="single" w:sz="4" w:space="0" w:color="auto"/>
              <w:right w:val="single" w:sz="4" w:space="0" w:color="auto"/>
            </w:tcBorders>
            <w:vAlign w:val="center"/>
            <w:hideMark/>
          </w:tcPr>
          <w:p w14:paraId="59EE914C" w14:textId="77777777" w:rsidR="003F6057" w:rsidRPr="003F6057" w:rsidRDefault="003F6057" w:rsidP="003F6057">
            <w:pPr>
              <w:spacing w:before="0"/>
              <w:jc w:val="left"/>
              <w:rPr>
                <w:rFonts w:ascii="Calibri" w:hAnsi="Calibri"/>
                <w:color w:val="000000"/>
                <w:sz w:val="20"/>
              </w:rPr>
            </w:pPr>
          </w:p>
        </w:tc>
        <w:tc>
          <w:tcPr>
            <w:tcW w:w="766" w:type="pct"/>
            <w:tcBorders>
              <w:top w:val="nil"/>
              <w:left w:val="nil"/>
              <w:bottom w:val="single" w:sz="4" w:space="0" w:color="auto"/>
              <w:right w:val="single" w:sz="4" w:space="0" w:color="auto"/>
            </w:tcBorders>
            <w:shd w:val="clear" w:color="000000" w:fill="FCE4D6"/>
            <w:vAlign w:val="center"/>
            <w:hideMark/>
          </w:tcPr>
          <w:p w14:paraId="3048EA73"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Esquisse de plan d'urbanisme pour la ville</w:t>
            </w:r>
          </w:p>
        </w:tc>
        <w:tc>
          <w:tcPr>
            <w:tcW w:w="402" w:type="pct"/>
            <w:tcBorders>
              <w:top w:val="nil"/>
              <w:left w:val="nil"/>
              <w:bottom w:val="single" w:sz="4" w:space="0" w:color="auto"/>
              <w:right w:val="single" w:sz="4" w:space="0" w:color="auto"/>
            </w:tcBorders>
            <w:shd w:val="clear" w:color="auto" w:fill="auto"/>
            <w:vAlign w:val="center"/>
            <w:hideMark/>
          </w:tcPr>
          <w:p w14:paraId="78570F72"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Validé</w:t>
            </w:r>
          </w:p>
        </w:tc>
        <w:tc>
          <w:tcPr>
            <w:tcW w:w="262" w:type="pct"/>
            <w:tcBorders>
              <w:top w:val="nil"/>
              <w:left w:val="nil"/>
              <w:bottom w:val="single" w:sz="4" w:space="0" w:color="auto"/>
              <w:right w:val="single" w:sz="4" w:space="0" w:color="auto"/>
            </w:tcBorders>
            <w:shd w:val="clear" w:color="auto" w:fill="auto"/>
            <w:vAlign w:val="center"/>
            <w:hideMark/>
          </w:tcPr>
          <w:p w14:paraId="3EF8882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2013</w:t>
            </w:r>
          </w:p>
        </w:tc>
        <w:tc>
          <w:tcPr>
            <w:tcW w:w="677" w:type="pct"/>
            <w:tcBorders>
              <w:top w:val="nil"/>
              <w:left w:val="nil"/>
              <w:bottom w:val="single" w:sz="4" w:space="0" w:color="auto"/>
              <w:right w:val="single" w:sz="4" w:space="0" w:color="auto"/>
            </w:tcBorders>
            <w:shd w:val="clear" w:color="auto" w:fill="auto"/>
            <w:vAlign w:val="center"/>
            <w:hideMark/>
          </w:tcPr>
          <w:p w14:paraId="5F8CA7E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IBI DAA</w:t>
            </w:r>
          </w:p>
        </w:tc>
        <w:tc>
          <w:tcPr>
            <w:tcW w:w="443" w:type="pct"/>
            <w:tcBorders>
              <w:top w:val="nil"/>
              <w:left w:val="nil"/>
              <w:bottom w:val="single" w:sz="4" w:space="0" w:color="auto"/>
              <w:right w:val="single" w:sz="4" w:space="0" w:color="auto"/>
            </w:tcBorders>
            <w:shd w:val="clear" w:color="auto" w:fill="auto"/>
            <w:vAlign w:val="center"/>
            <w:hideMark/>
          </w:tcPr>
          <w:p w14:paraId="3212DB75"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FRH (PARLOQ)</w:t>
            </w:r>
          </w:p>
        </w:tc>
      </w:tr>
      <w:tr w:rsidR="003F6057" w:rsidRPr="003F6057" w14:paraId="63ADBA8B" w14:textId="77777777" w:rsidTr="0041633D">
        <w:trPr>
          <w:trHeight w:val="1530"/>
        </w:trPr>
        <w:tc>
          <w:tcPr>
            <w:tcW w:w="268" w:type="pct"/>
            <w:vMerge w:val="restart"/>
            <w:tcBorders>
              <w:top w:val="nil"/>
              <w:left w:val="single" w:sz="4" w:space="0" w:color="auto"/>
              <w:bottom w:val="nil"/>
              <w:right w:val="single" w:sz="4" w:space="0" w:color="auto"/>
            </w:tcBorders>
            <w:shd w:val="clear" w:color="000000" w:fill="FFFFFF"/>
            <w:vAlign w:val="center"/>
            <w:hideMark/>
          </w:tcPr>
          <w:p w14:paraId="167AADAF"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Centre</w:t>
            </w:r>
          </w:p>
        </w:tc>
        <w:tc>
          <w:tcPr>
            <w:tcW w:w="1210" w:type="pct"/>
            <w:tcBorders>
              <w:top w:val="nil"/>
              <w:left w:val="nil"/>
              <w:bottom w:val="nil"/>
              <w:right w:val="single" w:sz="4" w:space="0" w:color="auto"/>
            </w:tcBorders>
            <w:shd w:val="clear" w:color="000000" w:fill="FFFFFF"/>
            <w:vAlign w:val="center"/>
            <w:hideMark/>
          </w:tcPr>
          <w:p w14:paraId="7B65BD35"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Hinche</w:t>
            </w:r>
          </w:p>
        </w:tc>
        <w:tc>
          <w:tcPr>
            <w:tcW w:w="971" w:type="pct"/>
            <w:tcBorders>
              <w:top w:val="nil"/>
              <w:left w:val="nil"/>
              <w:bottom w:val="nil"/>
              <w:right w:val="single" w:sz="4" w:space="0" w:color="auto"/>
            </w:tcBorders>
            <w:shd w:val="clear" w:color="auto" w:fill="auto"/>
            <w:vAlign w:val="center"/>
            <w:hideMark/>
          </w:tcPr>
          <w:p w14:paraId="091881A9"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Hinche</w:t>
            </w:r>
          </w:p>
        </w:tc>
        <w:tc>
          <w:tcPr>
            <w:tcW w:w="766" w:type="pct"/>
            <w:tcBorders>
              <w:top w:val="nil"/>
              <w:left w:val="nil"/>
              <w:bottom w:val="single" w:sz="4" w:space="0" w:color="auto"/>
              <w:right w:val="single" w:sz="4" w:space="0" w:color="auto"/>
            </w:tcBorders>
            <w:shd w:val="clear" w:color="auto" w:fill="auto"/>
            <w:vAlign w:val="center"/>
            <w:hideMark/>
          </w:tcPr>
          <w:p w14:paraId="0C32D6FC"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Plan d’Aménagement, d’Embellissement et d’Extension de la Ville (PAEEV)  + Plan programme pluriannuel d’investissement</w:t>
            </w:r>
          </w:p>
        </w:tc>
        <w:tc>
          <w:tcPr>
            <w:tcW w:w="402" w:type="pct"/>
            <w:tcBorders>
              <w:top w:val="nil"/>
              <w:left w:val="nil"/>
              <w:bottom w:val="single" w:sz="4" w:space="0" w:color="auto"/>
              <w:right w:val="single" w:sz="4" w:space="0" w:color="auto"/>
            </w:tcBorders>
            <w:shd w:val="clear" w:color="auto" w:fill="auto"/>
            <w:vAlign w:val="center"/>
            <w:hideMark/>
          </w:tcPr>
          <w:p w14:paraId="156E49EE"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Marché en cours d'attribution</w:t>
            </w:r>
          </w:p>
        </w:tc>
        <w:tc>
          <w:tcPr>
            <w:tcW w:w="262" w:type="pct"/>
            <w:tcBorders>
              <w:top w:val="nil"/>
              <w:left w:val="nil"/>
              <w:bottom w:val="single" w:sz="4" w:space="0" w:color="auto"/>
              <w:right w:val="single" w:sz="4" w:space="0" w:color="auto"/>
            </w:tcBorders>
            <w:shd w:val="clear" w:color="auto" w:fill="auto"/>
            <w:vAlign w:val="center"/>
            <w:hideMark/>
          </w:tcPr>
          <w:p w14:paraId="4316F4C5"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2016</w:t>
            </w:r>
          </w:p>
        </w:tc>
        <w:tc>
          <w:tcPr>
            <w:tcW w:w="677" w:type="pct"/>
            <w:tcBorders>
              <w:top w:val="nil"/>
              <w:left w:val="nil"/>
              <w:bottom w:val="single" w:sz="4" w:space="0" w:color="auto"/>
              <w:right w:val="single" w:sz="4" w:space="0" w:color="auto"/>
            </w:tcBorders>
            <w:shd w:val="clear" w:color="auto" w:fill="auto"/>
            <w:vAlign w:val="center"/>
            <w:hideMark/>
          </w:tcPr>
          <w:p w14:paraId="62B90414"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w:t>
            </w:r>
          </w:p>
        </w:tc>
        <w:tc>
          <w:tcPr>
            <w:tcW w:w="443" w:type="pct"/>
            <w:tcBorders>
              <w:top w:val="nil"/>
              <w:left w:val="nil"/>
              <w:bottom w:val="single" w:sz="4" w:space="0" w:color="auto"/>
              <w:right w:val="single" w:sz="4" w:space="0" w:color="auto"/>
            </w:tcBorders>
            <w:shd w:val="clear" w:color="auto" w:fill="auto"/>
            <w:vAlign w:val="center"/>
            <w:hideMark/>
          </w:tcPr>
          <w:p w14:paraId="6EDE5D49"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Banque Mondiale</w:t>
            </w:r>
          </w:p>
        </w:tc>
      </w:tr>
      <w:tr w:rsidR="003F6057" w:rsidRPr="003F6057" w14:paraId="321670D6" w14:textId="77777777" w:rsidTr="0041633D">
        <w:trPr>
          <w:trHeight w:val="1530"/>
        </w:trPr>
        <w:tc>
          <w:tcPr>
            <w:tcW w:w="268" w:type="pct"/>
            <w:vMerge/>
            <w:tcBorders>
              <w:top w:val="nil"/>
              <w:left w:val="single" w:sz="4" w:space="0" w:color="auto"/>
              <w:bottom w:val="nil"/>
              <w:right w:val="single" w:sz="4" w:space="0" w:color="auto"/>
            </w:tcBorders>
            <w:vAlign w:val="center"/>
            <w:hideMark/>
          </w:tcPr>
          <w:p w14:paraId="1ADA5E9C" w14:textId="77777777" w:rsidR="003F6057" w:rsidRPr="003F6057" w:rsidRDefault="003F6057" w:rsidP="003F6057">
            <w:pPr>
              <w:spacing w:before="0"/>
              <w:jc w:val="left"/>
              <w:rPr>
                <w:rFonts w:ascii="Calibri" w:hAnsi="Calibri"/>
                <w:color w:val="000000"/>
                <w:sz w:val="20"/>
              </w:rPr>
            </w:pPr>
          </w:p>
        </w:tc>
        <w:tc>
          <w:tcPr>
            <w:tcW w:w="121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6C40A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Mirebalais</w:t>
            </w:r>
          </w:p>
        </w:tc>
        <w:tc>
          <w:tcPr>
            <w:tcW w:w="971" w:type="pct"/>
            <w:tcBorders>
              <w:top w:val="single" w:sz="4" w:space="0" w:color="auto"/>
              <w:left w:val="nil"/>
              <w:bottom w:val="nil"/>
              <w:right w:val="single" w:sz="4" w:space="0" w:color="auto"/>
            </w:tcBorders>
            <w:shd w:val="clear" w:color="auto" w:fill="auto"/>
            <w:vAlign w:val="center"/>
            <w:hideMark/>
          </w:tcPr>
          <w:p w14:paraId="41F9AA3A"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Mirebalais</w:t>
            </w:r>
          </w:p>
        </w:tc>
        <w:tc>
          <w:tcPr>
            <w:tcW w:w="766" w:type="pct"/>
            <w:tcBorders>
              <w:top w:val="nil"/>
              <w:left w:val="nil"/>
              <w:bottom w:val="single" w:sz="4" w:space="0" w:color="auto"/>
              <w:right w:val="single" w:sz="4" w:space="0" w:color="auto"/>
            </w:tcBorders>
            <w:shd w:val="clear" w:color="auto" w:fill="auto"/>
            <w:vAlign w:val="center"/>
            <w:hideMark/>
          </w:tcPr>
          <w:p w14:paraId="22043F33"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Plan d’Aménagement, d’Embellissement et d’Extension de la Ville (PAEEV)  + Plan programme pluriannuel d’investissement</w:t>
            </w:r>
          </w:p>
        </w:tc>
        <w:tc>
          <w:tcPr>
            <w:tcW w:w="402" w:type="pct"/>
            <w:tcBorders>
              <w:top w:val="nil"/>
              <w:left w:val="nil"/>
              <w:bottom w:val="single" w:sz="4" w:space="0" w:color="auto"/>
              <w:right w:val="single" w:sz="4" w:space="0" w:color="auto"/>
            </w:tcBorders>
            <w:shd w:val="clear" w:color="auto" w:fill="auto"/>
            <w:vAlign w:val="center"/>
            <w:hideMark/>
          </w:tcPr>
          <w:p w14:paraId="17F94FFC"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Marché en cours d'attribution</w:t>
            </w:r>
          </w:p>
        </w:tc>
        <w:tc>
          <w:tcPr>
            <w:tcW w:w="262" w:type="pct"/>
            <w:tcBorders>
              <w:top w:val="nil"/>
              <w:left w:val="nil"/>
              <w:bottom w:val="single" w:sz="4" w:space="0" w:color="auto"/>
              <w:right w:val="single" w:sz="4" w:space="0" w:color="auto"/>
            </w:tcBorders>
            <w:shd w:val="clear" w:color="auto" w:fill="auto"/>
            <w:vAlign w:val="center"/>
            <w:hideMark/>
          </w:tcPr>
          <w:p w14:paraId="527E42D3"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2016</w:t>
            </w:r>
          </w:p>
        </w:tc>
        <w:tc>
          <w:tcPr>
            <w:tcW w:w="677" w:type="pct"/>
            <w:tcBorders>
              <w:top w:val="nil"/>
              <w:left w:val="nil"/>
              <w:bottom w:val="single" w:sz="4" w:space="0" w:color="auto"/>
              <w:right w:val="single" w:sz="4" w:space="0" w:color="auto"/>
            </w:tcBorders>
            <w:shd w:val="clear" w:color="auto" w:fill="auto"/>
            <w:vAlign w:val="center"/>
            <w:hideMark/>
          </w:tcPr>
          <w:p w14:paraId="50D66F0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w:t>
            </w:r>
          </w:p>
        </w:tc>
        <w:tc>
          <w:tcPr>
            <w:tcW w:w="443" w:type="pct"/>
            <w:tcBorders>
              <w:top w:val="nil"/>
              <w:left w:val="nil"/>
              <w:bottom w:val="single" w:sz="4" w:space="0" w:color="auto"/>
              <w:right w:val="single" w:sz="4" w:space="0" w:color="auto"/>
            </w:tcBorders>
            <w:shd w:val="clear" w:color="auto" w:fill="auto"/>
            <w:vAlign w:val="center"/>
            <w:hideMark/>
          </w:tcPr>
          <w:p w14:paraId="4D6EE365"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Banque Mondiale</w:t>
            </w:r>
          </w:p>
        </w:tc>
      </w:tr>
      <w:tr w:rsidR="003F6057" w:rsidRPr="003F6057" w14:paraId="583D9456" w14:textId="77777777" w:rsidTr="0041633D">
        <w:trPr>
          <w:trHeight w:val="1530"/>
        </w:trPr>
        <w:tc>
          <w:tcPr>
            <w:tcW w:w="268" w:type="pct"/>
            <w:vMerge/>
            <w:tcBorders>
              <w:top w:val="nil"/>
              <w:left w:val="single" w:sz="4" w:space="0" w:color="auto"/>
              <w:bottom w:val="nil"/>
              <w:right w:val="single" w:sz="4" w:space="0" w:color="auto"/>
            </w:tcBorders>
            <w:vAlign w:val="center"/>
            <w:hideMark/>
          </w:tcPr>
          <w:p w14:paraId="21F37EBC" w14:textId="77777777" w:rsidR="003F6057" w:rsidRPr="003F6057" w:rsidRDefault="003F6057" w:rsidP="003F6057">
            <w:pPr>
              <w:spacing w:before="0"/>
              <w:jc w:val="left"/>
              <w:rPr>
                <w:rFonts w:ascii="Calibri" w:hAnsi="Calibri"/>
                <w:color w:val="000000"/>
                <w:sz w:val="20"/>
              </w:rPr>
            </w:pPr>
          </w:p>
        </w:tc>
        <w:tc>
          <w:tcPr>
            <w:tcW w:w="1210" w:type="pct"/>
            <w:vMerge/>
            <w:tcBorders>
              <w:top w:val="single" w:sz="4" w:space="0" w:color="auto"/>
              <w:left w:val="single" w:sz="4" w:space="0" w:color="auto"/>
              <w:bottom w:val="single" w:sz="4" w:space="0" w:color="auto"/>
              <w:right w:val="single" w:sz="4" w:space="0" w:color="auto"/>
            </w:tcBorders>
            <w:vAlign w:val="center"/>
            <w:hideMark/>
          </w:tcPr>
          <w:p w14:paraId="1551C698" w14:textId="77777777" w:rsidR="003F6057" w:rsidRPr="003F6057" w:rsidRDefault="003F6057" w:rsidP="003F6057">
            <w:pPr>
              <w:spacing w:before="0"/>
              <w:jc w:val="left"/>
              <w:rPr>
                <w:rFonts w:ascii="Calibri" w:hAnsi="Calibri"/>
                <w:color w:val="000000"/>
                <w:sz w:val="20"/>
              </w:rPr>
            </w:pPr>
          </w:p>
        </w:tc>
        <w:tc>
          <w:tcPr>
            <w:tcW w:w="971" w:type="pct"/>
            <w:tcBorders>
              <w:top w:val="single" w:sz="4" w:space="0" w:color="auto"/>
              <w:left w:val="nil"/>
              <w:bottom w:val="nil"/>
              <w:right w:val="single" w:sz="4" w:space="0" w:color="auto"/>
            </w:tcBorders>
            <w:shd w:val="clear" w:color="auto" w:fill="auto"/>
            <w:vAlign w:val="center"/>
            <w:hideMark/>
          </w:tcPr>
          <w:p w14:paraId="7D3C75F4"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Saut-d'Eau</w:t>
            </w:r>
          </w:p>
        </w:tc>
        <w:tc>
          <w:tcPr>
            <w:tcW w:w="766" w:type="pct"/>
            <w:tcBorders>
              <w:top w:val="nil"/>
              <w:left w:val="nil"/>
              <w:bottom w:val="single" w:sz="4" w:space="0" w:color="auto"/>
              <w:right w:val="single" w:sz="4" w:space="0" w:color="auto"/>
            </w:tcBorders>
            <w:shd w:val="clear" w:color="auto" w:fill="auto"/>
            <w:vAlign w:val="center"/>
            <w:hideMark/>
          </w:tcPr>
          <w:p w14:paraId="13860F73"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Plan d’Aménagement, d’Embellissement et d’Extension de la Ville (PAEEV)  + Plan programme pluriannuel d’investissement</w:t>
            </w:r>
          </w:p>
        </w:tc>
        <w:tc>
          <w:tcPr>
            <w:tcW w:w="402" w:type="pct"/>
            <w:tcBorders>
              <w:top w:val="nil"/>
              <w:left w:val="nil"/>
              <w:bottom w:val="single" w:sz="4" w:space="0" w:color="auto"/>
              <w:right w:val="single" w:sz="4" w:space="0" w:color="auto"/>
            </w:tcBorders>
            <w:shd w:val="clear" w:color="auto" w:fill="auto"/>
            <w:vAlign w:val="center"/>
            <w:hideMark/>
          </w:tcPr>
          <w:p w14:paraId="190B615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Marché en cours d'attribution</w:t>
            </w:r>
          </w:p>
        </w:tc>
        <w:tc>
          <w:tcPr>
            <w:tcW w:w="262" w:type="pct"/>
            <w:tcBorders>
              <w:top w:val="nil"/>
              <w:left w:val="nil"/>
              <w:bottom w:val="single" w:sz="4" w:space="0" w:color="auto"/>
              <w:right w:val="single" w:sz="4" w:space="0" w:color="auto"/>
            </w:tcBorders>
            <w:shd w:val="clear" w:color="auto" w:fill="auto"/>
            <w:vAlign w:val="center"/>
            <w:hideMark/>
          </w:tcPr>
          <w:p w14:paraId="64A2AAD6"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2016</w:t>
            </w:r>
          </w:p>
        </w:tc>
        <w:tc>
          <w:tcPr>
            <w:tcW w:w="677" w:type="pct"/>
            <w:tcBorders>
              <w:top w:val="nil"/>
              <w:left w:val="nil"/>
              <w:bottom w:val="single" w:sz="4" w:space="0" w:color="auto"/>
              <w:right w:val="single" w:sz="4" w:space="0" w:color="auto"/>
            </w:tcBorders>
            <w:shd w:val="clear" w:color="auto" w:fill="auto"/>
            <w:vAlign w:val="center"/>
            <w:hideMark/>
          </w:tcPr>
          <w:p w14:paraId="4F80B838"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w:t>
            </w:r>
          </w:p>
        </w:tc>
        <w:tc>
          <w:tcPr>
            <w:tcW w:w="443" w:type="pct"/>
            <w:tcBorders>
              <w:top w:val="nil"/>
              <w:left w:val="nil"/>
              <w:bottom w:val="single" w:sz="4" w:space="0" w:color="auto"/>
              <w:right w:val="single" w:sz="4" w:space="0" w:color="auto"/>
            </w:tcBorders>
            <w:shd w:val="clear" w:color="auto" w:fill="auto"/>
            <w:vAlign w:val="center"/>
            <w:hideMark/>
          </w:tcPr>
          <w:p w14:paraId="18282C70"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Banque Mondiale</w:t>
            </w:r>
          </w:p>
        </w:tc>
      </w:tr>
      <w:tr w:rsidR="003F6057" w:rsidRPr="003F6057" w14:paraId="183E1B4F" w14:textId="77777777" w:rsidTr="0041633D">
        <w:trPr>
          <w:trHeight w:val="1530"/>
        </w:trPr>
        <w:tc>
          <w:tcPr>
            <w:tcW w:w="268" w:type="pct"/>
            <w:vMerge w:val="restart"/>
            <w:tcBorders>
              <w:top w:val="single" w:sz="4" w:space="0" w:color="auto"/>
              <w:left w:val="single" w:sz="4" w:space="0" w:color="auto"/>
              <w:bottom w:val="nil"/>
              <w:right w:val="single" w:sz="4" w:space="0" w:color="auto"/>
            </w:tcBorders>
            <w:shd w:val="clear" w:color="000000" w:fill="FFFFFF"/>
            <w:vAlign w:val="center"/>
            <w:hideMark/>
          </w:tcPr>
          <w:p w14:paraId="4D70844D"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Artibonite</w:t>
            </w:r>
          </w:p>
        </w:tc>
        <w:tc>
          <w:tcPr>
            <w:tcW w:w="1210" w:type="pct"/>
            <w:tcBorders>
              <w:top w:val="nil"/>
              <w:left w:val="nil"/>
              <w:bottom w:val="single" w:sz="4" w:space="0" w:color="auto"/>
              <w:right w:val="single" w:sz="4" w:space="0" w:color="auto"/>
            </w:tcBorders>
            <w:shd w:val="clear" w:color="000000" w:fill="FFFFFF"/>
            <w:vAlign w:val="center"/>
            <w:hideMark/>
          </w:tcPr>
          <w:p w14:paraId="70906EBD"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Marmelade</w:t>
            </w:r>
          </w:p>
        </w:tc>
        <w:tc>
          <w:tcPr>
            <w:tcW w:w="971" w:type="pct"/>
            <w:tcBorders>
              <w:top w:val="single" w:sz="4" w:space="0" w:color="auto"/>
              <w:left w:val="nil"/>
              <w:bottom w:val="single" w:sz="4" w:space="0" w:color="auto"/>
              <w:right w:val="single" w:sz="4" w:space="0" w:color="auto"/>
            </w:tcBorders>
            <w:shd w:val="clear" w:color="auto" w:fill="auto"/>
            <w:vAlign w:val="center"/>
            <w:hideMark/>
          </w:tcPr>
          <w:p w14:paraId="6FF530A8"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Saint-Michel-de-l'Attalaye</w:t>
            </w:r>
          </w:p>
        </w:tc>
        <w:tc>
          <w:tcPr>
            <w:tcW w:w="766" w:type="pct"/>
            <w:tcBorders>
              <w:top w:val="nil"/>
              <w:left w:val="nil"/>
              <w:bottom w:val="single" w:sz="4" w:space="0" w:color="auto"/>
              <w:right w:val="single" w:sz="4" w:space="0" w:color="auto"/>
            </w:tcBorders>
            <w:shd w:val="clear" w:color="auto" w:fill="auto"/>
            <w:vAlign w:val="center"/>
            <w:hideMark/>
          </w:tcPr>
          <w:p w14:paraId="2C58A1BB"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Plan d’Aménagement, d’Embellissement et d’Extension de la Ville (PAEEV)  + Plan programme pluriannuel d’investissement</w:t>
            </w:r>
          </w:p>
        </w:tc>
        <w:tc>
          <w:tcPr>
            <w:tcW w:w="402" w:type="pct"/>
            <w:tcBorders>
              <w:top w:val="nil"/>
              <w:left w:val="nil"/>
              <w:bottom w:val="single" w:sz="4" w:space="0" w:color="auto"/>
              <w:right w:val="single" w:sz="4" w:space="0" w:color="auto"/>
            </w:tcBorders>
            <w:shd w:val="clear" w:color="auto" w:fill="auto"/>
            <w:vAlign w:val="center"/>
            <w:hideMark/>
          </w:tcPr>
          <w:p w14:paraId="5F4150C8"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Marché en cours d'attribution</w:t>
            </w:r>
          </w:p>
        </w:tc>
        <w:tc>
          <w:tcPr>
            <w:tcW w:w="262" w:type="pct"/>
            <w:tcBorders>
              <w:top w:val="nil"/>
              <w:left w:val="nil"/>
              <w:bottom w:val="single" w:sz="4" w:space="0" w:color="auto"/>
              <w:right w:val="single" w:sz="4" w:space="0" w:color="auto"/>
            </w:tcBorders>
            <w:shd w:val="clear" w:color="auto" w:fill="auto"/>
            <w:vAlign w:val="center"/>
            <w:hideMark/>
          </w:tcPr>
          <w:p w14:paraId="67C4FE4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2016</w:t>
            </w:r>
          </w:p>
        </w:tc>
        <w:tc>
          <w:tcPr>
            <w:tcW w:w="677" w:type="pct"/>
            <w:tcBorders>
              <w:top w:val="nil"/>
              <w:left w:val="nil"/>
              <w:bottom w:val="single" w:sz="4" w:space="0" w:color="auto"/>
              <w:right w:val="single" w:sz="4" w:space="0" w:color="auto"/>
            </w:tcBorders>
            <w:shd w:val="clear" w:color="auto" w:fill="auto"/>
            <w:vAlign w:val="center"/>
            <w:hideMark/>
          </w:tcPr>
          <w:p w14:paraId="0B5C63D5"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w:t>
            </w:r>
          </w:p>
        </w:tc>
        <w:tc>
          <w:tcPr>
            <w:tcW w:w="443" w:type="pct"/>
            <w:tcBorders>
              <w:top w:val="nil"/>
              <w:left w:val="nil"/>
              <w:bottom w:val="single" w:sz="4" w:space="0" w:color="auto"/>
              <w:right w:val="single" w:sz="4" w:space="0" w:color="auto"/>
            </w:tcBorders>
            <w:shd w:val="clear" w:color="auto" w:fill="auto"/>
            <w:vAlign w:val="center"/>
            <w:hideMark/>
          </w:tcPr>
          <w:p w14:paraId="726E9B06"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Banque Mondiale</w:t>
            </w:r>
          </w:p>
        </w:tc>
      </w:tr>
      <w:tr w:rsidR="003F6057" w:rsidRPr="003F6057" w14:paraId="5C8ECF27" w14:textId="77777777" w:rsidTr="0041633D">
        <w:trPr>
          <w:trHeight w:val="1530"/>
        </w:trPr>
        <w:tc>
          <w:tcPr>
            <w:tcW w:w="268" w:type="pct"/>
            <w:vMerge/>
            <w:tcBorders>
              <w:top w:val="single" w:sz="4" w:space="0" w:color="auto"/>
              <w:left w:val="single" w:sz="4" w:space="0" w:color="auto"/>
              <w:bottom w:val="nil"/>
              <w:right w:val="single" w:sz="4" w:space="0" w:color="auto"/>
            </w:tcBorders>
            <w:vAlign w:val="center"/>
            <w:hideMark/>
          </w:tcPr>
          <w:p w14:paraId="21AA6F5B" w14:textId="77777777" w:rsidR="003F6057" w:rsidRPr="003F6057" w:rsidRDefault="003F6057" w:rsidP="003F6057">
            <w:pPr>
              <w:spacing w:before="0"/>
              <w:jc w:val="left"/>
              <w:rPr>
                <w:rFonts w:ascii="Calibri" w:hAnsi="Calibri"/>
                <w:color w:val="000000"/>
                <w:sz w:val="20"/>
              </w:rPr>
            </w:pPr>
          </w:p>
        </w:tc>
        <w:tc>
          <w:tcPr>
            <w:tcW w:w="1210" w:type="pct"/>
            <w:tcBorders>
              <w:top w:val="nil"/>
              <w:left w:val="nil"/>
              <w:bottom w:val="nil"/>
              <w:right w:val="single" w:sz="4" w:space="0" w:color="auto"/>
            </w:tcBorders>
            <w:shd w:val="clear" w:color="000000" w:fill="FFFFFF"/>
            <w:vAlign w:val="center"/>
            <w:hideMark/>
          </w:tcPr>
          <w:p w14:paraId="227EBEBE"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Saint-Marc</w:t>
            </w:r>
          </w:p>
        </w:tc>
        <w:tc>
          <w:tcPr>
            <w:tcW w:w="971" w:type="pct"/>
            <w:tcBorders>
              <w:top w:val="nil"/>
              <w:left w:val="nil"/>
              <w:bottom w:val="nil"/>
              <w:right w:val="single" w:sz="4" w:space="0" w:color="auto"/>
            </w:tcBorders>
            <w:shd w:val="clear" w:color="000000" w:fill="FFFFFF"/>
            <w:vAlign w:val="center"/>
            <w:hideMark/>
          </w:tcPr>
          <w:p w14:paraId="736839D7"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Saint-Marc</w:t>
            </w:r>
          </w:p>
        </w:tc>
        <w:tc>
          <w:tcPr>
            <w:tcW w:w="766" w:type="pct"/>
            <w:tcBorders>
              <w:top w:val="nil"/>
              <w:left w:val="nil"/>
              <w:bottom w:val="single" w:sz="4" w:space="0" w:color="auto"/>
              <w:right w:val="single" w:sz="4" w:space="0" w:color="auto"/>
            </w:tcBorders>
            <w:shd w:val="clear" w:color="auto" w:fill="auto"/>
            <w:vAlign w:val="center"/>
            <w:hideMark/>
          </w:tcPr>
          <w:p w14:paraId="007FDD81"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Plan d’Aménagement, d’Embellissement et d’Extension de la Ville (PAEEV)  + Plan programme pluriannuel d’investissement</w:t>
            </w:r>
          </w:p>
        </w:tc>
        <w:tc>
          <w:tcPr>
            <w:tcW w:w="402" w:type="pct"/>
            <w:tcBorders>
              <w:top w:val="nil"/>
              <w:left w:val="nil"/>
              <w:bottom w:val="single" w:sz="4" w:space="0" w:color="auto"/>
              <w:right w:val="single" w:sz="4" w:space="0" w:color="auto"/>
            </w:tcBorders>
            <w:shd w:val="clear" w:color="auto" w:fill="auto"/>
            <w:vAlign w:val="center"/>
            <w:hideMark/>
          </w:tcPr>
          <w:p w14:paraId="44613CA9"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Validé</w:t>
            </w:r>
          </w:p>
        </w:tc>
        <w:tc>
          <w:tcPr>
            <w:tcW w:w="262" w:type="pct"/>
            <w:tcBorders>
              <w:top w:val="nil"/>
              <w:left w:val="nil"/>
              <w:bottom w:val="single" w:sz="4" w:space="0" w:color="auto"/>
              <w:right w:val="single" w:sz="4" w:space="0" w:color="auto"/>
            </w:tcBorders>
            <w:shd w:val="clear" w:color="auto" w:fill="auto"/>
            <w:vAlign w:val="center"/>
            <w:hideMark/>
          </w:tcPr>
          <w:p w14:paraId="6160EBF8"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2013</w:t>
            </w:r>
          </w:p>
        </w:tc>
        <w:tc>
          <w:tcPr>
            <w:tcW w:w="677" w:type="pct"/>
            <w:tcBorders>
              <w:top w:val="nil"/>
              <w:left w:val="nil"/>
              <w:bottom w:val="single" w:sz="4" w:space="0" w:color="auto"/>
              <w:right w:val="single" w:sz="4" w:space="0" w:color="auto"/>
            </w:tcBorders>
            <w:shd w:val="clear" w:color="auto" w:fill="auto"/>
            <w:vAlign w:val="center"/>
            <w:hideMark/>
          </w:tcPr>
          <w:p w14:paraId="5E4986D2"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IBI DAA</w:t>
            </w:r>
          </w:p>
        </w:tc>
        <w:tc>
          <w:tcPr>
            <w:tcW w:w="443" w:type="pct"/>
            <w:tcBorders>
              <w:top w:val="nil"/>
              <w:left w:val="nil"/>
              <w:bottom w:val="single" w:sz="4" w:space="0" w:color="auto"/>
              <w:right w:val="single" w:sz="4" w:space="0" w:color="auto"/>
            </w:tcBorders>
            <w:shd w:val="clear" w:color="auto" w:fill="auto"/>
            <w:vAlign w:val="center"/>
            <w:hideMark/>
          </w:tcPr>
          <w:p w14:paraId="45C61E8D"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FRH (PARLOQ)</w:t>
            </w:r>
          </w:p>
        </w:tc>
      </w:tr>
      <w:tr w:rsidR="003F6057" w:rsidRPr="003F6057" w14:paraId="7748A59D" w14:textId="77777777" w:rsidTr="0041633D">
        <w:trPr>
          <w:trHeight w:val="1020"/>
        </w:trPr>
        <w:tc>
          <w:tcPr>
            <w:tcW w:w="26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ADF364"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Nord</w:t>
            </w:r>
          </w:p>
        </w:tc>
        <w:tc>
          <w:tcPr>
            <w:tcW w:w="2948" w:type="pct"/>
            <w:gridSpan w:val="3"/>
            <w:tcBorders>
              <w:top w:val="single" w:sz="4" w:space="0" w:color="auto"/>
              <w:left w:val="nil"/>
              <w:bottom w:val="single" w:sz="4" w:space="0" w:color="auto"/>
              <w:right w:val="single" w:sz="4" w:space="0" w:color="auto"/>
            </w:tcBorders>
            <w:shd w:val="clear" w:color="auto" w:fill="auto"/>
            <w:vAlign w:val="center"/>
            <w:hideMark/>
          </w:tcPr>
          <w:p w14:paraId="455F3691"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Esquisse de schéma d'aménagement du pôle de Cap-Haïtien (ce territoire comprend les arrondissements d’Acul-du-Nord et de Cap-Haïtien)</w:t>
            </w:r>
          </w:p>
        </w:tc>
        <w:tc>
          <w:tcPr>
            <w:tcW w:w="402" w:type="pct"/>
            <w:tcBorders>
              <w:top w:val="nil"/>
              <w:left w:val="nil"/>
              <w:bottom w:val="single" w:sz="4" w:space="0" w:color="auto"/>
              <w:right w:val="single" w:sz="4" w:space="0" w:color="auto"/>
            </w:tcBorders>
            <w:shd w:val="clear" w:color="auto" w:fill="auto"/>
            <w:vAlign w:val="center"/>
            <w:hideMark/>
          </w:tcPr>
          <w:p w14:paraId="70BD4099"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En attente de validation</w:t>
            </w:r>
          </w:p>
        </w:tc>
        <w:tc>
          <w:tcPr>
            <w:tcW w:w="262" w:type="pct"/>
            <w:tcBorders>
              <w:top w:val="nil"/>
              <w:left w:val="nil"/>
              <w:bottom w:val="single" w:sz="4" w:space="0" w:color="auto"/>
              <w:right w:val="single" w:sz="4" w:space="0" w:color="auto"/>
            </w:tcBorders>
            <w:shd w:val="clear" w:color="auto" w:fill="auto"/>
            <w:vAlign w:val="center"/>
            <w:hideMark/>
          </w:tcPr>
          <w:p w14:paraId="27642B50"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2013</w:t>
            </w:r>
          </w:p>
        </w:tc>
        <w:tc>
          <w:tcPr>
            <w:tcW w:w="677" w:type="pct"/>
            <w:tcBorders>
              <w:top w:val="nil"/>
              <w:left w:val="nil"/>
              <w:bottom w:val="single" w:sz="4" w:space="0" w:color="auto"/>
              <w:right w:val="single" w:sz="4" w:space="0" w:color="auto"/>
            </w:tcBorders>
            <w:shd w:val="clear" w:color="auto" w:fill="auto"/>
            <w:vAlign w:val="center"/>
            <w:hideMark/>
          </w:tcPr>
          <w:p w14:paraId="48DE6E1C"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IBI DAA</w:t>
            </w:r>
          </w:p>
        </w:tc>
        <w:tc>
          <w:tcPr>
            <w:tcW w:w="443" w:type="pct"/>
            <w:tcBorders>
              <w:top w:val="nil"/>
              <w:left w:val="nil"/>
              <w:bottom w:val="single" w:sz="4" w:space="0" w:color="auto"/>
              <w:right w:val="single" w:sz="4" w:space="0" w:color="auto"/>
            </w:tcBorders>
            <w:shd w:val="clear" w:color="auto" w:fill="auto"/>
            <w:vAlign w:val="center"/>
            <w:hideMark/>
          </w:tcPr>
          <w:p w14:paraId="1832FE0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FRH (PARLOQ)</w:t>
            </w:r>
          </w:p>
        </w:tc>
      </w:tr>
      <w:tr w:rsidR="003F6057" w:rsidRPr="003F6057" w14:paraId="5BE4F3A1" w14:textId="77777777" w:rsidTr="0041633D">
        <w:trPr>
          <w:trHeight w:val="1275"/>
        </w:trPr>
        <w:tc>
          <w:tcPr>
            <w:tcW w:w="268" w:type="pct"/>
            <w:vMerge/>
            <w:tcBorders>
              <w:top w:val="single" w:sz="4" w:space="0" w:color="auto"/>
              <w:left w:val="single" w:sz="4" w:space="0" w:color="auto"/>
              <w:bottom w:val="single" w:sz="4" w:space="0" w:color="auto"/>
              <w:right w:val="single" w:sz="4" w:space="0" w:color="auto"/>
            </w:tcBorders>
            <w:vAlign w:val="center"/>
            <w:hideMark/>
          </w:tcPr>
          <w:p w14:paraId="39066C06" w14:textId="77777777" w:rsidR="003F6057" w:rsidRPr="003F6057" w:rsidRDefault="003F6057" w:rsidP="003F6057">
            <w:pPr>
              <w:spacing w:before="0"/>
              <w:jc w:val="left"/>
              <w:rPr>
                <w:rFonts w:ascii="Calibri" w:hAnsi="Calibri"/>
                <w:color w:val="000000"/>
                <w:sz w:val="20"/>
              </w:rPr>
            </w:pPr>
          </w:p>
        </w:tc>
        <w:tc>
          <w:tcPr>
            <w:tcW w:w="1210" w:type="pct"/>
            <w:tcBorders>
              <w:top w:val="nil"/>
              <w:left w:val="nil"/>
              <w:bottom w:val="single" w:sz="4" w:space="0" w:color="auto"/>
              <w:right w:val="single" w:sz="4" w:space="0" w:color="auto"/>
            </w:tcBorders>
            <w:shd w:val="clear" w:color="000000" w:fill="FFFFFF"/>
            <w:vAlign w:val="center"/>
            <w:hideMark/>
          </w:tcPr>
          <w:p w14:paraId="466B02E9" w14:textId="77777777" w:rsidR="003F6057" w:rsidRPr="003F6057" w:rsidRDefault="003F6057" w:rsidP="003F6057">
            <w:pPr>
              <w:spacing w:before="0"/>
              <w:jc w:val="left"/>
              <w:rPr>
                <w:rFonts w:ascii="Calibri" w:hAnsi="Calibri"/>
                <w:color w:val="000000"/>
                <w:sz w:val="20"/>
              </w:rPr>
            </w:pPr>
            <w:r w:rsidRPr="003F6057">
              <w:rPr>
                <w:rFonts w:ascii="Calibri" w:hAnsi="Calibri"/>
                <w:color w:val="000000"/>
                <w:sz w:val="20"/>
              </w:rPr>
              <w:t>Cap-Haïtien</w:t>
            </w:r>
          </w:p>
        </w:tc>
        <w:tc>
          <w:tcPr>
            <w:tcW w:w="971" w:type="pct"/>
            <w:tcBorders>
              <w:top w:val="nil"/>
              <w:left w:val="nil"/>
              <w:bottom w:val="single" w:sz="4" w:space="0" w:color="auto"/>
              <w:right w:val="single" w:sz="4" w:space="0" w:color="auto"/>
            </w:tcBorders>
            <w:shd w:val="clear" w:color="000000" w:fill="FFFFFF"/>
            <w:vAlign w:val="center"/>
            <w:hideMark/>
          </w:tcPr>
          <w:p w14:paraId="125B9198"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Cap-Haitien</w:t>
            </w:r>
          </w:p>
        </w:tc>
        <w:tc>
          <w:tcPr>
            <w:tcW w:w="766" w:type="pct"/>
            <w:tcBorders>
              <w:top w:val="nil"/>
              <w:left w:val="nil"/>
              <w:bottom w:val="single" w:sz="4" w:space="0" w:color="auto"/>
              <w:right w:val="single" w:sz="4" w:space="0" w:color="auto"/>
            </w:tcBorders>
            <w:shd w:val="clear" w:color="auto" w:fill="auto"/>
            <w:vAlign w:val="center"/>
            <w:hideMark/>
          </w:tcPr>
          <w:p w14:paraId="5DED2BBD" w14:textId="77777777" w:rsidR="003F6057" w:rsidRPr="003F6057" w:rsidRDefault="003F6057" w:rsidP="003F6057">
            <w:pPr>
              <w:spacing w:before="0"/>
              <w:rPr>
                <w:rFonts w:ascii="Calibri" w:hAnsi="Calibri"/>
                <w:color w:val="000000"/>
                <w:sz w:val="20"/>
                <w:lang w:val="en-IE"/>
              </w:rPr>
            </w:pPr>
            <w:r w:rsidRPr="003F6057">
              <w:rPr>
                <w:rFonts w:ascii="Calibri" w:hAnsi="Calibri"/>
                <w:color w:val="000000"/>
                <w:sz w:val="20"/>
                <w:lang w:val="en-IE"/>
              </w:rPr>
              <w:t>Urban and Infrastructure Development Plan</w:t>
            </w:r>
          </w:p>
        </w:tc>
        <w:tc>
          <w:tcPr>
            <w:tcW w:w="402" w:type="pct"/>
            <w:tcBorders>
              <w:top w:val="nil"/>
              <w:left w:val="nil"/>
              <w:bottom w:val="single" w:sz="4" w:space="0" w:color="auto"/>
              <w:right w:val="single" w:sz="4" w:space="0" w:color="auto"/>
            </w:tcBorders>
            <w:shd w:val="clear" w:color="auto" w:fill="auto"/>
            <w:vAlign w:val="center"/>
            <w:hideMark/>
          </w:tcPr>
          <w:p w14:paraId="6EB3E25A"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En cours de réalisation</w:t>
            </w:r>
          </w:p>
        </w:tc>
        <w:tc>
          <w:tcPr>
            <w:tcW w:w="262" w:type="pct"/>
            <w:tcBorders>
              <w:top w:val="nil"/>
              <w:left w:val="nil"/>
              <w:bottom w:val="single" w:sz="4" w:space="0" w:color="auto"/>
              <w:right w:val="single" w:sz="4" w:space="0" w:color="auto"/>
            </w:tcBorders>
            <w:shd w:val="clear" w:color="auto" w:fill="auto"/>
            <w:vAlign w:val="center"/>
            <w:hideMark/>
          </w:tcPr>
          <w:p w14:paraId="05FF77BB"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2016</w:t>
            </w:r>
          </w:p>
        </w:tc>
        <w:tc>
          <w:tcPr>
            <w:tcW w:w="677" w:type="pct"/>
            <w:tcBorders>
              <w:top w:val="nil"/>
              <w:left w:val="nil"/>
              <w:bottom w:val="single" w:sz="4" w:space="0" w:color="auto"/>
              <w:right w:val="single" w:sz="4" w:space="0" w:color="auto"/>
            </w:tcBorders>
            <w:shd w:val="clear" w:color="auto" w:fill="auto"/>
            <w:vAlign w:val="center"/>
            <w:hideMark/>
          </w:tcPr>
          <w:p w14:paraId="34A0FD1A"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Consortium Genser / AC&amp;A / HR&amp;A / Global Communities</w:t>
            </w:r>
          </w:p>
        </w:tc>
        <w:tc>
          <w:tcPr>
            <w:tcW w:w="443" w:type="pct"/>
            <w:tcBorders>
              <w:top w:val="nil"/>
              <w:left w:val="nil"/>
              <w:bottom w:val="single" w:sz="4" w:space="0" w:color="auto"/>
              <w:right w:val="single" w:sz="4" w:space="0" w:color="auto"/>
            </w:tcBorders>
            <w:shd w:val="clear" w:color="auto" w:fill="auto"/>
            <w:vAlign w:val="center"/>
            <w:hideMark/>
          </w:tcPr>
          <w:p w14:paraId="1F1AA2D1"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BID (ESCI)</w:t>
            </w:r>
          </w:p>
        </w:tc>
      </w:tr>
      <w:tr w:rsidR="003F6057" w:rsidRPr="003F6057" w14:paraId="5AEF455D" w14:textId="77777777" w:rsidTr="0041633D">
        <w:trPr>
          <w:trHeight w:val="1530"/>
        </w:trPr>
        <w:tc>
          <w:tcPr>
            <w:tcW w:w="268" w:type="pct"/>
            <w:vMerge/>
            <w:tcBorders>
              <w:top w:val="single" w:sz="4" w:space="0" w:color="auto"/>
              <w:left w:val="single" w:sz="4" w:space="0" w:color="auto"/>
              <w:bottom w:val="single" w:sz="4" w:space="0" w:color="auto"/>
              <w:right w:val="single" w:sz="4" w:space="0" w:color="auto"/>
            </w:tcBorders>
            <w:vAlign w:val="center"/>
            <w:hideMark/>
          </w:tcPr>
          <w:p w14:paraId="7963612B" w14:textId="77777777" w:rsidR="003F6057" w:rsidRPr="003F6057" w:rsidRDefault="003F6057" w:rsidP="003F6057">
            <w:pPr>
              <w:spacing w:before="0"/>
              <w:jc w:val="left"/>
              <w:rPr>
                <w:rFonts w:ascii="Calibri" w:hAnsi="Calibri"/>
                <w:color w:val="000000"/>
                <w:sz w:val="20"/>
              </w:rPr>
            </w:pPr>
          </w:p>
        </w:tc>
        <w:tc>
          <w:tcPr>
            <w:tcW w:w="1210" w:type="pct"/>
            <w:tcBorders>
              <w:top w:val="nil"/>
              <w:left w:val="nil"/>
              <w:bottom w:val="single" w:sz="4" w:space="0" w:color="auto"/>
              <w:right w:val="single" w:sz="4" w:space="0" w:color="auto"/>
            </w:tcBorders>
            <w:shd w:val="clear" w:color="auto" w:fill="auto"/>
            <w:vAlign w:val="center"/>
            <w:hideMark/>
          </w:tcPr>
          <w:p w14:paraId="7493AE39"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Saint-Raphaël</w:t>
            </w:r>
          </w:p>
        </w:tc>
        <w:tc>
          <w:tcPr>
            <w:tcW w:w="971" w:type="pct"/>
            <w:tcBorders>
              <w:top w:val="nil"/>
              <w:left w:val="nil"/>
              <w:bottom w:val="single" w:sz="4" w:space="0" w:color="auto"/>
              <w:right w:val="single" w:sz="4" w:space="0" w:color="auto"/>
            </w:tcBorders>
            <w:shd w:val="clear" w:color="auto" w:fill="auto"/>
            <w:vAlign w:val="center"/>
            <w:hideMark/>
          </w:tcPr>
          <w:p w14:paraId="608FA76F"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Saint-Raphaël</w:t>
            </w:r>
          </w:p>
        </w:tc>
        <w:tc>
          <w:tcPr>
            <w:tcW w:w="766" w:type="pct"/>
            <w:tcBorders>
              <w:top w:val="nil"/>
              <w:left w:val="nil"/>
              <w:bottom w:val="single" w:sz="4" w:space="0" w:color="auto"/>
              <w:right w:val="single" w:sz="4" w:space="0" w:color="auto"/>
            </w:tcBorders>
            <w:shd w:val="clear" w:color="auto" w:fill="auto"/>
            <w:vAlign w:val="center"/>
            <w:hideMark/>
          </w:tcPr>
          <w:p w14:paraId="0217285E" w14:textId="77777777" w:rsidR="003F6057" w:rsidRPr="003F6057" w:rsidRDefault="003F6057" w:rsidP="003F6057">
            <w:pPr>
              <w:spacing w:before="0"/>
              <w:rPr>
                <w:rFonts w:ascii="Calibri" w:hAnsi="Calibri"/>
                <w:color w:val="000000"/>
                <w:sz w:val="20"/>
              </w:rPr>
            </w:pPr>
            <w:r w:rsidRPr="003F6057">
              <w:rPr>
                <w:rFonts w:ascii="Calibri" w:hAnsi="Calibri"/>
                <w:color w:val="000000"/>
                <w:sz w:val="20"/>
              </w:rPr>
              <w:t>Plan d’Aménagement, d’Embellissement et d’Extension de la Ville (PAEEV) + Plan programme pluriannuel d’investissement</w:t>
            </w:r>
          </w:p>
        </w:tc>
        <w:tc>
          <w:tcPr>
            <w:tcW w:w="402" w:type="pct"/>
            <w:tcBorders>
              <w:top w:val="nil"/>
              <w:left w:val="nil"/>
              <w:bottom w:val="single" w:sz="4" w:space="0" w:color="auto"/>
              <w:right w:val="single" w:sz="4" w:space="0" w:color="auto"/>
            </w:tcBorders>
            <w:shd w:val="clear" w:color="auto" w:fill="auto"/>
            <w:vAlign w:val="center"/>
            <w:hideMark/>
          </w:tcPr>
          <w:p w14:paraId="4D7445DC"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Marché en cours d'attribution</w:t>
            </w:r>
          </w:p>
        </w:tc>
        <w:tc>
          <w:tcPr>
            <w:tcW w:w="262" w:type="pct"/>
            <w:tcBorders>
              <w:top w:val="nil"/>
              <w:left w:val="nil"/>
              <w:bottom w:val="single" w:sz="4" w:space="0" w:color="auto"/>
              <w:right w:val="single" w:sz="4" w:space="0" w:color="auto"/>
            </w:tcBorders>
            <w:shd w:val="clear" w:color="auto" w:fill="auto"/>
            <w:vAlign w:val="center"/>
            <w:hideMark/>
          </w:tcPr>
          <w:p w14:paraId="00A8ED1C"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2016</w:t>
            </w:r>
          </w:p>
        </w:tc>
        <w:tc>
          <w:tcPr>
            <w:tcW w:w="677" w:type="pct"/>
            <w:tcBorders>
              <w:top w:val="nil"/>
              <w:left w:val="nil"/>
              <w:bottom w:val="single" w:sz="4" w:space="0" w:color="auto"/>
              <w:right w:val="single" w:sz="4" w:space="0" w:color="auto"/>
            </w:tcBorders>
            <w:shd w:val="clear" w:color="auto" w:fill="auto"/>
            <w:vAlign w:val="center"/>
            <w:hideMark/>
          </w:tcPr>
          <w:p w14:paraId="6B9CE9AA"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w:t>
            </w:r>
          </w:p>
        </w:tc>
        <w:tc>
          <w:tcPr>
            <w:tcW w:w="443" w:type="pct"/>
            <w:tcBorders>
              <w:top w:val="nil"/>
              <w:left w:val="nil"/>
              <w:bottom w:val="single" w:sz="4" w:space="0" w:color="auto"/>
              <w:right w:val="single" w:sz="4" w:space="0" w:color="auto"/>
            </w:tcBorders>
            <w:shd w:val="clear" w:color="auto" w:fill="auto"/>
            <w:vAlign w:val="center"/>
            <w:hideMark/>
          </w:tcPr>
          <w:p w14:paraId="7DBD1C2F" w14:textId="77777777" w:rsidR="003F6057" w:rsidRPr="003F6057" w:rsidRDefault="003F6057" w:rsidP="003F6057">
            <w:pPr>
              <w:spacing w:before="0"/>
              <w:jc w:val="center"/>
              <w:rPr>
                <w:rFonts w:ascii="Calibri" w:hAnsi="Calibri"/>
                <w:color w:val="000000"/>
                <w:sz w:val="20"/>
              </w:rPr>
            </w:pPr>
            <w:r w:rsidRPr="003F6057">
              <w:rPr>
                <w:rFonts w:ascii="Calibri" w:hAnsi="Calibri"/>
                <w:color w:val="000000"/>
                <w:sz w:val="20"/>
              </w:rPr>
              <w:t>Banque Mondiale</w:t>
            </w:r>
          </w:p>
        </w:tc>
      </w:tr>
    </w:tbl>
    <w:p w14:paraId="51706070" w14:textId="77777777" w:rsidR="003F6057" w:rsidRDefault="003F6057" w:rsidP="0041633D"/>
    <w:p w14:paraId="56D9ED6E" w14:textId="13A2E84F" w:rsidR="0041633D" w:rsidRDefault="0041633D" w:rsidP="0041633D">
      <w:r>
        <w:t>Les cellules en rouge concernent des documents d’urbanisme que pourraient également suivre le SPU, mais qui ne sont pas spécifiquement des schémas d’aménagement tel qu’entendu dans le cadre du PARAQ. Le fichier Excel sera également transmis au SPU pour futur utilisation.</w:t>
      </w:r>
    </w:p>
    <w:p w14:paraId="01766ECE" w14:textId="77777777" w:rsidR="0041633D" w:rsidRDefault="0041633D" w:rsidP="00607A57">
      <w:pPr>
        <w:jc w:val="center"/>
      </w:pPr>
    </w:p>
    <w:p w14:paraId="5C9F72A1" w14:textId="77777777" w:rsidR="003F6057" w:rsidRDefault="003F6057" w:rsidP="00607A57">
      <w:pPr>
        <w:jc w:val="center"/>
        <w:sectPr w:rsidR="003F6057" w:rsidSect="00607A57">
          <w:footerReference w:type="default" r:id="rId22"/>
          <w:pgSz w:w="16838" w:h="11906" w:orient="landscape"/>
          <w:pgMar w:top="1417" w:right="1417" w:bottom="1417" w:left="1417" w:header="708" w:footer="708" w:gutter="0"/>
          <w:cols w:space="708"/>
          <w:docGrid w:linePitch="360"/>
        </w:sectPr>
      </w:pPr>
    </w:p>
    <w:p w14:paraId="6E71192D" w14:textId="0A7A32F9" w:rsidR="00E53E6F" w:rsidRDefault="00E53E6F" w:rsidP="00E53E6F">
      <w:pPr>
        <w:pStyle w:val="Heading4"/>
        <w:numPr>
          <w:ilvl w:val="3"/>
          <w:numId w:val="45"/>
        </w:numPr>
      </w:pPr>
      <w:r>
        <w:t>O</w:t>
      </w:r>
      <w:r w:rsidR="00141653">
        <w:t>4</w:t>
      </w:r>
      <w:r>
        <w:t xml:space="preserve"> : </w:t>
      </w:r>
      <w:r w:rsidR="00141653">
        <w:t>Document de suivi de la conception des schémas d’aménagement</w:t>
      </w:r>
    </w:p>
    <w:p w14:paraId="7435F394" w14:textId="207E7707" w:rsidR="00607A57" w:rsidRPr="00615D4B" w:rsidRDefault="0041633D" w:rsidP="00607A57">
      <w:r>
        <w:t xml:space="preserve">Cependant, </w:t>
      </w:r>
      <w:r w:rsidR="007F10E5">
        <w:t>ce</w:t>
      </w:r>
      <w:r w:rsidR="00607A57" w:rsidRPr="00615D4B">
        <w:t xml:space="preserve"> listing en cet état </w:t>
      </w:r>
      <w:r w:rsidR="007F10E5" w:rsidRPr="007F10E5">
        <w:t>état apporte une information brute</w:t>
      </w:r>
      <w:r w:rsidR="00607A57" w:rsidRPr="00615D4B">
        <w:t>. Afin d’en faire un véritable outil de suivi nous proposons que le SPU puisse</w:t>
      </w:r>
      <w:r w:rsidR="007F10E5">
        <w:t xml:space="preserve"> le</w:t>
      </w:r>
      <w:r w:rsidR="00607A57" w:rsidRPr="00615D4B">
        <w:t xml:space="preserve"> transformer </w:t>
      </w:r>
      <w:r w:rsidR="007F10E5">
        <w:t>sous un</w:t>
      </w:r>
      <w:r w:rsidR="00607A57" w:rsidRPr="00615D4B">
        <w:t xml:space="preserve"> format </w:t>
      </w:r>
      <w:r w:rsidR="007F10E5" w:rsidRPr="00615D4B">
        <w:t>plus complet</w:t>
      </w:r>
      <w:r w:rsidR="007F10E5">
        <w:t xml:space="preserve"> proposé à la</w:t>
      </w:r>
      <w:r w:rsidR="00607A57" w:rsidRPr="00615D4B">
        <w:t xml:space="preserve"> </w:t>
      </w:r>
      <w:r w:rsidR="00607A57" w:rsidRPr="00615D4B">
        <w:fldChar w:fldCharType="begin"/>
      </w:r>
      <w:r w:rsidR="00607A57" w:rsidRPr="00615D4B">
        <w:instrText xml:space="preserve"> REF _Ref462133299 \h </w:instrText>
      </w:r>
      <w:r w:rsidR="00607A57" w:rsidRPr="00615D4B">
        <w:fldChar w:fldCharType="separate"/>
      </w:r>
      <w:r w:rsidR="00607A57" w:rsidRPr="00615D4B">
        <w:t xml:space="preserve">Figure </w:t>
      </w:r>
      <w:r w:rsidR="00607A57" w:rsidRPr="00615D4B">
        <w:rPr>
          <w:noProof/>
        </w:rPr>
        <w:t>5</w:t>
      </w:r>
      <w:r w:rsidR="00607A57" w:rsidRPr="00615D4B">
        <w:fldChar w:fldCharType="end"/>
      </w:r>
      <w:r w:rsidR="00607A57" w:rsidRPr="00615D4B">
        <w:t xml:space="preserve">. Les informations supplémentaires collectées permettent de se faire une idée plus précise </w:t>
      </w:r>
      <w:r w:rsidR="007F10E5">
        <w:t>des</w:t>
      </w:r>
      <w:r w:rsidR="00607A57" w:rsidRPr="00615D4B">
        <w:t xml:space="preserve"> document</w:t>
      </w:r>
      <w:r w:rsidR="007F10E5">
        <w:t>s</w:t>
      </w:r>
      <w:r w:rsidR="00607A57" w:rsidRPr="00615D4B">
        <w:t xml:space="preserve"> et </w:t>
      </w:r>
      <w:r w:rsidR="007F10E5">
        <w:t>incitent</w:t>
      </w:r>
      <w:r w:rsidR="00607A57" w:rsidRPr="00615D4B">
        <w:t xml:space="preserve"> </w:t>
      </w:r>
      <w:r w:rsidR="007F10E5">
        <w:t>le</w:t>
      </w:r>
      <w:r w:rsidR="00607A57" w:rsidRPr="00615D4B">
        <w:t xml:space="preserve"> SPU </w:t>
      </w:r>
      <w:r w:rsidR="007F10E5">
        <w:t>à</w:t>
      </w:r>
      <w:r w:rsidR="00607A57" w:rsidRPr="00615D4B">
        <w:t xml:space="preserve"> s’informer (= lire) sur </w:t>
      </w:r>
      <w:r w:rsidR="00965F1B">
        <w:t>les schémas d’aménagement</w:t>
      </w:r>
      <w:r w:rsidR="00607A57" w:rsidRPr="00615D4B">
        <w:t xml:space="preserve"> produit à ce jour. </w:t>
      </w:r>
    </w:p>
    <w:p w14:paraId="1812FD9B" w14:textId="53BADD65" w:rsidR="00965F1B" w:rsidRDefault="00607A57" w:rsidP="00607A57">
      <w:r w:rsidRPr="00615D4B">
        <w:t xml:space="preserve">Ce travail </w:t>
      </w:r>
      <w:r w:rsidR="007F10E5" w:rsidRPr="007F10E5">
        <w:t xml:space="preserve">demande de la patience et de la persévérance </w:t>
      </w:r>
      <w:r w:rsidRPr="00615D4B">
        <w:t xml:space="preserve">mais permettra au SPU, de se familiariser avec les approches et de petit à petit de se faire un référentiel quant à la qualité des documents produits. </w:t>
      </w:r>
      <w:r w:rsidR="00965F1B">
        <w:t>La production de fiches projet harmonisées dans le corps du schéma d’aménagement, et composées des informations nécessaires pour compléter ce fichier seraient un vrai plus. Les opérateurs pourraient être orientés dans ce sens dès l’appel à proposition, puis lors de la présentation du schéma d’aménagement au Comité technique (vérification que les informations demandées dans le fichier de suivi sont bien présentes dans le document).</w:t>
      </w:r>
    </w:p>
    <w:p w14:paraId="54CE5EA3" w14:textId="7566B82E" w:rsidR="00607A57" w:rsidRDefault="00607A57" w:rsidP="00607A57">
      <w:r w:rsidRPr="00615D4B">
        <w:t>Au fur et à mesure des lectures, le SPU sera également renforcé dans sa légitimité à intervenir, à conseiller, ou bien encore encadrer la production de tels documents. Un cadrage  plus précis des taches pourra être établi lorsque que  la méthodologie de planification sera</w:t>
      </w:r>
      <w:r w:rsidR="00965F1B">
        <w:t xml:space="preserve"> mieux définie collectivement. </w:t>
      </w:r>
      <w:r w:rsidRPr="00615D4B">
        <w:t>C’est l’objet de la troisième commande du PAIFU, non réalisée pour l’instant  qui pourra être par ailleurs  croisée avec la capitalisation de la formation AGIR PAIFU</w:t>
      </w:r>
      <w:r>
        <w:t>. Il conviendrait de le coupler à un coaching / une formation permettant au SPU d’appréhender la théorie de ces mécanismes.</w:t>
      </w:r>
    </w:p>
    <w:tbl>
      <w:tblPr>
        <w:tblStyle w:val="TableGrid"/>
        <w:tblW w:w="0" w:type="auto"/>
        <w:tblInd w:w="817" w:type="dxa"/>
        <w:tblLook w:val="04A0" w:firstRow="1" w:lastRow="0" w:firstColumn="1" w:lastColumn="0" w:noHBand="0" w:noVBand="1"/>
      </w:tblPr>
      <w:tblGrid>
        <w:gridCol w:w="7655"/>
      </w:tblGrid>
      <w:tr w:rsidR="00607A57" w14:paraId="17B7C191" w14:textId="77777777" w:rsidTr="00F927A2">
        <w:tc>
          <w:tcPr>
            <w:tcW w:w="7655" w:type="dxa"/>
            <w:shd w:val="clear" w:color="auto" w:fill="F3F7FB"/>
          </w:tcPr>
          <w:p w14:paraId="0C118662" w14:textId="77777777" w:rsidR="00607A57" w:rsidRPr="00615D4B" w:rsidRDefault="00607A57" w:rsidP="00607A57">
            <w:r w:rsidRPr="00615D4B">
              <w:t>Le programme de formation du PAIFU me</w:t>
            </w:r>
            <w:r>
              <w:t xml:space="preserve">né par l’association AGIR abcd </w:t>
            </w:r>
            <w:r w:rsidRPr="00615D4B">
              <w:t>s’adresse à 28 participants cadres et techniciens agissant au niveau central ou local dans le développement urbain. Il a débuté en octobre 2015 et doit se terminer en fin 2016. La détermination</w:t>
            </w:r>
            <w:r>
              <w:t xml:space="preserve"> d’une démarche </w:t>
            </w:r>
            <w:r w:rsidRPr="00615D4B">
              <w:t xml:space="preserve">de planification urbaine occupe une place centrale dans la trame de la formation. Des éléments de méthode ont été exposés lors d’une restitution intermédiaire du programme en juin 2016 : </w:t>
            </w:r>
          </w:p>
          <w:p w14:paraId="697051E8" w14:textId="70E63B7A" w:rsidR="00607A57" w:rsidRPr="00965F1B" w:rsidRDefault="00430A25" w:rsidP="00607A57">
            <w:pPr>
              <w:rPr>
                <w:i/>
                <w:sz w:val="20"/>
              </w:rPr>
            </w:pPr>
            <w:r w:rsidRPr="00965F1B">
              <w:rPr>
                <w:i/>
                <w:sz w:val="20"/>
              </w:rPr>
              <w:t>«</w:t>
            </w:r>
            <w:r w:rsidR="00607A57" w:rsidRPr="00965F1B">
              <w:rPr>
                <w:i/>
                <w:sz w:val="20"/>
              </w:rPr>
              <w:t xml:space="preserve"> Quels sont les besoins de planifier ? Trop souvent les documents de planification restent scellés dans un bureau. … Personne n’y a accès et les dispositions qu’ils préconisent ne sont pas appliquées alors que la fonction première d’un document de planification est sa diffusion […] Ce n’est pas le document en soit qui est l’essentiel, mais la démarche qui conduit à sa réalisation […] On peut remarquer que certaines pratiques sont incompatibles avec une localisation en milieu urbain, que pour d’autres pratiques, c’est la manière de les effectuer qui manque de discipline ou d’adaptation au milieu urbain et certaines sont inattendues mais astucieuses. Les pratiques si on prend le temps de les documenter et de les observer, peuvent être ainsi traitées suivant trois types de préconisations : à éradiquer, à discipliner, à promouvoir</w:t>
            </w:r>
            <w:r w:rsidRPr="00965F1B">
              <w:rPr>
                <w:i/>
                <w:sz w:val="20"/>
              </w:rPr>
              <w:t xml:space="preserve"> </w:t>
            </w:r>
            <w:r w:rsidR="00607A57" w:rsidRPr="00965F1B">
              <w:rPr>
                <w:i/>
                <w:sz w:val="20"/>
              </w:rPr>
              <w:t>»</w:t>
            </w:r>
            <w:r w:rsidRPr="00965F1B">
              <w:rPr>
                <w:i/>
                <w:sz w:val="20"/>
              </w:rPr>
              <w:t>.</w:t>
            </w:r>
          </w:p>
          <w:p w14:paraId="15033169" w14:textId="77777777" w:rsidR="00607A57" w:rsidRPr="00965F1B" w:rsidRDefault="00607A57" w:rsidP="00607A57">
            <w:pPr>
              <w:rPr>
                <w:i/>
                <w:sz w:val="20"/>
              </w:rPr>
            </w:pPr>
            <w:r w:rsidRPr="00965F1B">
              <w:rPr>
                <w:i/>
                <w:sz w:val="20"/>
              </w:rPr>
              <w:t xml:space="preserve">Extrait du compte rendu de la session 6 de la formation PAIFU AGIR abcd. </w:t>
            </w:r>
          </w:p>
          <w:p w14:paraId="53CDC2D2" w14:textId="2C9B7E8D" w:rsidR="00607A57" w:rsidRDefault="00607A57" w:rsidP="00607A57">
            <w:r w:rsidRPr="00615D4B">
              <w:t>L’application d’une démarche fondée sur une explication du besoin de planifier est en cours. Il encore trop tôt pour en tirer des conclusions car cette démarche doit aussi être ex</w:t>
            </w:r>
            <w:r>
              <w:t>périmentée en situation réelle.</w:t>
            </w:r>
            <w:r w:rsidRPr="00615D4B">
              <w:t xml:space="preserve"> C’est l’objet des sessions de formatio</w:t>
            </w:r>
            <w:r>
              <w:t>n des sessions de septembre et novembre 2016 dans lesquelles u</w:t>
            </w:r>
            <w:r w:rsidRPr="00615D4B">
              <w:t>n temps de réflexion sera ménagé au terme de la formation pour la production d’un fascicule de capitalisation. Les éléments de capitalisation, associés au</w:t>
            </w:r>
            <w:r>
              <w:t>x travaux sur le cadrage méthodologique</w:t>
            </w:r>
            <w:r w:rsidRPr="00615D4B">
              <w:t xml:space="preserve"> en planif</w:t>
            </w:r>
            <w:r>
              <w:t xml:space="preserve">ication urbaine </w:t>
            </w:r>
            <w:r w:rsidRPr="00615D4B">
              <w:t>pourront ainsi se référer à des indications plus précises dans la conduite du proce</w:t>
            </w:r>
            <w:r w:rsidR="00965F1B">
              <w:t xml:space="preserve">ssus de planification urbaine. </w:t>
            </w:r>
          </w:p>
        </w:tc>
      </w:tr>
    </w:tbl>
    <w:p w14:paraId="5BAEDD33" w14:textId="6452C0B0" w:rsidR="00607A57" w:rsidRDefault="00607A57" w:rsidP="00607A57">
      <w:r>
        <w:t xml:space="preserve">La figure suivante présente le document dans son ensemble, et les paragraphes suivants décrivent chacune des zones. </w:t>
      </w:r>
    </w:p>
    <w:p w14:paraId="63EDC006" w14:textId="77777777" w:rsidR="0041633D" w:rsidRDefault="0041633D" w:rsidP="00607A57">
      <w:pPr>
        <w:sectPr w:rsidR="0041633D" w:rsidSect="003F6057">
          <w:pgSz w:w="11906" w:h="16838"/>
          <w:pgMar w:top="1417" w:right="1417" w:bottom="1417" w:left="1417" w:header="708" w:footer="708" w:gutter="0"/>
          <w:cols w:space="708"/>
          <w:docGrid w:linePitch="360"/>
        </w:sectPr>
      </w:pPr>
    </w:p>
    <w:p w14:paraId="618BDE0D" w14:textId="4EBC6E1D" w:rsidR="00965F1B" w:rsidRDefault="00A451B0" w:rsidP="00A451B0">
      <w:pPr>
        <w:pStyle w:val="Caption"/>
      </w:pPr>
      <w:bookmarkStart w:id="25" w:name="_Ref468129624"/>
      <w:r>
        <w:t xml:space="preserve">Figure </w:t>
      </w:r>
      <w:fldSimple w:instr=" SEQ Figure \* ARABIC ">
        <w:r w:rsidR="00995EB5">
          <w:rPr>
            <w:noProof/>
          </w:rPr>
          <w:t>7</w:t>
        </w:r>
      </w:fldSimple>
      <w:bookmarkEnd w:id="25"/>
      <w:r>
        <w:t> : Document de suivi de la conception des schémas d’aménagement</w:t>
      </w:r>
      <w:r w:rsidR="00E53E6F">
        <w:t xml:space="preserve"> - présentation générale</w:t>
      </w:r>
    </w:p>
    <w:p w14:paraId="7E95B3CC" w14:textId="07C1F09A" w:rsidR="00A451B0" w:rsidRDefault="000B2840" w:rsidP="00607A57">
      <w:r>
        <w:rPr>
          <w:noProof/>
        </w:rPr>
        <mc:AlternateContent>
          <mc:Choice Requires="wps">
            <w:drawing>
              <wp:anchor distT="0" distB="0" distL="114300" distR="114300" simplePos="0" relativeHeight="251681792" behindDoc="0" locked="0" layoutInCell="1" allowOverlap="1" wp14:anchorId="09297637" wp14:editId="6113AA6F">
                <wp:simplePos x="0" y="0"/>
                <wp:positionH relativeFrom="column">
                  <wp:posOffset>4900930</wp:posOffset>
                </wp:positionH>
                <wp:positionV relativeFrom="paragraph">
                  <wp:posOffset>445135</wp:posOffset>
                </wp:positionV>
                <wp:extent cx="914400" cy="504825"/>
                <wp:effectExtent l="0" t="0" r="12065" b="28575"/>
                <wp:wrapNone/>
                <wp:docPr id="23" name="Zone de texte 23"/>
                <wp:cNvGraphicFramePr/>
                <a:graphic xmlns:a="http://schemas.openxmlformats.org/drawingml/2006/main">
                  <a:graphicData uri="http://schemas.microsoft.com/office/word/2010/wordprocessingShape">
                    <wps:wsp>
                      <wps:cNvSpPr txBox="1"/>
                      <wps:spPr>
                        <a:xfrm>
                          <a:off x="0" y="0"/>
                          <a:ext cx="914400" cy="504825"/>
                        </a:xfrm>
                        <a:prstGeom prst="rect">
                          <a:avLst/>
                        </a:prstGeom>
                        <a:no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41C61E58" w14:textId="57A4DDD3" w:rsidR="007F10E5" w:rsidRPr="00A451B0" w:rsidRDefault="007F10E5" w:rsidP="00A451B0">
                            <w:pPr>
                              <w:rPr>
                                <w:b/>
                                <w:color w:val="C00000"/>
                                <w:sz w:val="40"/>
                                <w:szCs w:val="40"/>
                              </w:rPr>
                            </w:pPr>
                            <w:r>
                              <w:rPr>
                                <w:b/>
                                <w:color w:val="C00000"/>
                                <w:sz w:val="40"/>
                                <w:szCs w:val="40"/>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09297637" id="_x0000_t202" coordsize="21600,21600" o:spt="202" path="m,l,21600r21600,l21600,xe">
                <v:stroke joinstyle="miter"/>
                <v:path gradientshapeok="t" o:connecttype="rect"/>
              </v:shapetype>
              <v:shape id="Zone de texte 23" o:spid="_x0000_s1026" type="#_x0000_t202" style="position:absolute;left:0;text-align:left;margin-left:385.9pt;margin-top:35.05pt;width:1in;height:39.75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" filled="f" strokecolor="#c00000" strokeweight=".5pt">
                <v:textbox>
                  <w:txbxContent>
                    <w:p w14:paraId="41C61E58" w14:textId="57A4DDD3" w:rsidR="007F10E5" w:rsidRPr="00A451B0" w:rsidRDefault="007F10E5" w:rsidP="00A451B0">
                      <w:pPr>
                        <w:rPr>
                          <w:b/>
                          <w:color w:val="C00000"/>
                          <w:sz w:val="40"/>
                          <w:szCs w:val="40"/>
                        </w:rPr>
                      </w:pPr>
                      <w:r>
                        <w:rPr>
                          <w:b/>
                          <w:color w:val="C00000"/>
                          <w:sz w:val="40"/>
                          <w:szCs w:val="40"/>
                        </w:rPr>
                        <w:t>3</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240BE81" wp14:editId="761F8558">
                <wp:simplePos x="0" y="0"/>
                <wp:positionH relativeFrom="column">
                  <wp:posOffset>2929254</wp:posOffset>
                </wp:positionH>
                <wp:positionV relativeFrom="paragraph">
                  <wp:posOffset>26035</wp:posOffset>
                </wp:positionV>
                <wp:extent cx="4257675" cy="1242695"/>
                <wp:effectExtent l="0" t="0" r="28575" b="14605"/>
                <wp:wrapNone/>
                <wp:docPr id="17" name="Rectangle 17"/>
                <wp:cNvGraphicFramePr/>
                <a:graphic xmlns:a="http://schemas.openxmlformats.org/drawingml/2006/main">
                  <a:graphicData uri="http://schemas.microsoft.com/office/word/2010/wordprocessingShape">
                    <wps:wsp>
                      <wps:cNvSpPr/>
                      <wps:spPr>
                        <a:xfrm>
                          <a:off x="0" y="0"/>
                          <a:ext cx="4257675" cy="124269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FC3C5A3" id="Rectangle 17" o:spid="_x0000_s1026" style="position:absolute;margin-left:230.65pt;margin-top:2.05pt;width:335.25pt;height:97.8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" filled="f" strokecolor="#c00000" strokeweight="2pt"/>
            </w:pict>
          </mc:Fallback>
        </mc:AlternateContent>
      </w:r>
      <w:r w:rsidR="00A451B0">
        <w:rPr>
          <w:noProof/>
        </w:rPr>
        <mc:AlternateContent>
          <mc:Choice Requires="wps">
            <w:drawing>
              <wp:anchor distT="0" distB="0" distL="114300" distR="114300" simplePos="0" relativeHeight="251683840" behindDoc="0" locked="0" layoutInCell="1" allowOverlap="1" wp14:anchorId="0D15DB6E" wp14:editId="36380851">
                <wp:simplePos x="0" y="0"/>
                <wp:positionH relativeFrom="column">
                  <wp:posOffset>7863205</wp:posOffset>
                </wp:positionH>
                <wp:positionV relativeFrom="paragraph">
                  <wp:posOffset>445135</wp:posOffset>
                </wp:positionV>
                <wp:extent cx="914400" cy="504825"/>
                <wp:effectExtent l="0" t="0" r="12065" b="28575"/>
                <wp:wrapNone/>
                <wp:docPr id="24" name="Zone de texte 24"/>
                <wp:cNvGraphicFramePr/>
                <a:graphic xmlns:a="http://schemas.openxmlformats.org/drawingml/2006/main">
                  <a:graphicData uri="http://schemas.microsoft.com/office/word/2010/wordprocessingShape">
                    <wps:wsp>
                      <wps:cNvSpPr txBox="1"/>
                      <wps:spPr>
                        <a:xfrm>
                          <a:off x="0" y="0"/>
                          <a:ext cx="914400" cy="504825"/>
                        </a:xfrm>
                        <a:prstGeom prst="rect">
                          <a:avLst/>
                        </a:prstGeom>
                        <a:no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2C570882" w14:textId="01BCCD67" w:rsidR="007F10E5" w:rsidRPr="00A451B0" w:rsidRDefault="007F10E5" w:rsidP="00A451B0">
                            <w:pPr>
                              <w:rPr>
                                <w:b/>
                                <w:color w:val="C00000"/>
                                <w:sz w:val="40"/>
                                <w:szCs w:val="40"/>
                              </w:rPr>
                            </w:pPr>
                            <w:r>
                              <w:rPr>
                                <w:b/>
                                <w:color w:val="C00000"/>
                                <w:sz w:val="40"/>
                                <w:szCs w:val="40"/>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D15DB6E" id="Zone de texte 24" o:spid="_x0000_s1027" type="#_x0000_t202" style="position:absolute;left:0;text-align:left;margin-left:619.15pt;margin-top:35.05pt;width:1in;height:39.75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" filled="f" strokecolor="#c00000" strokeweight=".5pt">
                <v:textbox>
                  <w:txbxContent>
                    <w:p w14:paraId="2C570882" w14:textId="01BCCD67" w:rsidR="007F10E5" w:rsidRPr="00A451B0" w:rsidRDefault="007F10E5" w:rsidP="00A451B0">
                      <w:pPr>
                        <w:rPr>
                          <w:b/>
                          <w:color w:val="C00000"/>
                          <w:sz w:val="40"/>
                          <w:szCs w:val="40"/>
                        </w:rPr>
                      </w:pPr>
                      <w:r>
                        <w:rPr>
                          <w:b/>
                          <w:color w:val="C00000"/>
                          <w:sz w:val="40"/>
                          <w:szCs w:val="40"/>
                        </w:rPr>
                        <w:t>4</w:t>
                      </w:r>
                    </w:p>
                  </w:txbxContent>
                </v:textbox>
              </v:shape>
            </w:pict>
          </mc:Fallback>
        </mc:AlternateContent>
      </w:r>
      <w:r w:rsidR="00A451B0">
        <w:rPr>
          <w:noProof/>
        </w:rPr>
        <mc:AlternateContent>
          <mc:Choice Requires="wps">
            <w:drawing>
              <wp:anchor distT="0" distB="0" distL="114300" distR="114300" simplePos="0" relativeHeight="251679744" behindDoc="0" locked="0" layoutInCell="1" allowOverlap="1" wp14:anchorId="3AD22E98" wp14:editId="4CAFE773">
                <wp:simplePos x="0" y="0"/>
                <wp:positionH relativeFrom="column">
                  <wp:posOffset>2262505</wp:posOffset>
                </wp:positionH>
                <wp:positionV relativeFrom="paragraph">
                  <wp:posOffset>445135</wp:posOffset>
                </wp:positionV>
                <wp:extent cx="914400" cy="504825"/>
                <wp:effectExtent l="0" t="0" r="12065" b="28575"/>
                <wp:wrapNone/>
                <wp:docPr id="22" name="Zone de texte 22"/>
                <wp:cNvGraphicFramePr/>
                <a:graphic xmlns:a="http://schemas.openxmlformats.org/drawingml/2006/main">
                  <a:graphicData uri="http://schemas.microsoft.com/office/word/2010/wordprocessingShape">
                    <wps:wsp>
                      <wps:cNvSpPr txBox="1"/>
                      <wps:spPr>
                        <a:xfrm>
                          <a:off x="0" y="0"/>
                          <a:ext cx="914400" cy="504825"/>
                        </a:xfrm>
                        <a:prstGeom prst="rect">
                          <a:avLst/>
                        </a:prstGeom>
                        <a:no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18A553C1" w14:textId="7643BCAC" w:rsidR="007F10E5" w:rsidRPr="00A451B0" w:rsidRDefault="007F10E5" w:rsidP="00A451B0">
                            <w:pPr>
                              <w:rPr>
                                <w:b/>
                                <w:color w:val="C00000"/>
                                <w:sz w:val="40"/>
                                <w:szCs w:val="40"/>
                              </w:rPr>
                            </w:pPr>
                            <w:r>
                              <w:rPr>
                                <w:b/>
                                <w:color w:val="C00000"/>
                                <w:sz w:val="40"/>
                                <w:szCs w:val="40"/>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AD22E98" id="Zone de texte 22" o:spid="_x0000_s1028" type="#_x0000_t202" style="position:absolute;left:0;text-align:left;margin-left:178.15pt;margin-top:35.05pt;width:1in;height:39.7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" filled="f" strokecolor="#c00000" strokeweight=".5pt">
                <v:textbox>
                  <w:txbxContent>
                    <w:p w14:paraId="18A553C1" w14:textId="7643BCAC" w:rsidR="007F10E5" w:rsidRPr="00A451B0" w:rsidRDefault="007F10E5" w:rsidP="00A451B0">
                      <w:pPr>
                        <w:rPr>
                          <w:b/>
                          <w:color w:val="C00000"/>
                          <w:sz w:val="40"/>
                          <w:szCs w:val="40"/>
                        </w:rPr>
                      </w:pPr>
                      <w:r>
                        <w:rPr>
                          <w:b/>
                          <w:color w:val="C00000"/>
                          <w:sz w:val="40"/>
                          <w:szCs w:val="40"/>
                        </w:rPr>
                        <w:t>2</w:t>
                      </w:r>
                    </w:p>
                  </w:txbxContent>
                </v:textbox>
              </v:shape>
            </w:pict>
          </mc:Fallback>
        </mc:AlternateContent>
      </w:r>
      <w:r w:rsidR="00A451B0">
        <w:rPr>
          <w:noProof/>
        </w:rPr>
        <mc:AlternateContent>
          <mc:Choice Requires="wps">
            <w:drawing>
              <wp:anchor distT="0" distB="0" distL="114300" distR="114300" simplePos="0" relativeHeight="251677696" behindDoc="0" locked="0" layoutInCell="1" allowOverlap="1" wp14:anchorId="26E3C132" wp14:editId="186ED347">
                <wp:simplePos x="0" y="0"/>
                <wp:positionH relativeFrom="column">
                  <wp:posOffset>681355</wp:posOffset>
                </wp:positionH>
                <wp:positionV relativeFrom="paragraph">
                  <wp:posOffset>444500</wp:posOffset>
                </wp:positionV>
                <wp:extent cx="914400" cy="504825"/>
                <wp:effectExtent l="0" t="0" r="12065" b="28575"/>
                <wp:wrapNone/>
                <wp:docPr id="21" name="Zone de texte 21"/>
                <wp:cNvGraphicFramePr/>
                <a:graphic xmlns:a="http://schemas.openxmlformats.org/drawingml/2006/main">
                  <a:graphicData uri="http://schemas.microsoft.com/office/word/2010/wordprocessingShape">
                    <wps:wsp>
                      <wps:cNvSpPr txBox="1"/>
                      <wps:spPr>
                        <a:xfrm>
                          <a:off x="0" y="0"/>
                          <a:ext cx="914400" cy="504825"/>
                        </a:xfrm>
                        <a:prstGeom prst="rect">
                          <a:avLst/>
                        </a:prstGeom>
                        <a:no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4F876445" w14:textId="2D010654" w:rsidR="007F10E5" w:rsidRPr="00A451B0" w:rsidRDefault="007F10E5">
                            <w:pPr>
                              <w:rPr>
                                <w:b/>
                                <w:color w:val="C00000"/>
                                <w:sz w:val="40"/>
                                <w:szCs w:val="40"/>
                              </w:rPr>
                            </w:pPr>
                            <w:r w:rsidRPr="00A451B0">
                              <w:rPr>
                                <w:b/>
                                <w:color w:val="C00000"/>
                                <w:sz w:val="40"/>
                                <w:szCs w:val="40"/>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26E3C132" id="Zone de texte 21" o:spid="_x0000_s1029" type="#_x0000_t202" style="position:absolute;left:0;text-align:left;margin-left:53.65pt;margin-top:35pt;width:1in;height:39.75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" filled="f" strokecolor="#c00000" strokeweight=".5pt">
                <v:textbox>
                  <w:txbxContent>
                    <w:p w14:paraId="4F876445" w14:textId="2D010654" w:rsidR="007F10E5" w:rsidRPr="00A451B0" w:rsidRDefault="007F10E5">
                      <w:pPr>
                        <w:rPr>
                          <w:b/>
                          <w:color w:val="C00000"/>
                          <w:sz w:val="40"/>
                          <w:szCs w:val="40"/>
                        </w:rPr>
                      </w:pPr>
                      <w:r w:rsidRPr="00A451B0">
                        <w:rPr>
                          <w:b/>
                          <w:color w:val="C00000"/>
                          <w:sz w:val="40"/>
                          <w:szCs w:val="40"/>
                        </w:rPr>
                        <w:t>1</w:t>
                      </w:r>
                    </w:p>
                  </w:txbxContent>
                </v:textbox>
              </v:shape>
            </w:pict>
          </mc:Fallback>
        </mc:AlternateContent>
      </w:r>
      <w:r w:rsidR="00A451B0">
        <w:rPr>
          <w:noProof/>
        </w:rPr>
        <mc:AlternateContent>
          <mc:Choice Requires="wps">
            <w:drawing>
              <wp:anchor distT="0" distB="0" distL="114300" distR="114300" simplePos="0" relativeHeight="251676672" behindDoc="0" locked="0" layoutInCell="1" allowOverlap="1" wp14:anchorId="15B9D4E2" wp14:editId="135C3316">
                <wp:simplePos x="0" y="0"/>
                <wp:positionH relativeFrom="column">
                  <wp:posOffset>7186929</wp:posOffset>
                </wp:positionH>
                <wp:positionV relativeFrom="paragraph">
                  <wp:posOffset>26035</wp:posOffset>
                </wp:positionV>
                <wp:extent cx="1701165" cy="1242695"/>
                <wp:effectExtent l="0" t="0" r="13335" b="14605"/>
                <wp:wrapNone/>
                <wp:docPr id="20" name="Rectangle 20"/>
                <wp:cNvGraphicFramePr/>
                <a:graphic xmlns:a="http://schemas.openxmlformats.org/drawingml/2006/main">
                  <a:graphicData uri="http://schemas.microsoft.com/office/word/2010/wordprocessingShape">
                    <wps:wsp>
                      <wps:cNvSpPr/>
                      <wps:spPr>
                        <a:xfrm>
                          <a:off x="0" y="0"/>
                          <a:ext cx="1701165" cy="124269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67E8940E" id="Rectangle 20" o:spid="_x0000_s1026" style="position:absolute;margin-left:565.9pt;margin-top:2.05pt;width:133.95pt;height:97.8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" filled="f" strokecolor="#c00000" strokeweight="2pt"/>
            </w:pict>
          </mc:Fallback>
        </mc:AlternateContent>
      </w:r>
      <w:r w:rsidR="00A451B0">
        <w:rPr>
          <w:noProof/>
        </w:rPr>
        <mc:AlternateContent>
          <mc:Choice Requires="wps">
            <w:drawing>
              <wp:anchor distT="0" distB="0" distL="114300" distR="114300" simplePos="0" relativeHeight="251668480" behindDoc="0" locked="0" layoutInCell="1" allowOverlap="1" wp14:anchorId="74E0C910" wp14:editId="0C2740E1">
                <wp:simplePos x="0" y="0"/>
                <wp:positionH relativeFrom="column">
                  <wp:posOffset>1776731</wp:posOffset>
                </wp:positionH>
                <wp:positionV relativeFrom="paragraph">
                  <wp:posOffset>26035</wp:posOffset>
                </wp:positionV>
                <wp:extent cx="1143000" cy="1242695"/>
                <wp:effectExtent l="0" t="0" r="19050" b="14605"/>
                <wp:wrapNone/>
                <wp:docPr id="16" name="Rectangle 16"/>
                <wp:cNvGraphicFramePr/>
                <a:graphic xmlns:a="http://schemas.openxmlformats.org/drawingml/2006/main">
                  <a:graphicData uri="http://schemas.microsoft.com/office/word/2010/wordprocessingShape">
                    <wps:wsp>
                      <wps:cNvSpPr/>
                      <wps:spPr>
                        <a:xfrm>
                          <a:off x="0" y="0"/>
                          <a:ext cx="1143000" cy="124269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16AE968C" id="Rectangle 16" o:spid="_x0000_s1026" style="position:absolute;margin-left:139.9pt;margin-top:2.05pt;width:90pt;height:97.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" filled="f" strokecolor="#c00000" strokeweight="2pt"/>
            </w:pict>
          </mc:Fallback>
        </mc:AlternateContent>
      </w:r>
      <w:r w:rsidR="00A451B0">
        <w:rPr>
          <w:noProof/>
        </w:rPr>
        <mc:AlternateContent>
          <mc:Choice Requires="wps">
            <w:drawing>
              <wp:anchor distT="0" distB="0" distL="114300" distR="114300" simplePos="0" relativeHeight="251666432" behindDoc="0" locked="0" layoutInCell="1" allowOverlap="1" wp14:anchorId="0D75F2FB" wp14:editId="62F25888">
                <wp:simplePos x="0" y="0"/>
                <wp:positionH relativeFrom="column">
                  <wp:posOffset>-4445</wp:posOffset>
                </wp:positionH>
                <wp:positionV relativeFrom="paragraph">
                  <wp:posOffset>26035</wp:posOffset>
                </wp:positionV>
                <wp:extent cx="1800225" cy="1242695"/>
                <wp:effectExtent l="0" t="0" r="28575" b="14605"/>
                <wp:wrapNone/>
                <wp:docPr id="15" name="Rectangle 15"/>
                <wp:cNvGraphicFramePr/>
                <a:graphic xmlns:a="http://schemas.openxmlformats.org/drawingml/2006/main">
                  <a:graphicData uri="http://schemas.microsoft.com/office/word/2010/wordprocessingShape">
                    <wps:wsp>
                      <wps:cNvSpPr/>
                      <wps:spPr>
                        <a:xfrm>
                          <a:off x="0" y="0"/>
                          <a:ext cx="1800225" cy="124269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A932467" id="Rectangle 15" o:spid="_x0000_s1026" style="position:absolute;margin-left:-.35pt;margin-top:2.05pt;width:141.75pt;height:97.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" filled="f" strokecolor="#c00000" strokeweight="2pt"/>
            </w:pict>
          </mc:Fallback>
        </mc:AlternateContent>
      </w:r>
      <w:r w:rsidR="00A451B0" w:rsidRPr="00A451B0">
        <w:rPr>
          <w:noProof/>
        </w:rPr>
        <w:drawing>
          <wp:inline distT="0" distB="0" distL="0" distR="0" wp14:anchorId="07CF69FA" wp14:editId="712E85F6">
            <wp:extent cx="8892540" cy="1195437"/>
            <wp:effectExtent l="0" t="0" r="3810" b="508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92540" cy="1195437"/>
                    </a:xfrm>
                    <a:prstGeom prst="rect">
                      <a:avLst/>
                    </a:prstGeom>
                    <a:noFill/>
                    <a:ln>
                      <a:noFill/>
                    </a:ln>
                  </pic:spPr>
                </pic:pic>
              </a:graphicData>
            </a:graphic>
          </wp:inline>
        </w:drawing>
      </w:r>
    </w:p>
    <w:p w14:paraId="501F99E9" w14:textId="77777777" w:rsidR="00A451B0" w:rsidRDefault="00A451B0" w:rsidP="00607A57"/>
    <w:p w14:paraId="6F21C888" w14:textId="77C761C1" w:rsidR="00A451B0" w:rsidRDefault="00A451B0" w:rsidP="00607A57">
      <w:r>
        <w:t xml:space="preserve">Dans </w:t>
      </w:r>
      <w:r w:rsidR="00E33389">
        <w:t>le tableau ci-dessus, chaque ligne de la zone 1 correspond à 1 schéma d’aménagement. Il sera donc nécessaire de reproduire cette mise en forme autant que cela est nécessaire. Le tableau ci</w:t>
      </w:r>
      <w:r w:rsidR="00927064">
        <w:t xml:space="preserve">-dessous présente le détail de chacune des 6 zones indiquées à la </w:t>
      </w:r>
      <w:r w:rsidR="00927064">
        <w:fldChar w:fldCharType="begin"/>
      </w:r>
      <w:r w:rsidR="00927064">
        <w:instrText xml:space="preserve"> REF _Ref468129624 \h </w:instrText>
      </w:r>
      <w:r w:rsidR="00927064">
        <w:fldChar w:fldCharType="separate"/>
      </w:r>
      <w:r w:rsidR="00927064">
        <w:t xml:space="preserve">Figure </w:t>
      </w:r>
      <w:r w:rsidR="00927064">
        <w:rPr>
          <w:noProof/>
        </w:rPr>
        <w:t>7</w:t>
      </w:r>
      <w:r w:rsidR="00927064">
        <w:fldChar w:fldCharType="end"/>
      </w:r>
      <w:r w:rsidR="00E33389">
        <w:t>.</w:t>
      </w:r>
    </w:p>
    <w:p w14:paraId="15815991" w14:textId="77777777" w:rsidR="00BE4F15" w:rsidRDefault="00BE4F15" w:rsidP="00607A57"/>
    <w:p w14:paraId="7F2839F5" w14:textId="6C0C499A" w:rsidR="00E53E6F" w:rsidRDefault="00E53E6F" w:rsidP="00E53E6F">
      <w:pPr>
        <w:pStyle w:val="Caption"/>
      </w:pPr>
      <w:r>
        <w:t xml:space="preserve">Figure </w:t>
      </w:r>
      <w:fldSimple w:instr=" SEQ Figure \* ARABIC ">
        <w:r w:rsidR="00995EB5">
          <w:rPr>
            <w:noProof/>
          </w:rPr>
          <w:t>8</w:t>
        </w:r>
      </w:fldSimple>
      <w:r>
        <w:t> : Document de suivi de la conception des schémas d’aménagement - présentation détaillée</w:t>
      </w:r>
    </w:p>
    <w:tbl>
      <w:tblPr>
        <w:tblStyle w:val="TableGrid"/>
        <w:tblW w:w="0" w:type="auto"/>
        <w:tblLook w:val="04A0" w:firstRow="1" w:lastRow="0" w:firstColumn="1" w:lastColumn="0" w:noHBand="0" w:noVBand="1"/>
      </w:tblPr>
      <w:tblGrid>
        <w:gridCol w:w="846"/>
        <w:gridCol w:w="6946"/>
        <w:gridCol w:w="6202"/>
      </w:tblGrid>
      <w:tr w:rsidR="00927064" w14:paraId="5ED768E4" w14:textId="77777777" w:rsidTr="00E53E6F">
        <w:trPr>
          <w:tblHeader/>
        </w:trPr>
        <w:tc>
          <w:tcPr>
            <w:tcW w:w="846" w:type="dxa"/>
            <w:shd w:val="clear" w:color="auto" w:fill="FFFFCC"/>
          </w:tcPr>
          <w:p w14:paraId="54F7773B" w14:textId="34981840" w:rsidR="00927064" w:rsidRPr="00E33389" w:rsidRDefault="00927064" w:rsidP="00E33389">
            <w:pPr>
              <w:spacing w:after="240"/>
              <w:jc w:val="center"/>
              <w:rPr>
                <w:b/>
                <w:color w:val="E36C0A" w:themeColor="accent6" w:themeShade="BF"/>
              </w:rPr>
            </w:pPr>
            <w:r>
              <w:rPr>
                <w:b/>
                <w:color w:val="E36C0A" w:themeColor="accent6" w:themeShade="BF"/>
              </w:rPr>
              <w:t># zone</w:t>
            </w:r>
          </w:p>
        </w:tc>
        <w:tc>
          <w:tcPr>
            <w:tcW w:w="6946" w:type="dxa"/>
            <w:shd w:val="clear" w:color="auto" w:fill="FFFFCC"/>
            <w:vAlign w:val="center"/>
          </w:tcPr>
          <w:p w14:paraId="07780769" w14:textId="71F812D5" w:rsidR="00927064" w:rsidRPr="00E33389" w:rsidRDefault="00927064" w:rsidP="00E33389">
            <w:pPr>
              <w:spacing w:after="240"/>
              <w:jc w:val="center"/>
              <w:rPr>
                <w:b/>
                <w:color w:val="E36C0A" w:themeColor="accent6" w:themeShade="BF"/>
              </w:rPr>
            </w:pPr>
            <w:r w:rsidRPr="00E33389">
              <w:rPr>
                <w:b/>
                <w:color w:val="E36C0A" w:themeColor="accent6" w:themeShade="BF"/>
              </w:rPr>
              <w:t>Présentation de la zone</w:t>
            </w:r>
          </w:p>
        </w:tc>
        <w:tc>
          <w:tcPr>
            <w:tcW w:w="6202" w:type="dxa"/>
            <w:shd w:val="clear" w:color="auto" w:fill="FFFFCC"/>
            <w:vAlign w:val="center"/>
          </w:tcPr>
          <w:p w14:paraId="22C0F082" w14:textId="2126D5F2" w:rsidR="00927064" w:rsidRPr="00E33389" w:rsidRDefault="00927064" w:rsidP="00E33389">
            <w:pPr>
              <w:spacing w:after="240"/>
              <w:jc w:val="center"/>
              <w:rPr>
                <w:b/>
                <w:color w:val="E36C0A" w:themeColor="accent6" w:themeShade="BF"/>
              </w:rPr>
            </w:pPr>
            <w:r w:rsidRPr="00E33389">
              <w:rPr>
                <w:b/>
                <w:color w:val="E36C0A" w:themeColor="accent6" w:themeShade="BF"/>
              </w:rPr>
              <w:t>Contenu</w:t>
            </w:r>
          </w:p>
        </w:tc>
      </w:tr>
      <w:tr w:rsidR="00927064" w14:paraId="314550B1" w14:textId="77777777" w:rsidTr="00927064">
        <w:tc>
          <w:tcPr>
            <w:tcW w:w="846" w:type="dxa"/>
            <w:vAlign w:val="center"/>
          </w:tcPr>
          <w:p w14:paraId="5E9971C1" w14:textId="49E710E3" w:rsidR="00927064" w:rsidRPr="00927064" w:rsidRDefault="00927064" w:rsidP="00927064">
            <w:pPr>
              <w:jc w:val="left"/>
              <w:rPr>
                <w:b/>
                <w:noProof/>
                <w:color w:val="C00000"/>
              </w:rPr>
            </w:pPr>
            <w:r w:rsidRPr="00927064">
              <w:rPr>
                <w:b/>
                <w:noProof/>
                <w:color w:val="C00000"/>
              </w:rPr>
              <w:t>1</w:t>
            </w:r>
          </w:p>
        </w:tc>
        <w:tc>
          <w:tcPr>
            <w:tcW w:w="6946" w:type="dxa"/>
            <w:vAlign w:val="center"/>
          </w:tcPr>
          <w:p w14:paraId="08DFDF7A" w14:textId="34A5FAF6" w:rsidR="00927064" w:rsidRDefault="00927064" w:rsidP="00927064">
            <w:pPr>
              <w:jc w:val="left"/>
            </w:pPr>
            <w:r w:rsidRPr="00A451B0">
              <w:rPr>
                <w:noProof/>
              </w:rPr>
              <w:drawing>
                <wp:inline distT="0" distB="0" distL="0" distR="0" wp14:anchorId="08A1C4E9" wp14:editId="38C38CE8">
                  <wp:extent cx="4268795" cy="1123950"/>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81288" cy="1127239"/>
                          </a:xfrm>
                          <a:prstGeom prst="rect">
                            <a:avLst/>
                          </a:prstGeom>
                          <a:noFill/>
                          <a:ln>
                            <a:noFill/>
                          </a:ln>
                        </pic:spPr>
                      </pic:pic>
                    </a:graphicData>
                  </a:graphic>
                </wp:inline>
              </w:drawing>
            </w:r>
          </w:p>
        </w:tc>
        <w:tc>
          <w:tcPr>
            <w:tcW w:w="6202" w:type="dxa"/>
          </w:tcPr>
          <w:p w14:paraId="1D0CE210" w14:textId="77777777" w:rsidR="00927064" w:rsidRDefault="00927064" w:rsidP="00607A57">
            <w:r>
              <w:t>La zone 1 reprend les principaux éléments généraux du schéma d’aménagement à savoir la localisation (lien direct Excel avec le listing mentionné plus haut).</w:t>
            </w:r>
          </w:p>
          <w:p w14:paraId="1093989E" w14:textId="77777777" w:rsidR="00927064" w:rsidRDefault="00927064" w:rsidP="00607A57">
            <w:r>
              <w:t>Dans la catégorie « opérateur », nous proposons de remettre ici le nom de la structure. Cette partie et à lire en relation avec le listing des personnes ressource. Des colonnes peuvent être complétées en cas de partenariat plus important.</w:t>
            </w:r>
          </w:p>
          <w:p w14:paraId="0F8D0D56" w14:textId="201B4560" w:rsidR="00927064" w:rsidRDefault="00927064" w:rsidP="00607A57">
            <w:r>
              <w:t>Puis il est important de reporter ici la date de signature du contrat et la date prévisionnelle de validation (=délai d’élaboration) du schéma d’aménagement afin de pouvoir réaliser, plus tard, certaines statistiques relative aux délais de conception.</w:t>
            </w:r>
          </w:p>
        </w:tc>
      </w:tr>
      <w:tr w:rsidR="00927064" w14:paraId="72579CD4" w14:textId="77777777" w:rsidTr="000B2840">
        <w:tc>
          <w:tcPr>
            <w:tcW w:w="846" w:type="dxa"/>
            <w:vAlign w:val="center"/>
          </w:tcPr>
          <w:p w14:paraId="0A20F0B7" w14:textId="407FB2CD" w:rsidR="00927064" w:rsidRPr="00927064" w:rsidRDefault="00927064" w:rsidP="00927064">
            <w:pPr>
              <w:jc w:val="left"/>
              <w:rPr>
                <w:b/>
                <w:noProof/>
                <w:color w:val="C00000"/>
              </w:rPr>
            </w:pPr>
            <w:r w:rsidRPr="00927064">
              <w:rPr>
                <w:b/>
                <w:noProof/>
                <w:color w:val="C00000"/>
              </w:rPr>
              <w:t>2</w:t>
            </w:r>
          </w:p>
        </w:tc>
        <w:tc>
          <w:tcPr>
            <w:tcW w:w="6946" w:type="dxa"/>
            <w:vAlign w:val="center"/>
          </w:tcPr>
          <w:p w14:paraId="4B3575D6" w14:textId="3FADD068" w:rsidR="00927064" w:rsidRDefault="00927064" w:rsidP="000B2840">
            <w:pPr>
              <w:jc w:val="left"/>
            </w:pPr>
            <w:r w:rsidRPr="00A451B0">
              <w:rPr>
                <w:noProof/>
              </w:rPr>
              <w:drawing>
                <wp:inline distT="0" distB="0" distL="0" distR="0" wp14:anchorId="66203A90" wp14:editId="0EAE620F">
                  <wp:extent cx="3034111" cy="1304925"/>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4144" cy="1317842"/>
                          </a:xfrm>
                          <a:prstGeom prst="rect">
                            <a:avLst/>
                          </a:prstGeom>
                          <a:noFill/>
                          <a:ln>
                            <a:noFill/>
                          </a:ln>
                        </pic:spPr>
                      </pic:pic>
                    </a:graphicData>
                  </a:graphic>
                </wp:inline>
              </w:drawing>
            </w:r>
          </w:p>
        </w:tc>
        <w:tc>
          <w:tcPr>
            <w:tcW w:w="6202" w:type="dxa"/>
          </w:tcPr>
          <w:p w14:paraId="5CF65CEB" w14:textId="34A1304C" w:rsidR="00927064" w:rsidRDefault="00927064" w:rsidP="000B2840">
            <w:r>
              <w:t>La seconde zone propose de synthétiser les conclusions émises lors du 1</w:t>
            </w:r>
            <w:r w:rsidRPr="00927064">
              <w:rPr>
                <w:vertAlign w:val="superscript"/>
              </w:rPr>
              <w:t>er</w:t>
            </w:r>
            <w:r>
              <w:t xml:space="preserve"> passage du document devant le comité technique. Les propositions sont d’indiquer la date de la rencontre, l’objet précis (présentation du diagnostic, recadrage, etc.), puis de lister les principales remarques formulées à l’opérateur par le comité technique. </w:t>
            </w:r>
            <w:r w:rsidR="000B2840">
              <w:t>Elles serviront au suivi de la conception des schémas d’aménagement. Ainsi, l</w:t>
            </w:r>
            <w:r>
              <w:t xml:space="preserve">a formulation doit être simple mais compréhensible </w:t>
            </w:r>
            <w:r w:rsidR="000B2840">
              <w:t>de tous pour faciliter le suivi lors des prochains Comités Techniques</w:t>
            </w:r>
          </w:p>
        </w:tc>
      </w:tr>
      <w:tr w:rsidR="00927064" w14:paraId="1703133A" w14:textId="77777777" w:rsidTr="000B2840">
        <w:trPr>
          <w:trHeight w:val="2126"/>
        </w:trPr>
        <w:tc>
          <w:tcPr>
            <w:tcW w:w="846" w:type="dxa"/>
            <w:vAlign w:val="center"/>
          </w:tcPr>
          <w:p w14:paraId="405A5379" w14:textId="7DFB303F" w:rsidR="00927064" w:rsidRPr="00927064" w:rsidRDefault="00927064" w:rsidP="00927064">
            <w:pPr>
              <w:jc w:val="left"/>
              <w:rPr>
                <w:b/>
                <w:noProof/>
                <w:color w:val="C00000"/>
              </w:rPr>
            </w:pPr>
            <w:r w:rsidRPr="00927064">
              <w:rPr>
                <w:b/>
                <w:noProof/>
                <w:color w:val="C00000"/>
              </w:rPr>
              <w:t>3</w:t>
            </w:r>
          </w:p>
        </w:tc>
        <w:tc>
          <w:tcPr>
            <w:tcW w:w="6946" w:type="dxa"/>
            <w:vAlign w:val="center"/>
          </w:tcPr>
          <w:p w14:paraId="26285BB7" w14:textId="2CBF422C" w:rsidR="00927064" w:rsidRDefault="00927064" w:rsidP="000B2840">
            <w:pPr>
              <w:jc w:val="left"/>
            </w:pPr>
            <w:r w:rsidRPr="00E33389">
              <w:rPr>
                <w:noProof/>
              </w:rPr>
              <w:drawing>
                <wp:inline distT="0" distB="0" distL="0" distR="0" wp14:anchorId="3DAB4E0A" wp14:editId="455B791B">
                  <wp:extent cx="3914775" cy="131791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75902" cy="1338488"/>
                          </a:xfrm>
                          <a:prstGeom prst="rect">
                            <a:avLst/>
                          </a:prstGeom>
                          <a:noFill/>
                          <a:ln>
                            <a:noFill/>
                          </a:ln>
                        </pic:spPr>
                      </pic:pic>
                    </a:graphicData>
                  </a:graphic>
                </wp:inline>
              </w:drawing>
            </w:r>
          </w:p>
        </w:tc>
        <w:tc>
          <w:tcPr>
            <w:tcW w:w="6202" w:type="dxa"/>
          </w:tcPr>
          <w:p w14:paraId="54B88E4B" w14:textId="77777777" w:rsidR="00927064" w:rsidRDefault="000B2840" w:rsidP="000B2840">
            <w:r>
              <w:t>La 3</w:t>
            </w:r>
            <w:r w:rsidRPr="000B2840">
              <w:rPr>
                <w:vertAlign w:val="superscript"/>
              </w:rPr>
              <w:t>ème</w:t>
            </w:r>
            <w:r>
              <w:t xml:space="preserve"> zone est liée à la précédente la première partie est consacrée au suivi des recommandations formulées lors du précédent comité de suivi : la recommandation a-t-elle été prise en compte (totalement, partiellement), si oui de quelle manière, est-ce satisfaisant ?</w:t>
            </w:r>
          </w:p>
          <w:p w14:paraId="500580B2" w14:textId="77777777" w:rsidR="000B2840" w:rsidRDefault="000B2840" w:rsidP="000B2840">
            <w:r>
              <w:t>Puis tout comme la zone 2, la date, l’objet et les recommandations émises à l’issue du 2</w:t>
            </w:r>
            <w:r w:rsidRPr="000B2840">
              <w:rPr>
                <w:vertAlign w:val="superscript"/>
              </w:rPr>
              <w:t>ème</w:t>
            </w:r>
            <w:r>
              <w:t xml:space="preserve"> comité de suivi.</w:t>
            </w:r>
          </w:p>
          <w:p w14:paraId="75534821" w14:textId="0ACCF016" w:rsidR="000B2840" w:rsidRDefault="000B2840" w:rsidP="000B2840">
            <w:r>
              <w:t>Il en va de même pour l’ensemble des autres comités suivant, quel qu’en soit leur nombre</w:t>
            </w:r>
            <w:r>
              <w:rPr>
                <w:rStyle w:val="FootnoteReference"/>
              </w:rPr>
              <w:footnoteReference w:id="37"/>
            </w:r>
            <w:r>
              <w:t xml:space="preserve">. </w:t>
            </w:r>
          </w:p>
        </w:tc>
      </w:tr>
      <w:tr w:rsidR="00927064" w14:paraId="41E9B7A2" w14:textId="77777777" w:rsidTr="00E53E6F">
        <w:tc>
          <w:tcPr>
            <w:tcW w:w="846" w:type="dxa"/>
            <w:vAlign w:val="center"/>
          </w:tcPr>
          <w:p w14:paraId="30768E14" w14:textId="2876CF8F" w:rsidR="00927064" w:rsidRPr="00927064" w:rsidRDefault="00927064" w:rsidP="00927064">
            <w:pPr>
              <w:jc w:val="left"/>
              <w:rPr>
                <w:b/>
                <w:noProof/>
                <w:color w:val="C00000"/>
              </w:rPr>
            </w:pPr>
            <w:r w:rsidRPr="00927064">
              <w:rPr>
                <w:b/>
                <w:noProof/>
                <w:color w:val="C00000"/>
              </w:rPr>
              <w:t>4</w:t>
            </w:r>
          </w:p>
        </w:tc>
        <w:tc>
          <w:tcPr>
            <w:tcW w:w="6946" w:type="dxa"/>
            <w:vAlign w:val="center"/>
          </w:tcPr>
          <w:p w14:paraId="6C0547A6" w14:textId="6441195A" w:rsidR="00927064" w:rsidRDefault="00927064" w:rsidP="00E53E6F">
            <w:pPr>
              <w:jc w:val="left"/>
            </w:pPr>
            <w:r w:rsidRPr="00E33389">
              <w:rPr>
                <w:noProof/>
              </w:rPr>
              <w:drawing>
                <wp:inline distT="0" distB="0" distL="0" distR="0" wp14:anchorId="30E1C8F8" wp14:editId="76B0D2AE">
                  <wp:extent cx="3909076" cy="1102839"/>
                  <wp:effectExtent l="0" t="0" r="0" b="254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93721" cy="1126719"/>
                          </a:xfrm>
                          <a:prstGeom prst="rect">
                            <a:avLst/>
                          </a:prstGeom>
                          <a:noFill/>
                          <a:ln>
                            <a:noFill/>
                          </a:ln>
                        </pic:spPr>
                      </pic:pic>
                    </a:graphicData>
                  </a:graphic>
                </wp:inline>
              </w:drawing>
            </w:r>
          </w:p>
        </w:tc>
        <w:tc>
          <w:tcPr>
            <w:tcW w:w="6202" w:type="dxa"/>
          </w:tcPr>
          <w:p w14:paraId="3419493F" w14:textId="77777777" w:rsidR="00927064" w:rsidRDefault="000B2840" w:rsidP="00607A57">
            <w:r>
              <w:t xml:space="preserve">La dernière zone permet de visualiser la phase de clôture (= validation) du schéma d’aménagement. </w:t>
            </w:r>
            <w:r w:rsidR="00E53E6F">
              <w:t>Nous avons proposé d’y indiquer les 2 dates de validation :</w:t>
            </w:r>
          </w:p>
          <w:p w14:paraId="63D481A3" w14:textId="77777777" w:rsidR="00E53E6F" w:rsidRDefault="00E53E6F" w:rsidP="00E53E6F">
            <w:pPr>
              <w:pStyle w:val="ListParagraph"/>
              <w:numPr>
                <w:ilvl w:val="0"/>
                <w:numId w:val="47"/>
              </w:numPr>
            </w:pPr>
            <w:r>
              <w:t>Validation par le comité de suivi (validation des commentaires)</w:t>
            </w:r>
          </w:p>
          <w:p w14:paraId="280D8367" w14:textId="77777777" w:rsidR="00E53E6F" w:rsidRDefault="00E53E6F" w:rsidP="00E53E6F">
            <w:pPr>
              <w:pStyle w:val="ListParagraph"/>
              <w:numPr>
                <w:ilvl w:val="0"/>
                <w:numId w:val="47"/>
              </w:numPr>
            </w:pPr>
            <w:r>
              <w:t>Validation par le comité de validation</w:t>
            </w:r>
          </w:p>
          <w:p w14:paraId="46DEDCA2" w14:textId="77777777" w:rsidR="00E53E6F" w:rsidRDefault="00E53E6F" w:rsidP="00E53E6F">
            <w:r>
              <w:t xml:space="preserve">L’avant dernière colonne du fichier permet de réaliser le suivi de la publication du schéma au journal officiel. </w:t>
            </w:r>
          </w:p>
          <w:p w14:paraId="219A9242" w14:textId="74B0FA10" w:rsidR="00E53E6F" w:rsidRDefault="00E53E6F" w:rsidP="00E53E6F">
            <w:r>
              <w:t>Enfin la dernière colonne est laissée en commentaires libres mais permet de formuler des commentaires par rapport au processus d’élaboration puis de validation du schéma considéré : quels seront les points d’attention pour le futur, etc.</w:t>
            </w:r>
          </w:p>
        </w:tc>
      </w:tr>
    </w:tbl>
    <w:p w14:paraId="3441FCB0" w14:textId="2976C416" w:rsidR="00A451B0" w:rsidRDefault="00A451B0" w:rsidP="00607A57"/>
    <w:p w14:paraId="10930F69" w14:textId="77777777" w:rsidR="00BE4F15" w:rsidRDefault="00BE4F15" w:rsidP="00BE4F15">
      <w:r>
        <w:t>Les éléments suivis dans le cadre de ce tableau doivent être discutés entre le MPCE, le MPTC et le ST/CIAT afin que les informations collectées permettent :</w:t>
      </w:r>
    </w:p>
    <w:p w14:paraId="74C2DCB3" w14:textId="77777777" w:rsidR="00BE4F15" w:rsidRPr="00B0737B" w:rsidRDefault="00BE4F15" w:rsidP="00BE4F15">
      <w:pPr>
        <w:pStyle w:val="ListParagraph"/>
        <w:numPr>
          <w:ilvl w:val="0"/>
          <w:numId w:val="31"/>
        </w:numPr>
        <w:spacing w:before="0" w:after="200"/>
      </w:pPr>
      <w:r w:rsidRPr="00B0737B">
        <w:t>d’enrichir la réflexion sur les guides à produire,</w:t>
      </w:r>
    </w:p>
    <w:p w14:paraId="7299A9A6" w14:textId="77777777" w:rsidR="00BE4F15" w:rsidRPr="00B0737B" w:rsidRDefault="00BE4F15" w:rsidP="00BE4F15">
      <w:pPr>
        <w:pStyle w:val="ListParagraph"/>
        <w:numPr>
          <w:ilvl w:val="0"/>
          <w:numId w:val="31"/>
        </w:numPr>
        <w:spacing w:before="0" w:after="200"/>
      </w:pPr>
      <w:r w:rsidRPr="00B0737B">
        <w:t>d’identifier les lacunes des communes afin de dimensionner le renforcement de capacité à mettre en place,</w:t>
      </w:r>
    </w:p>
    <w:p w14:paraId="0C0E316E" w14:textId="77777777" w:rsidR="00BE4F15" w:rsidRDefault="00BE4F15" w:rsidP="00BE4F15">
      <w:pPr>
        <w:pStyle w:val="ListParagraph"/>
        <w:numPr>
          <w:ilvl w:val="0"/>
          <w:numId w:val="31"/>
        </w:numPr>
        <w:spacing w:before="0" w:after="200"/>
      </w:pPr>
      <w:r w:rsidRPr="00B0737B">
        <w:t>de nourrir</w:t>
      </w:r>
      <w:r>
        <w:t xml:space="preserve"> le suivi du secteur, qui est l’une des attributions du ST/CIAT</w:t>
      </w:r>
    </w:p>
    <w:p w14:paraId="178B00A3" w14:textId="77777777" w:rsidR="00BE4F15" w:rsidRDefault="00BE4F15" w:rsidP="00BE4F15">
      <w:r>
        <w:t>A termes et en fonction de la capacité d’actualisation du document, il peut être envisagé de le retravailler, de transformer ces informations en indicateurs géo-spatialisé et de les afficher tel un tableau de bord sur le site internet du SPU (exemple REZO Build-Change ou autre)</w:t>
      </w:r>
    </w:p>
    <w:p w14:paraId="0C0AACC7" w14:textId="77777777" w:rsidR="00BE4F15" w:rsidRDefault="00BE4F15" w:rsidP="00607A57"/>
    <w:p w14:paraId="676062C6" w14:textId="77777777" w:rsidR="00A451B0" w:rsidRDefault="00A451B0" w:rsidP="00607A57"/>
    <w:p w14:paraId="77BA2BAE" w14:textId="77777777" w:rsidR="00A451B0" w:rsidRDefault="00A451B0" w:rsidP="00607A57">
      <w:pPr>
        <w:sectPr w:rsidR="00A451B0" w:rsidSect="00965F1B">
          <w:pgSz w:w="16838" w:h="11906" w:orient="landscape"/>
          <w:pgMar w:top="1417" w:right="1417" w:bottom="1417" w:left="1417" w:header="708" w:footer="708" w:gutter="0"/>
          <w:cols w:space="708"/>
          <w:docGrid w:linePitch="360"/>
        </w:sectPr>
      </w:pPr>
    </w:p>
    <w:p w14:paraId="45ED6C69" w14:textId="288C1148" w:rsidR="00607A57" w:rsidRPr="00BE4F15" w:rsidRDefault="00141653" w:rsidP="00E53E6F">
      <w:pPr>
        <w:pStyle w:val="Heading4"/>
        <w:numPr>
          <w:ilvl w:val="3"/>
          <w:numId w:val="45"/>
        </w:numPr>
      </w:pPr>
      <w:r>
        <w:t>O5</w:t>
      </w:r>
      <w:r w:rsidR="00607A57" w:rsidRPr="00BE4F15">
        <w:t xml:space="preserve"> - Listing des actions prioritaires identifiées dans le cadre des schémas d’aménagement et suivi</w:t>
      </w:r>
    </w:p>
    <w:p w14:paraId="4064D8CD" w14:textId="581DC9F1" w:rsidR="00607A57" w:rsidRPr="00BE4F15" w:rsidRDefault="00607A57" w:rsidP="00607A57">
      <w:pPr>
        <w:shd w:val="clear" w:color="auto" w:fill="FFFFFF" w:themeFill="background1"/>
      </w:pPr>
      <w:r w:rsidRPr="00BE4F15">
        <w:t>Un autre outil intéressant à mettre en place pour assoir le rôle d’encadrement et d’orientation (=pilote) du SPU sur la production de l’urbain serait la mise en place d’un listing des actions prioritaires identifiées dans le cadre des schémas d’aménagement. Cet outil devrait permettre de faire un suivi, sur l’ensemble du pays, de l’ensemble des schémas d’aménagement produits quel</w:t>
      </w:r>
      <w:r w:rsidR="004C23C7" w:rsidRPr="00BE4F15">
        <w:t xml:space="preserve"> </w:t>
      </w:r>
      <w:r w:rsidRPr="00BE4F15">
        <w:t>que soit le mode de financement (Union Européenne, Banque Mondiale, Agence Française de Développement).</w:t>
      </w:r>
    </w:p>
    <w:p w14:paraId="77DE1672" w14:textId="2AB343DD" w:rsidR="00607A57" w:rsidRPr="00BE4F15" w:rsidRDefault="00607A57" w:rsidP="00607A57">
      <w:r w:rsidRPr="00BE4F15">
        <w:t xml:space="preserve">Cependant au regard du peu de ressources disponibles, nous proposons que ce travail se fasse de manière pilote sur </w:t>
      </w:r>
      <w:r w:rsidR="00BE4F15">
        <w:t>les anciens schémas du PARAQ dans un esprit de capitalisation, puis que ce travail soit préparé en année 2 pour le suivi des actions prioritaires des schémas d’aménagement prévu pour la boucle Centre Artibonite, la région Sud et Canaan dans la Région Métropolitaine de Port-au-Prince</w:t>
      </w:r>
      <w:r w:rsidRPr="00BE4F15">
        <w:t>.</w:t>
      </w:r>
    </w:p>
    <w:p w14:paraId="1E101BC9" w14:textId="264FE51C" w:rsidR="00607A57" w:rsidRDefault="00607A57" w:rsidP="00607A57">
      <w:r w:rsidRPr="00BE4F15">
        <w:t>Le contenu du tableau de suivi pourrait être tel que proposé dans le tableau ci-dessous, mais peut faire l’objet de modification en fonction des besoins exprimés</w:t>
      </w:r>
      <w:r w:rsidR="00BE4F15">
        <w:t xml:space="preserve"> et de la prise de recul qu’il sera nécessaire d’avoir après l’utilisation de l’outil lors du suivi (à postériori) des actions prioritaires des schémas d’aménagement du PARAQ</w:t>
      </w:r>
      <w:r w:rsidRPr="00BE4F15">
        <w:t>.</w:t>
      </w:r>
    </w:p>
    <w:p w14:paraId="46F06DAA" w14:textId="77777777" w:rsidR="00BE4F15" w:rsidRDefault="00BE4F15" w:rsidP="00607A57">
      <w:pPr>
        <w:sectPr w:rsidR="00BE4F15" w:rsidSect="00607A57">
          <w:pgSz w:w="11906" w:h="16838"/>
          <w:pgMar w:top="1417" w:right="1417" w:bottom="1417" w:left="1417" w:header="708" w:footer="708" w:gutter="0"/>
          <w:cols w:space="708"/>
          <w:docGrid w:linePitch="360"/>
        </w:sectPr>
      </w:pPr>
    </w:p>
    <w:p w14:paraId="455E99C2" w14:textId="0BE1DEB8" w:rsidR="00A451B0" w:rsidRDefault="00A451B0" w:rsidP="00A451B0">
      <w:pPr>
        <w:pStyle w:val="Caption"/>
      </w:pPr>
      <w:bookmarkStart w:id="26" w:name="_Ref462133299"/>
      <w:bookmarkStart w:id="27" w:name="_Ref468133677"/>
      <w:r>
        <w:t xml:space="preserve">Figure </w:t>
      </w:r>
      <w:fldSimple w:instr=" SEQ Figure \* ARABIC ">
        <w:r w:rsidR="00995EB5">
          <w:rPr>
            <w:noProof/>
          </w:rPr>
          <w:t>9</w:t>
        </w:r>
      </w:fldSimple>
      <w:bookmarkEnd w:id="26"/>
      <w:r>
        <w:t> : Listing des actions prioritaires des schémas d’aménagement</w:t>
      </w:r>
      <w:bookmarkEnd w:id="27"/>
    </w:p>
    <w:p w14:paraId="593D7720" w14:textId="77777777" w:rsidR="00A451B0" w:rsidRDefault="00A451B0" w:rsidP="00A451B0">
      <w:pPr>
        <w:rPr>
          <w:lang w:val="fr-CA"/>
        </w:rPr>
      </w:pPr>
      <w:r w:rsidRPr="0041633D">
        <w:rPr>
          <w:noProof/>
        </w:rPr>
        <w:drawing>
          <wp:inline distT="0" distB="0" distL="0" distR="0" wp14:anchorId="4A9EA157" wp14:editId="42A06E9B">
            <wp:extent cx="8848725" cy="2840118"/>
            <wp:effectExtent l="19050" t="19050" r="9525" b="177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6700" cy="2855516"/>
                    </a:xfrm>
                    <a:prstGeom prst="rect">
                      <a:avLst/>
                    </a:prstGeom>
                    <a:noFill/>
                    <a:ln>
                      <a:solidFill>
                        <a:schemeClr val="tx1"/>
                      </a:solidFill>
                    </a:ln>
                  </pic:spPr>
                </pic:pic>
              </a:graphicData>
            </a:graphic>
          </wp:inline>
        </w:drawing>
      </w:r>
    </w:p>
    <w:p w14:paraId="389730D1" w14:textId="77777777" w:rsidR="004A09ED" w:rsidRPr="003B3A0D" w:rsidRDefault="004A09ED" w:rsidP="004A09ED">
      <w:pPr>
        <w:rPr>
          <w:lang w:val="fr-CA"/>
        </w:rPr>
      </w:pPr>
      <w:r w:rsidRPr="003B3A0D">
        <w:rPr>
          <w:lang w:val="fr-CA"/>
        </w:rPr>
        <w:t>Cet outil reprends des données essentielles pour le suivi telles que :</w:t>
      </w:r>
    </w:p>
    <w:p w14:paraId="1B389194" w14:textId="77777777" w:rsidR="004A09ED" w:rsidRPr="003B3A0D" w:rsidRDefault="004A09ED" w:rsidP="004A09ED">
      <w:pPr>
        <w:pStyle w:val="ListParagraph"/>
        <w:numPr>
          <w:ilvl w:val="0"/>
          <w:numId w:val="32"/>
        </w:numPr>
        <w:spacing w:before="0" w:after="200"/>
        <w:rPr>
          <w:lang w:val="fr-CA"/>
        </w:rPr>
      </w:pPr>
      <w:r w:rsidRPr="003B3A0D">
        <w:rPr>
          <w:b/>
          <w:lang w:val="fr-CA"/>
        </w:rPr>
        <w:t>La localisation administrative</w:t>
      </w:r>
      <w:r w:rsidRPr="003B3A0D">
        <w:rPr>
          <w:lang w:val="fr-CA"/>
        </w:rPr>
        <w:t> : Département, Commune, Quartier (ou limite du territoire considéré)</w:t>
      </w:r>
    </w:p>
    <w:p w14:paraId="64359176" w14:textId="51FAB7CD" w:rsidR="004A09ED" w:rsidRPr="003B3A0D" w:rsidRDefault="004A09ED" w:rsidP="004A09ED">
      <w:pPr>
        <w:pStyle w:val="ListParagraph"/>
        <w:numPr>
          <w:ilvl w:val="0"/>
          <w:numId w:val="32"/>
        </w:numPr>
        <w:spacing w:before="0" w:after="200"/>
        <w:rPr>
          <w:lang w:val="fr-CA"/>
        </w:rPr>
      </w:pPr>
      <w:r w:rsidRPr="003B3A0D">
        <w:rPr>
          <w:b/>
          <w:lang w:val="fr-CA"/>
        </w:rPr>
        <w:t>La thématique concernée</w:t>
      </w:r>
      <w:r w:rsidRPr="003B3A0D">
        <w:rPr>
          <w:lang w:val="fr-CA"/>
        </w:rPr>
        <w:t> : il est important que les thématiques soient harmonisées en fonction des projets pour ensuite traiter l’information (ex : % de projets prévus portant sur l’aménagement des ravines, % de projets réalisés portant sur l’aménagement des ravines)</w:t>
      </w:r>
      <w:r>
        <w:rPr>
          <w:lang w:val="fr-CA"/>
        </w:rPr>
        <w:t>;</w:t>
      </w:r>
    </w:p>
    <w:p w14:paraId="761A4CA2" w14:textId="77777777" w:rsidR="004A09ED" w:rsidRPr="003B3A0D" w:rsidRDefault="004A09ED" w:rsidP="004A09ED">
      <w:pPr>
        <w:pStyle w:val="ListParagraph"/>
        <w:numPr>
          <w:ilvl w:val="0"/>
          <w:numId w:val="32"/>
        </w:numPr>
        <w:spacing w:before="0" w:after="200"/>
        <w:rPr>
          <w:lang w:val="fr-CA"/>
        </w:rPr>
      </w:pPr>
      <w:r w:rsidRPr="003B3A0D">
        <w:rPr>
          <w:b/>
          <w:lang w:val="fr-CA"/>
        </w:rPr>
        <w:t>Les orientations stratégiques suivies par le projet </w:t>
      </w:r>
      <w:r w:rsidRPr="003B3A0D">
        <w:rPr>
          <w:lang w:val="fr-CA"/>
        </w:rPr>
        <w:t>: là encore il sera essentiel de définir les 5 ou 6 orientations que l’on retrouve dans les schémas d’aménagement. Ici à titre d’exemple nous avons mis l’accessibilité, la salubrité, l’attractivité et la sécurité du quartier,</w:t>
      </w:r>
    </w:p>
    <w:p w14:paraId="735292F0" w14:textId="1DB31B63" w:rsidR="004A09ED" w:rsidRPr="004A09ED" w:rsidRDefault="004A09ED" w:rsidP="004A09ED">
      <w:pPr>
        <w:pStyle w:val="ListParagraph"/>
        <w:numPr>
          <w:ilvl w:val="0"/>
          <w:numId w:val="32"/>
        </w:numPr>
        <w:spacing w:before="0" w:after="200"/>
        <w:rPr>
          <w:lang w:val="fr-CA"/>
        </w:rPr>
      </w:pPr>
      <w:r w:rsidRPr="004A09ED">
        <w:rPr>
          <w:b/>
          <w:lang w:val="fr-CA"/>
        </w:rPr>
        <w:t xml:space="preserve">Les informations sur le projet : </w:t>
      </w:r>
      <w:r w:rsidRPr="004A09ED">
        <w:rPr>
          <w:lang w:val="fr-CA"/>
        </w:rPr>
        <w:t xml:space="preserve">Nom du projet principal, nom des sous-interventions/actions identifiées, identification si ces actions font partie du schéma initial ou sont des actions complémentaires. Logiquement à cette étape toutes les actions identifiées le sont dans le cadre des schémas d’aménagement. Cependant il peut arriver qu’au fur et à mesure des interventions dans un quartier, d’autres interventions non-planifiées soient réalisées, </w:t>
      </w:r>
      <w:r>
        <w:rPr>
          <w:lang w:val="fr-CA"/>
        </w:rPr>
        <w:t>a</w:t>
      </w:r>
      <w:r w:rsidRPr="004A09ED">
        <w:rPr>
          <w:lang w:val="fr-CA"/>
        </w:rPr>
        <w:t>nnée de l’identification de l’action</w:t>
      </w:r>
      <w:r>
        <w:rPr>
          <w:lang w:val="fr-CA"/>
        </w:rPr>
        <w:t>, t</w:t>
      </w:r>
      <w:r w:rsidRPr="004A09ED">
        <w:rPr>
          <w:lang w:val="fr-CA"/>
        </w:rPr>
        <w:t>emp</w:t>
      </w:r>
      <w:r>
        <w:rPr>
          <w:lang w:val="fr-CA"/>
        </w:rPr>
        <w:t>s de l’action (c</w:t>
      </w:r>
      <w:r w:rsidRPr="004A09ED">
        <w:rPr>
          <w:lang w:val="fr-CA"/>
        </w:rPr>
        <w:t>ertaines actions peuvent être conditionnées à la réalisation d’autres actions : ainsi, est-ce une action prévue à court moyen ou long terme ? D’autre part cette information est importante pour pouvoir réaliser un suivi des actions dans le quartier.</w:t>
      </w:r>
      <w:r>
        <w:rPr>
          <w:lang w:val="fr-CA"/>
        </w:rPr>
        <w:t>)</w:t>
      </w:r>
    </w:p>
    <w:p w14:paraId="69FF28AF" w14:textId="4BD11589" w:rsidR="004A09ED" w:rsidRDefault="004A09ED" w:rsidP="004A09ED">
      <w:pPr>
        <w:pStyle w:val="ListParagraph"/>
        <w:numPr>
          <w:ilvl w:val="0"/>
          <w:numId w:val="32"/>
        </w:numPr>
        <w:spacing w:before="0" w:after="200"/>
      </w:pPr>
      <w:r w:rsidRPr="004A09ED">
        <w:rPr>
          <w:b/>
          <w:lang w:val="fr-CA"/>
        </w:rPr>
        <w:t>Les résultats attendus</w:t>
      </w:r>
      <w:r w:rsidRPr="004A09ED">
        <w:rPr>
          <w:lang w:val="fr-CA"/>
        </w:rPr>
        <w:t> : cela permettra durant le suivi de voir si les résultats, l’impact de l’action sur le terrain sont globalement conforment à ce qui avait été attendu</w:t>
      </w:r>
      <w:r>
        <w:rPr>
          <w:lang w:val="fr-CA"/>
        </w:rPr>
        <w:t xml:space="preserve"> ainsi que si ce projet est sélectionné dans la mise en œuvre du schéma sur le terrain</w:t>
      </w:r>
      <w:r w:rsidRPr="004A09ED">
        <w:rPr>
          <w:lang w:val="fr-CA"/>
        </w:rPr>
        <w:t>.</w:t>
      </w:r>
    </w:p>
    <w:p w14:paraId="7CC8A60D" w14:textId="77777777" w:rsidR="004A09ED" w:rsidRDefault="004A09ED" w:rsidP="00A451B0">
      <w:pPr>
        <w:sectPr w:rsidR="004A09ED" w:rsidSect="00BE4F15">
          <w:pgSz w:w="16838" w:h="11906" w:orient="landscape"/>
          <w:pgMar w:top="1417" w:right="1417" w:bottom="1417" w:left="1417" w:header="708" w:footer="708" w:gutter="0"/>
          <w:cols w:space="708"/>
          <w:docGrid w:linePitch="360"/>
        </w:sectPr>
      </w:pPr>
    </w:p>
    <w:p w14:paraId="6B3A2BFD" w14:textId="7E07373B" w:rsidR="00607A57" w:rsidRDefault="00607A57" w:rsidP="00607A57">
      <w:r>
        <w:t>Nous proposons ici cet outil qui pourrait être enrichi au fur et à mesure lors des évaluations mi-parcours/finales mis en place dans le cadre des schémas d’aménagement ou via les réunions des Comités Techniques si ces dernières sont ré-instituées (</w:t>
      </w:r>
      <w:r w:rsidR="007F10E5">
        <w:t>cela permet une actualisation</w:t>
      </w:r>
      <w:r>
        <w:t xml:space="preserve"> suivie</w:t>
      </w:r>
      <w:r w:rsidR="007F10E5">
        <w:t xml:space="preserve"> qu’au travers de simples</w:t>
      </w:r>
      <w:r>
        <w:t xml:space="preserve"> processus évaluatifs). Par exemple concerna</w:t>
      </w:r>
      <w:r w:rsidR="007F10E5">
        <w:t>nt les projets PARAQ ce fichier</w:t>
      </w:r>
      <w:r>
        <w:t xml:space="preserve"> aurait pu être un résultat de l’évaluation (impact, résultats) et/ou du rapport de capitalisation : qui a fait quoi où.</w:t>
      </w:r>
    </w:p>
    <w:p w14:paraId="31B6733C" w14:textId="1BCE0B03" w:rsidR="00607A57" w:rsidRPr="00984F12" w:rsidRDefault="00607A57" w:rsidP="00607A57">
      <w:r>
        <w:t>Notons également que cet</w:t>
      </w:r>
      <w:r w:rsidRPr="00984F12">
        <w:t xml:space="preserve"> outil ne peut pas exister seul, il doit forcément être couplé avec l’o</w:t>
      </w:r>
      <w:r w:rsidR="004A09ED">
        <w:t>util O5</w:t>
      </w:r>
      <w:r w:rsidRPr="00984F12">
        <w:t>.</w:t>
      </w:r>
    </w:p>
    <w:p w14:paraId="3F6F950C" w14:textId="77777777" w:rsidR="00607A57" w:rsidRPr="00845B8F" w:rsidRDefault="00607A57" w:rsidP="00607A57">
      <w:pPr>
        <w:rPr>
          <w:highlight w:val="yellow"/>
        </w:rPr>
      </w:pPr>
    </w:p>
    <w:p w14:paraId="36B5B571" w14:textId="719A1106" w:rsidR="00607A57" w:rsidRDefault="004A09ED" w:rsidP="00E53E6F">
      <w:pPr>
        <w:pStyle w:val="Heading4"/>
        <w:numPr>
          <w:ilvl w:val="3"/>
          <w:numId w:val="45"/>
        </w:numPr>
      </w:pPr>
      <w:r>
        <w:t>O5</w:t>
      </w:r>
      <w:r w:rsidR="00607A57" w:rsidRPr="00B55F29">
        <w:t xml:space="preserve"> - Listing des actions réalisées dans les schémas d’aménagement</w:t>
      </w:r>
    </w:p>
    <w:p w14:paraId="73FE7FD9" w14:textId="10CA32EC" w:rsidR="00607A57" w:rsidRDefault="00607A57" w:rsidP="00607A57">
      <w:r w:rsidRPr="00984F12">
        <w:t>L’</w:t>
      </w:r>
      <w:r w:rsidR="004A09ED">
        <w:t>outil O5</w:t>
      </w:r>
      <w:r>
        <w:t xml:space="preserve"> est l’exploitation du fichier O</w:t>
      </w:r>
      <w:r w:rsidR="004A09ED">
        <w:t>6</w:t>
      </w:r>
      <w:r>
        <w:t>. Il s’agira de regarder à l’issue de la réalisation d’un programme quel</w:t>
      </w:r>
      <w:r w:rsidR="007F10E5">
        <w:t>le</w:t>
      </w:r>
      <w:r>
        <w:t xml:space="preserve">s sont les actions qui ont été réalisées et quelles sont les actions prévues qui n’ont pas été réalisées. Le but ici étant de comprendre les contraintes et de voir de quelle manière les lever. </w:t>
      </w:r>
      <w:r w:rsidR="007F10E5">
        <w:t xml:space="preserve">C’est </w:t>
      </w:r>
      <w:r>
        <w:t>une démarche de suivi-capitalisation qui permettr</w:t>
      </w:r>
      <w:r w:rsidR="007F10E5">
        <w:t>a</w:t>
      </w:r>
      <w:r>
        <w:t xml:space="preserve"> également de documenter / alimenter le processus d’actualisation des schémas d’aménagement.</w:t>
      </w:r>
    </w:p>
    <w:p w14:paraId="057B92D5" w14:textId="651DA24F" w:rsidR="00607A57" w:rsidRDefault="007F10E5" w:rsidP="00607A57">
      <w:r>
        <w:t>C</w:t>
      </w:r>
      <w:r w:rsidR="00607A57">
        <w:t xml:space="preserve">e travail, </w:t>
      </w:r>
      <w:r>
        <w:t>permet de</w:t>
      </w:r>
      <w:r w:rsidR="00607A57">
        <w:t xml:space="preserve"> suivre avec </w:t>
      </w:r>
      <w:r>
        <w:t xml:space="preserve">précision </w:t>
      </w:r>
      <w:r w:rsidR="00607A57">
        <w:t>les projets structurants et/ou jugés prioritaires dans les schémas d’aménagement.</w:t>
      </w:r>
    </w:p>
    <w:p w14:paraId="70BCB78A" w14:textId="6F1BD96B" w:rsidR="00607A57" w:rsidRDefault="00607A57" w:rsidP="00607A57">
      <w:r>
        <w:t>Par ailleurs</w:t>
      </w:r>
      <w:r w:rsidR="004A09ED">
        <w:t xml:space="preserve"> (à terme)</w:t>
      </w:r>
      <w:r>
        <w:t xml:space="preserve">, à l’occasion du remplissage de ce fichier, </w:t>
      </w:r>
      <w:r w:rsidRPr="005716F2">
        <w:t>quelques indicateurs clefs pourront être définis en même temps que le glossaire de l’urbain. Il s’agira de définir quelles sont les unités permettant de mesurer le degré de réhabilitation de la voirie, par exemple, ou bien encore de comptage des « unités d’habitation » créées, réhabilitées</w:t>
      </w:r>
      <w:r>
        <w:t>, etc. Aujourd’hui, les unités sont hétérogènes et ne permettent pas aux autorités de recouper les informations en provenance des différents bailleurs de l’urbain. Il est donc important que ces indicateurs soient travaillés de manière conjointe (inter-bailleurs et inter-institutions) pour permettre de communiquer dans les appels d’offres, une grille de suivi des résultats des projets. Au démarrage des projets, le contenu et les méthodologies de suivi des résultats pourraient être « validées » par le comité technique, qui semestriellement pourrait demander à l’examiner.</w:t>
      </w:r>
    </w:p>
    <w:p w14:paraId="36DEB150" w14:textId="44D4C026" w:rsidR="00707426" w:rsidRDefault="00BB29FA" w:rsidP="00707426">
      <w:r>
        <w:t xml:space="preserve">En résumé, nous proposons qu’à terme la mise en place </w:t>
      </w:r>
      <w:r w:rsidRPr="00BB29FA">
        <w:t>d’</w:t>
      </w:r>
      <w:r w:rsidR="00707426" w:rsidRPr="00BB29FA">
        <w:t>indicateurs choisis et partagés entre bailleurs et institutions</w:t>
      </w:r>
      <w:r>
        <w:t xml:space="preserve"> permettront</w:t>
      </w:r>
      <w:r w:rsidR="00707426" w:rsidRPr="00BB29FA">
        <w:t xml:space="preserve"> une lecture et un</w:t>
      </w:r>
      <w:r w:rsidRPr="00BB29FA">
        <w:t xml:space="preserve"> suivi </w:t>
      </w:r>
      <w:r w:rsidR="00707426" w:rsidRPr="00BB29FA">
        <w:t>communs</w:t>
      </w:r>
      <w:r w:rsidRPr="00BB29FA">
        <w:t>.</w:t>
      </w:r>
    </w:p>
    <w:p w14:paraId="3D89AF3C" w14:textId="77777777" w:rsidR="00707426" w:rsidRDefault="00707426" w:rsidP="00607A57"/>
    <w:p w14:paraId="6614611E" w14:textId="77777777" w:rsidR="00707426" w:rsidRPr="005716F2" w:rsidRDefault="00707426" w:rsidP="00607A57"/>
    <w:p w14:paraId="7F179B26" w14:textId="77777777" w:rsidR="004A09ED" w:rsidRDefault="004A09ED" w:rsidP="00607A57">
      <w:pPr>
        <w:sectPr w:rsidR="004A09ED" w:rsidSect="00607A57">
          <w:pgSz w:w="11906" w:h="16838"/>
          <w:pgMar w:top="1417" w:right="1417" w:bottom="1417" w:left="1417" w:header="708" w:footer="708" w:gutter="0"/>
          <w:cols w:space="708"/>
          <w:docGrid w:linePitch="360"/>
        </w:sectPr>
      </w:pPr>
    </w:p>
    <w:p w14:paraId="12DA11E3" w14:textId="7FAD792D" w:rsidR="00607A57" w:rsidRDefault="004A09ED" w:rsidP="004A09ED">
      <w:pPr>
        <w:pStyle w:val="Caption"/>
      </w:pPr>
      <w:r>
        <w:t xml:space="preserve">Figure </w:t>
      </w:r>
      <w:fldSimple w:instr=" SEQ Figure \* ARABIC ">
        <w:r w:rsidR="00995EB5">
          <w:rPr>
            <w:noProof/>
          </w:rPr>
          <w:t>10</w:t>
        </w:r>
      </w:fldSimple>
      <w:r w:rsidR="00E74B5E">
        <w:t> : Document de s</w:t>
      </w:r>
      <w:r>
        <w:t>uivi de la mise en œuvre des actions prioritaires sur le terrain</w:t>
      </w:r>
      <w:r w:rsidR="00E74B5E">
        <w:t xml:space="preserve"> - présentation générale</w:t>
      </w:r>
    </w:p>
    <w:p w14:paraId="2961B7C7" w14:textId="62D06654" w:rsidR="004A09ED" w:rsidRPr="004A09ED" w:rsidRDefault="00707426" w:rsidP="004A09ED">
      <w:r>
        <w:rPr>
          <w:noProof/>
        </w:rPr>
        <mc:AlternateContent>
          <mc:Choice Requires="wps">
            <w:drawing>
              <wp:anchor distT="0" distB="0" distL="114300" distR="114300" simplePos="0" relativeHeight="251688960" behindDoc="0" locked="0" layoutInCell="1" allowOverlap="1" wp14:anchorId="15537FBA" wp14:editId="5FC19846">
                <wp:simplePos x="0" y="0"/>
                <wp:positionH relativeFrom="column">
                  <wp:posOffset>6939280</wp:posOffset>
                </wp:positionH>
                <wp:positionV relativeFrom="paragraph">
                  <wp:posOffset>74768</wp:posOffset>
                </wp:positionV>
                <wp:extent cx="1948815" cy="1008000"/>
                <wp:effectExtent l="0" t="0" r="13335" b="20955"/>
                <wp:wrapNone/>
                <wp:docPr id="39" name="Rectangle 39"/>
                <wp:cNvGraphicFramePr/>
                <a:graphic xmlns:a="http://schemas.openxmlformats.org/drawingml/2006/main">
                  <a:graphicData uri="http://schemas.microsoft.com/office/word/2010/wordprocessingShape">
                    <wps:wsp>
                      <wps:cNvSpPr/>
                      <wps:spPr>
                        <a:xfrm>
                          <a:off x="0" y="0"/>
                          <a:ext cx="1948815" cy="100800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657E3DC" id="Rectangle 39" o:spid="_x0000_s1026" style="position:absolute;margin-left:546.4pt;margin-top:5.9pt;width:153.45pt;height:7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" filled="f" strokecolor="#c00000" strokeweight="2pt"/>
            </w:pict>
          </mc:Fallback>
        </mc:AlternateContent>
      </w:r>
      <w:r>
        <w:rPr>
          <w:noProof/>
        </w:rPr>
        <mc:AlternateContent>
          <mc:Choice Requires="wps">
            <w:drawing>
              <wp:anchor distT="0" distB="0" distL="114300" distR="114300" simplePos="0" relativeHeight="251687936" behindDoc="0" locked="0" layoutInCell="1" allowOverlap="1" wp14:anchorId="0F7C9261" wp14:editId="3FDFF22D">
                <wp:simplePos x="0" y="0"/>
                <wp:positionH relativeFrom="column">
                  <wp:posOffset>3557905</wp:posOffset>
                </wp:positionH>
                <wp:positionV relativeFrom="paragraph">
                  <wp:posOffset>74768</wp:posOffset>
                </wp:positionV>
                <wp:extent cx="3381375" cy="1008000"/>
                <wp:effectExtent l="0" t="0" r="28575" b="20955"/>
                <wp:wrapNone/>
                <wp:docPr id="35" name="Rectangle 35"/>
                <wp:cNvGraphicFramePr/>
                <a:graphic xmlns:a="http://schemas.openxmlformats.org/drawingml/2006/main">
                  <a:graphicData uri="http://schemas.microsoft.com/office/word/2010/wordprocessingShape">
                    <wps:wsp>
                      <wps:cNvSpPr/>
                      <wps:spPr>
                        <a:xfrm>
                          <a:off x="0" y="0"/>
                          <a:ext cx="3381375" cy="100800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2432FD0" id="Rectangle 35" o:spid="_x0000_s1026" style="position:absolute;margin-left:280.15pt;margin-top:5.9pt;width:266.25pt;height:79.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" filled="f" strokecolor="#c00000" strokeweight="2pt"/>
            </w:pict>
          </mc:Fallback>
        </mc:AlternateContent>
      </w:r>
      <w:r>
        <w:rPr>
          <w:noProof/>
        </w:rPr>
        <mc:AlternateContent>
          <mc:Choice Requires="wps">
            <w:drawing>
              <wp:anchor distT="0" distB="0" distL="114300" distR="114300" simplePos="0" relativeHeight="251685888" behindDoc="0" locked="0" layoutInCell="1" allowOverlap="1" wp14:anchorId="3E45E289" wp14:editId="451474BE">
                <wp:simplePos x="0" y="0"/>
                <wp:positionH relativeFrom="column">
                  <wp:posOffset>-4445</wp:posOffset>
                </wp:positionH>
                <wp:positionV relativeFrom="paragraph">
                  <wp:posOffset>74295</wp:posOffset>
                </wp:positionV>
                <wp:extent cx="2895600" cy="1007745"/>
                <wp:effectExtent l="0" t="0" r="19050" b="20955"/>
                <wp:wrapNone/>
                <wp:docPr id="41" name="Rectangle 41"/>
                <wp:cNvGraphicFramePr/>
                <a:graphic xmlns:a="http://schemas.openxmlformats.org/drawingml/2006/main">
                  <a:graphicData uri="http://schemas.microsoft.com/office/word/2010/wordprocessingShape">
                    <wps:wsp>
                      <wps:cNvSpPr/>
                      <wps:spPr>
                        <a:xfrm>
                          <a:off x="0" y="0"/>
                          <a:ext cx="2895600" cy="100774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29E2A2D" id="Rectangle 41" o:spid="_x0000_s1026" style="position:absolute;margin-left:-.35pt;margin-top:5.85pt;width:228pt;height:7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" filled="f" strokecolor="#c00000" strokeweight="2pt"/>
            </w:pict>
          </mc:Fallback>
        </mc:AlternateContent>
      </w:r>
      <w:r w:rsidR="00E74B5E">
        <w:rPr>
          <w:noProof/>
        </w:rPr>
        <mc:AlternateContent>
          <mc:Choice Requires="wps">
            <w:drawing>
              <wp:anchor distT="0" distB="0" distL="114300" distR="114300" simplePos="0" relativeHeight="251693056" behindDoc="0" locked="0" layoutInCell="1" allowOverlap="1" wp14:anchorId="0C573A1F" wp14:editId="18B386F0">
                <wp:simplePos x="0" y="0"/>
                <wp:positionH relativeFrom="column">
                  <wp:posOffset>7710805</wp:posOffset>
                </wp:positionH>
                <wp:positionV relativeFrom="paragraph">
                  <wp:posOffset>374650</wp:posOffset>
                </wp:positionV>
                <wp:extent cx="914400" cy="504825"/>
                <wp:effectExtent l="0" t="0" r="12065" b="28575"/>
                <wp:wrapNone/>
                <wp:docPr id="36" name="Zone de texte 36"/>
                <wp:cNvGraphicFramePr/>
                <a:graphic xmlns:a="http://schemas.openxmlformats.org/drawingml/2006/main">
                  <a:graphicData uri="http://schemas.microsoft.com/office/word/2010/wordprocessingShape">
                    <wps:wsp>
                      <wps:cNvSpPr txBox="1"/>
                      <wps:spPr>
                        <a:xfrm>
                          <a:off x="0" y="0"/>
                          <a:ext cx="914400" cy="504825"/>
                        </a:xfrm>
                        <a:prstGeom prst="rect">
                          <a:avLst/>
                        </a:prstGeom>
                        <a:no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3C7F9ED5" w14:textId="77777777" w:rsidR="007F10E5" w:rsidRPr="00A451B0" w:rsidRDefault="007F10E5" w:rsidP="004A09ED">
                            <w:pPr>
                              <w:rPr>
                                <w:b/>
                                <w:color w:val="C00000"/>
                                <w:sz w:val="40"/>
                                <w:szCs w:val="40"/>
                              </w:rPr>
                            </w:pPr>
                            <w:r>
                              <w:rPr>
                                <w:b/>
                                <w:color w:val="C00000"/>
                                <w:sz w:val="40"/>
                                <w:szCs w:val="40"/>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C573A1F" id="Zone de texte 36" o:spid="_x0000_s1030" type="#_x0000_t202" style="position:absolute;left:0;text-align:left;margin-left:607.15pt;margin-top:29.5pt;width:1in;height:39.75pt;z-index:251693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" filled="f" strokecolor="#c00000" strokeweight=".5pt">
                <v:textbox>
                  <w:txbxContent>
                    <w:p w14:paraId="3C7F9ED5" w14:textId="77777777" w:rsidR="007F10E5" w:rsidRPr="00A451B0" w:rsidRDefault="007F10E5" w:rsidP="004A09ED">
                      <w:pPr>
                        <w:rPr>
                          <w:b/>
                          <w:color w:val="C00000"/>
                          <w:sz w:val="40"/>
                          <w:szCs w:val="40"/>
                        </w:rPr>
                      </w:pPr>
                      <w:r>
                        <w:rPr>
                          <w:b/>
                          <w:color w:val="C00000"/>
                          <w:sz w:val="40"/>
                          <w:szCs w:val="40"/>
                        </w:rPr>
                        <w:t>4</w:t>
                      </w:r>
                    </w:p>
                  </w:txbxContent>
                </v:textbox>
              </v:shape>
            </w:pict>
          </mc:Fallback>
        </mc:AlternateContent>
      </w:r>
      <w:r w:rsidR="00E74B5E">
        <w:rPr>
          <w:noProof/>
        </w:rPr>
        <mc:AlternateContent>
          <mc:Choice Requires="wps">
            <w:drawing>
              <wp:anchor distT="0" distB="0" distL="114300" distR="114300" simplePos="0" relativeHeight="251689984" behindDoc="0" locked="0" layoutInCell="1" allowOverlap="1" wp14:anchorId="3A319687" wp14:editId="65E4AF36">
                <wp:simplePos x="0" y="0"/>
                <wp:positionH relativeFrom="column">
                  <wp:posOffset>1386205</wp:posOffset>
                </wp:positionH>
                <wp:positionV relativeFrom="paragraph">
                  <wp:posOffset>374015</wp:posOffset>
                </wp:positionV>
                <wp:extent cx="914400" cy="504825"/>
                <wp:effectExtent l="0" t="0" r="12065" b="28575"/>
                <wp:wrapNone/>
                <wp:docPr id="38" name="Zone de texte 38"/>
                <wp:cNvGraphicFramePr/>
                <a:graphic xmlns:a="http://schemas.openxmlformats.org/drawingml/2006/main">
                  <a:graphicData uri="http://schemas.microsoft.com/office/word/2010/wordprocessingShape">
                    <wps:wsp>
                      <wps:cNvSpPr txBox="1"/>
                      <wps:spPr>
                        <a:xfrm>
                          <a:off x="0" y="0"/>
                          <a:ext cx="914400" cy="504825"/>
                        </a:xfrm>
                        <a:prstGeom prst="rect">
                          <a:avLst/>
                        </a:prstGeom>
                        <a:no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498F95D4" w14:textId="77777777" w:rsidR="007F10E5" w:rsidRPr="00A451B0" w:rsidRDefault="007F10E5" w:rsidP="004A09ED">
                            <w:pPr>
                              <w:rPr>
                                <w:b/>
                                <w:color w:val="C00000"/>
                                <w:sz w:val="40"/>
                                <w:szCs w:val="40"/>
                              </w:rPr>
                            </w:pPr>
                            <w:r w:rsidRPr="00A451B0">
                              <w:rPr>
                                <w:b/>
                                <w:color w:val="C00000"/>
                                <w:sz w:val="40"/>
                                <w:szCs w:val="40"/>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3A319687" id="Zone de texte 38" o:spid="_x0000_s1031" type="#_x0000_t202" style="position:absolute;left:0;text-align:left;margin-left:109.15pt;margin-top:29.45pt;width:1in;height:39.75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" filled="f" strokecolor="#c00000" strokeweight=".5pt">
                <v:textbox>
                  <w:txbxContent>
                    <w:p w14:paraId="498F95D4" w14:textId="77777777" w:rsidR="007F10E5" w:rsidRPr="00A451B0" w:rsidRDefault="007F10E5" w:rsidP="004A09ED">
                      <w:pPr>
                        <w:rPr>
                          <w:b/>
                          <w:color w:val="C00000"/>
                          <w:sz w:val="40"/>
                          <w:szCs w:val="40"/>
                        </w:rPr>
                      </w:pPr>
                      <w:r w:rsidRPr="00A451B0">
                        <w:rPr>
                          <w:b/>
                          <w:color w:val="C00000"/>
                          <w:sz w:val="40"/>
                          <w:szCs w:val="40"/>
                        </w:rPr>
                        <w:t>1</w:t>
                      </w:r>
                    </w:p>
                  </w:txbxContent>
                </v:textbox>
              </v:shape>
            </w:pict>
          </mc:Fallback>
        </mc:AlternateContent>
      </w:r>
      <w:r w:rsidR="00E74B5E">
        <w:rPr>
          <w:noProof/>
        </w:rPr>
        <mc:AlternateContent>
          <mc:Choice Requires="wps">
            <w:drawing>
              <wp:anchor distT="0" distB="0" distL="114300" distR="114300" simplePos="0" relativeHeight="251691008" behindDoc="0" locked="0" layoutInCell="1" allowOverlap="1" wp14:anchorId="6338BF46" wp14:editId="4371C7A0">
                <wp:simplePos x="0" y="0"/>
                <wp:positionH relativeFrom="column">
                  <wp:posOffset>3034030</wp:posOffset>
                </wp:positionH>
                <wp:positionV relativeFrom="paragraph">
                  <wp:posOffset>374650</wp:posOffset>
                </wp:positionV>
                <wp:extent cx="914400" cy="504825"/>
                <wp:effectExtent l="0" t="0" r="12065" b="28575"/>
                <wp:wrapNone/>
                <wp:docPr id="37" name="Zone de texte 37"/>
                <wp:cNvGraphicFramePr/>
                <a:graphic xmlns:a="http://schemas.openxmlformats.org/drawingml/2006/main">
                  <a:graphicData uri="http://schemas.microsoft.com/office/word/2010/wordprocessingShape">
                    <wps:wsp>
                      <wps:cNvSpPr txBox="1"/>
                      <wps:spPr>
                        <a:xfrm>
                          <a:off x="0" y="0"/>
                          <a:ext cx="914400" cy="504825"/>
                        </a:xfrm>
                        <a:prstGeom prst="rect">
                          <a:avLst/>
                        </a:prstGeom>
                        <a:no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06FD2664" w14:textId="77777777" w:rsidR="007F10E5" w:rsidRPr="00A451B0" w:rsidRDefault="007F10E5" w:rsidP="004A09ED">
                            <w:pPr>
                              <w:rPr>
                                <w:b/>
                                <w:color w:val="C00000"/>
                                <w:sz w:val="40"/>
                                <w:szCs w:val="40"/>
                              </w:rPr>
                            </w:pPr>
                            <w:r>
                              <w:rPr>
                                <w:b/>
                                <w:color w:val="C00000"/>
                                <w:sz w:val="40"/>
                                <w:szCs w:val="40"/>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338BF46" id="Zone de texte 37" o:spid="_x0000_s1032" type="#_x0000_t202" style="position:absolute;left:0;text-align:left;margin-left:238.9pt;margin-top:29.5pt;width:1in;height:39.75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" filled="f" strokecolor="#c00000" strokeweight=".5pt">
                <v:textbox>
                  <w:txbxContent>
                    <w:p w14:paraId="06FD2664" w14:textId="77777777" w:rsidR="007F10E5" w:rsidRPr="00A451B0" w:rsidRDefault="007F10E5" w:rsidP="004A09ED">
                      <w:pPr>
                        <w:rPr>
                          <w:b/>
                          <w:color w:val="C00000"/>
                          <w:sz w:val="40"/>
                          <w:szCs w:val="40"/>
                        </w:rPr>
                      </w:pPr>
                      <w:r>
                        <w:rPr>
                          <w:b/>
                          <w:color w:val="C00000"/>
                          <w:sz w:val="40"/>
                          <w:szCs w:val="40"/>
                        </w:rPr>
                        <w:t>2</w:t>
                      </w:r>
                    </w:p>
                  </w:txbxContent>
                </v:textbox>
              </v:shape>
            </w:pict>
          </mc:Fallback>
        </mc:AlternateContent>
      </w:r>
      <w:r w:rsidR="00E74B5E">
        <w:rPr>
          <w:noProof/>
        </w:rPr>
        <mc:AlternateContent>
          <mc:Choice Requires="wps">
            <w:drawing>
              <wp:anchor distT="0" distB="0" distL="114300" distR="114300" simplePos="0" relativeHeight="251692032" behindDoc="0" locked="0" layoutInCell="1" allowOverlap="1" wp14:anchorId="733613CF" wp14:editId="2663C281">
                <wp:simplePos x="0" y="0"/>
                <wp:positionH relativeFrom="column">
                  <wp:posOffset>4917440</wp:posOffset>
                </wp:positionH>
                <wp:positionV relativeFrom="paragraph">
                  <wp:posOffset>374650</wp:posOffset>
                </wp:positionV>
                <wp:extent cx="914400" cy="504825"/>
                <wp:effectExtent l="0" t="0" r="12065" b="28575"/>
                <wp:wrapNone/>
                <wp:docPr id="34" name="Zone de texte 34"/>
                <wp:cNvGraphicFramePr/>
                <a:graphic xmlns:a="http://schemas.openxmlformats.org/drawingml/2006/main">
                  <a:graphicData uri="http://schemas.microsoft.com/office/word/2010/wordprocessingShape">
                    <wps:wsp>
                      <wps:cNvSpPr txBox="1"/>
                      <wps:spPr>
                        <a:xfrm>
                          <a:off x="0" y="0"/>
                          <a:ext cx="914400" cy="504825"/>
                        </a:xfrm>
                        <a:prstGeom prst="rect">
                          <a:avLst/>
                        </a:prstGeom>
                        <a:no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1B483756" w14:textId="77777777" w:rsidR="007F10E5" w:rsidRPr="00A451B0" w:rsidRDefault="007F10E5" w:rsidP="004A09ED">
                            <w:pPr>
                              <w:rPr>
                                <w:b/>
                                <w:color w:val="C00000"/>
                                <w:sz w:val="40"/>
                                <w:szCs w:val="40"/>
                              </w:rPr>
                            </w:pPr>
                            <w:r>
                              <w:rPr>
                                <w:b/>
                                <w:color w:val="C00000"/>
                                <w:sz w:val="40"/>
                                <w:szCs w:val="40"/>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33613CF" id="Zone de texte 34" o:spid="_x0000_s1033" type="#_x0000_t202" style="position:absolute;left:0;text-align:left;margin-left:387.2pt;margin-top:29.5pt;width:1in;height:39.75pt;z-index:2516920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" filled="f" strokecolor="#c00000" strokeweight=".5pt">
                <v:textbox>
                  <w:txbxContent>
                    <w:p w14:paraId="1B483756" w14:textId="77777777" w:rsidR="007F10E5" w:rsidRPr="00A451B0" w:rsidRDefault="007F10E5" w:rsidP="004A09ED">
                      <w:pPr>
                        <w:rPr>
                          <w:b/>
                          <w:color w:val="C00000"/>
                          <w:sz w:val="40"/>
                          <w:szCs w:val="40"/>
                        </w:rPr>
                      </w:pPr>
                      <w:r>
                        <w:rPr>
                          <w:b/>
                          <w:color w:val="C00000"/>
                          <w:sz w:val="40"/>
                          <w:szCs w:val="40"/>
                        </w:rPr>
                        <w:t>3</w:t>
                      </w:r>
                    </w:p>
                  </w:txbxContent>
                </v:textbox>
              </v:shape>
            </w:pict>
          </mc:Fallback>
        </mc:AlternateContent>
      </w:r>
      <w:r w:rsidR="00E74B5E">
        <w:rPr>
          <w:noProof/>
        </w:rPr>
        <mc:AlternateContent>
          <mc:Choice Requires="wps">
            <w:drawing>
              <wp:anchor distT="0" distB="0" distL="114300" distR="114300" simplePos="0" relativeHeight="251686912" behindDoc="0" locked="0" layoutInCell="1" allowOverlap="1" wp14:anchorId="228840B0" wp14:editId="6FF2A012">
                <wp:simplePos x="0" y="0"/>
                <wp:positionH relativeFrom="column">
                  <wp:posOffset>2891155</wp:posOffset>
                </wp:positionH>
                <wp:positionV relativeFrom="paragraph">
                  <wp:posOffset>73660</wp:posOffset>
                </wp:positionV>
                <wp:extent cx="666750" cy="1008000"/>
                <wp:effectExtent l="0" t="0" r="19050" b="20955"/>
                <wp:wrapNone/>
                <wp:docPr id="40" name="Rectangle 40"/>
                <wp:cNvGraphicFramePr/>
                <a:graphic xmlns:a="http://schemas.openxmlformats.org/drawingml/2006/main">
                  <a:graphicData uri="http://schemas.microsoft.com/office/word/2010/wordprocessingShape">
                    <wps:wsp>
                      <wps:cNvSpPr/>
                      <wps:spPr>
                        <a:xfrm>
                          <a:off x="0" y="0"/>
                          <a:ext cx="666750" cy="100800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DE76F3E" id="Rectangle 40" o:spid="_x0000_s1026" style="position:absolute;margin-left:227.65pt;margin-top:5.8pt;width:52.5pt;height:79.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" filled="f" strokecolor="#c00000" strokeweight="2pt"/>
            </w:pict>
          </mc:Fallback>
        </mc:AlternateContent>
      </w:r>
      <w:r w:rsidRPr="00707426">
        <w:rPr>
          <w:noProof/>
        </w:rPr>
        <w:drawing>
          <wp:inline distT="0" distB="0" distL="0" distR="0" wp14:anchorId="78EDE1EB" wp14:editId="70046753">
            <wp:extent cx="8892540" cy="922628"/>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92540" cy="922628"/>
                    </a:xfrm>
                    <a:prstGeom prst="rect">
                      <a:avLst/>
                    </a:prstGeom>
                    <a:noFill/>
                    <a:ln>
                      <a:noFill/>
                    </a:ln>
                  </pic:spPr>
                </pic:pic>
              </a:graphicData>
            </a:graphic>
          </wp:inline>
        </w:drawing>
      </w:r>
    </w:p>
    <w:p w14:paraId="12F3479F" w14:textId="60C983C1" w:rsidR="00607A57" w:rsidRDefault="00607A57" w:rsidP="00607A57"/>
    <w:p w14:paraId="35224F8A" w14:textId="1BFA3A9A" w:rsidR="004A09ED" w:rsidRDefault="004A09ED" w:rsidP="004A09ED">
      <w:r>
        <w:t>Dans le tableau ci-dessus, chaque ligne de la zone 1 correspond à 1 schéma d’aménagement. Il sera donc nécessaire de reproduire cette mise en forme autant que cela est nécessaire. Le tableau ci-dessous pré</w:t>
      </w:r>
      <w:r w:rsidR="00E74B5E">
        <w:t>sente le détail de chacune des 4</w:t>
      </w:r>
      <w:r>
        <w:t xml:space="preserve"> zones indiquées à la </w:t>
      </w:r>
      <w:r w:rsidR="00E74B5E">
        <w:fldChar w:fldCharType="begin"/>
      </w:r>
      <w:r w:rsidR="00E74B5E">
        <w:instrText xml:space="preserve"> REF _Ref468133194 \h </w:instrText>
      </w:r>
      <w:r w:rsidR="00E74B5E">
        <w:fldChar w:fldCharType="separate"/>
      </w:r>
      <w:r w:rsidR="00E74B5E">
        <w:t xml:space="preserve">Figure </w:t>
      </w:r>
      <w:r w:rsidR="00E74B5E">
        <w:rPr>
          <w:noProof/>
        </w:rPr>
        <w:t>11</w:t>
      </w:r>
      <w:r w:rsidR="00E74B5E">
        <w:fldChar w:fldCharType="end"/>
      </w:r>
      <w:r>
        <w:fldChar w:fldCharType="begin"/>
      </w:r>
      <w:r>
        <w:instrText xml:space="preserve"> REF _Ref468129624 \h </w:instrText>
      </w:r>
      <w:r>
        <w:fldChar w:fldCharType="end"/>
      </w:r>
      <w:r>
        <w:t>.</w:t>
      </w:r>
    </w:p>
    <w:p w14:paraId="6A1B1D41" w14:textId="4DA1F611" w:rsidR="004A09ED" w:rsidRDefault="004A09ED" w:rsidP="004A09ED">
      <w:pPr>
        <w:pStyle w:val="Caption"/>
      </w:pPr>
      <w:bookmarkStart w:id="28" w:name="_Ref468133194"/>
      <w:r>
        <w:t xml:space="preserve">Figure </w:t>
      </w:r>
      <w:fldSimple w:instr=" SEQ Figure \* ARABIC ">
        <w:r w:rsidR="00995EB5">
          <w:rPr>
            <w:noProof/>
          </w:rPr>
          <w:t>11</w:t>
        </w:r>
      </w:fldSimple>
      <w:bookmarkEnd w:id="28"/>
      <w:r>
        <w:t xml:space="preserve"> : </w:t>
      </w:r>
      <w:r w:rsidR="007C44B3">
        <w:t xml:space="preserve">Document de suivi de la mise en œuvre des actions prioritaires sur le terrain </w:t>
      </w:r>
      <w:r>
        <w:t>- présentation détaillée</w:t>
      </w:r>
    </w:p>
    <w:tbl>
      <w:tblPr>
        <w:tblStyle w:val="TableGrid"/>
        <w:tblW w:w="0" w:type="auto"/>
        <w:tblLook w:val="04A0" w:firstRow="1" w:lastRow="0" w:firstColumn="1" w:lastColumn="0" w:noHBand="0" w:noVBand="1"/>
      </w:tblPr>
      <w:tblGrid>
        <w:gridCol w:w="826"/>
        <w:gridCol w:w="7836"/>
        <w:gridCol w:w="5558"/>
      </w:tblGrid>
      <w:tr w:rsidR="00707426" w14:paraId="20D1B849" w14:textId="77777777" w:rsidTr="004A09ED">
        <w:trPr>
          <w:tblHeader/>
        </w:trPr>
        <w:tc>
          <w:tcPr>
            <w:tcW w:w="846" w:type="dxa"/>
            <w:shd w:val="clear" w:color="auto" w:fill="FFFFCC"/>
          </w:tcPr>
          <w:p w14:paraId="2D3E2626" w14:textId="77777777" w:rsidR="004A09ED" w:rsidRPr="00E33389" w:rsidRDefault="004A09ED" w:rsidP="004A09ED">
            <w:pPr>
              <w:spacing w:after="240"/>
              <w:jc w:val="center"/>
              <w:rPr>
                <w:b/>
                <w:color w:val="E36C0A" w:themeColor="accent6" w:themeShade="BF"/>
              </w:rPr>
            </w:pPr>
            <w:r>
              <w:rPr>
                <w:b/>
                <w:color w:val="E36C0A" w:themeColor="accent6" w:themeShade="BF"/>
              </w:rPr>
              <w:t># zone</w:t>
            </w:r>
          </w:p>
        </w:tc>
        <w:tc>
          <w:tcPr>
            <w:tcW w:w="6946" w:type="dxa"/>
            <w:shd w:val="clear" w:color="auto" w:fill="FFFFCC"/>
            <w:vAlign w:val="center"/>
          </w:tcPr>
          <w:p w14:paraId="444A585F" w14:textId="77777777" w:rsidR="004A09ED" w:rsidRPr="00E33389" w:rsidRDefault="004A09ED" w:rsidP="004A09ED">
            <w:pPr>
              <w:spacing w:after="240"/>
              <w:jc w:val="center"/>
              <w:rPr>
                <w:b/>
                <w:color w:val="E36C0A" w:themeColor="accent6" w:themeShade="BF"/>
              </w:rPr>
            </w:pPr>
            <w:r w:rsidRPr="00E33389">
              <w:rPr>
                <w:b/>
                <w:color w:val="E36C0A" w:themeColor="accent6" w:themeShade="BF"/>
              </w:rPr>
              <w:t>Présentation de la zone</w:t>
            </w:r>
          </w:p>
        </w:tc>
        <w:tc>
          <w:tcPr>
            <w:tcW w:w="6202" w:type="dxa"/>
            <w:shd w:val="clear" w:color="auto" w:fill="FFFFCC"/>
            <w:vAlign w:val="center"/>
          </w:tcPr>
          <w:p w14:paraId="732D02CF" w14:textId="77777777" w:rsidR="004A09ED" w:rsidRPr="00E33389" w:rsidRDefault="004A09ED" w:rsidP="004A09ED">
            <w:pPr>
              <w:spacing w:after="240"/>
              <w:jc w:val="center"/>
              <w:rPr>
                <w:b/>
                <w:color w:val="E36C0A" w:themeColor="accent6" w:themeShade="BF"/>
              </w:rPr>
            </w:pPr>
            <w:r w:rsidRPr="00E33389">
              <w:rPr>
                <w:b/>
                <w:color w:val="E36C0A" w:themeColor="accent6" w:themeShade="BF"/>
              </w:rPr>
              <w:t>Contenu</w:t>
            </w:r>
          </w:p>
        </w:tc>
      </w:tr>
      <w:tr w:rsidR="00707426" w14:paraId="23A21AA2" w14:textId="77777777" w:rsidTr="004A09ED">
        <w:tc>
          <w:tcPr>
            <w:tcW w:w="846" w:type="dxa"/>
            <w:vAlign w:val="center"/>
          </w:tcPr>
          <w:p w14:paraId="28979061" w14:textId="77777777" w:rsidR="004A09ED" w:rsidRPr="00927064" w:rsidRDefault="004A09ED" w:rsidP="004A09ED">
            <w:pPr>
              <w:jc w:val="left"/>
              <w:rPr>
                <w:b/>
                <w:noProof/>
                <w:color w:val="C00000"/>
              </w:rPr>
            </w:pPr>
            <w:r w:rsidRPr="00927064">
              <w:rPr>
                <w:b/>
                <w:noProof/>
                <w:color w:val="C00000"/>
              </w:rPr>
              <w:t>1</w:t>
            </w:r>
          </w:p>
        </w:tc>
        <w:tc>
          <w:tcPr>
            <w:tcW w:w="6946" w:type="dxa"/>
            <w:vAlign w:val="center"/>
          </w:tcPr>
          <w:p w14:paraId="598A9421" w14:textId="0BDA1AD6" w:rsidR="004A09ED" w:rsidRDefault="00707426" w:rsidP="004A09ED">
            <w:pPr>
              <w:jc w:val="left"/>
            </w:pPr>
            <w:r w:rsidRPr="00707426">
              <w:rPr>
                <w:noProof/>
              </w:rPr>
              <w:drawing>
                <wp:inline distT="0" distB="0" distL="0" distR="0" wp14:anchorId="53065857" wp14:editId="7B2E30ED">
                  <wp:extent cx="4687615" cy="149136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21727" cy="1502217"/>
                          </a:xfrm>
                          <a:prstGeom prst="rect">
                            <a:avLst/>
                          </a:prstGeom>
                          <a:noFill/>
                          <a:ln>
                            <a:noFill/>
                          </a:ln>
                        </pic:spPr>
                      </pic:pic>
                    </a:graphicData>
                  </a:graphic>
                </wp:inline>
              </w:drawing>
            </w:r>
          </w:p>
        </w:tc>
        <w:tc>
          <w:tcPr>
            <w:tcW w:w="6202" w:type="dxa"/>
          </w:tcPr>
          <w:p w14:paraId="2928F740" w14:textId="3FE9D825" w:rsidR="004A09ED" w:rsidRDefault="007C44B3" w:rsidP="004A09ED">
            <w:r>
              <w:t xml:space="preserve">La zone 1 reprend uniquement les informations contenues dans le listing </w:t>
            </w:r>
            <w:r>
              <w:fldChar w:fldCharType="begin"/>
            </w:r>
            <w:r>
              <w:instrText xml:space="preserve"> REF _Ref468133677 \h </w:instrText>
            </w:r>
            <w:r>
              <w:fldChar w:fldCharType="separate"/>
            </w:r>
            <w:r>
              <w:t xml:space="preserve">Figure </w:t>
            </w:r>
            <w:r>
              <w:rPr>
                <w:noProof/>
              </w:rPr>
              <w:t>9</w:t>
            </w:r>
            <w:r>
              <w:t> : "Listing des actions prioritaires des schémas d’aménagement</w:t>
            </w:r>
            <w:r>
              <w:fldChar w:fldCharType="end"/>
            </w:r>
            <w:r>
              <w:t xml:space="preserve"> ». Un lien Excel entre les 2 fichiers permet de ne pas avoir de faute de frappe et une harmonisation de l’ensemble des </w:t>
            </w:r>
            <w:r w:rsidR="00141653">
              <w:t>documents</w:t>
            </w:r>
            <w:r>
              <w:t xml:space="preserve"> de suivi.</w:t>
            </w:r>
          </w:p>
        </w:tc>
      </w:tr>
      <w:tr w:rsidR="00707426" w14:paraId="25738980" w14:textId="77777777" w:rsidTr="004A09ED">
        <w:tc>
          <w:tcPr>
            <w:tcW w:w="846" w:type="dxa"/>
            <w:vAlign w:val="center"/>
          </w:tcPr>
          <w:p w14:paraId="1CE47E2A" w14:textId="77777777" w:rsidR="004A09ED" w:rsidRPr="00927064" w:rsidRDefault="004A09ED" w:rsidP="004A09ED">
            <w:pPr>
              <w:jc w:val="left"/>
              <w:rPr>
                <w:b/>
                <w:noProof/>
                <w:color w:val="C00000"/>
              </w:rPr>
            </w:pPr>
            <w:r w:rsidRPr="00927064">
              <w:rPr>
                <w:b/>
                <w:noProof/>
                <w:color w:val="C00000"/>
              </w:rPr>
              <w:t>2</w:t>
            </w:r>
          </w:p>
        </w:tc>
        <w:tc>
          <w:tcPr>
            <w:tcW w:w="6946" w:type="dxa"/>
            <w:vAlign w:val="center"/>
          </w:tcPr>
          <w:p w14:paraId="04C8C569" w14:textId="7E7CB443" w:rsidR="004A09ED" w:rsidRDefault="00707426" w:rsidP="004A09ED">
            <w:pPr>
              <w:jc w:val="left"/>
            </w:pPr>
            <w:r w:rsidRPr="00707426">
              <w:rPr>
                <w:noProof/>
              </w:rPr>
              <w:drawing>
                <wp:inline distT="0" distB="0" distL="0" distR="0" wp14:anchorId="4D91DF8E" wp14:editId="0BDDA4D7">
                  <wp:extent cx="978195" cy="1311751"/>
                  <wp:effectExtent l="0" t="0" r="0" b="317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3310" cy="1332020"/>
                          </a:xfrm>
                          <a:prstGeom prst="rect">
                            <a:avLst/>
                          </a:prstGeom>
                          <a:noFill/>
                          <a:ln>
                            <a:noFill/>
                          </a:ln>
                        </pic:spPr>
                      </pic:pic>
                    </a:graphicData>
                  </a:graphic>
                </wp:inline>
              </w:drawing>
            </w:r>
          </w:p>
        </w:tc>
        <w:tc>
          <w:tcPr>
            <w:tcW w:w="6202" w:type="dxa"/>
          </w:tcPr>
          <w:p w14:paraId="547837D6" w14:textId="2444EA47" w:rsidR="004A09ED" w:rsidRDefault="007C44B3" w:rsidP="004A09ED">
            <w:r>
              <w:t>La 2</w:t>
            </w:r>
            <w:r w:rsidRPr="007C44B3">
              <w:rPr>
                <w:vertAlign w:val="superscript"/>
              </w:rPr>
              <w:t>ème</w:t>
            </w:r>
            <w:r>
              <w:t xml:space="preserve"> zone proposée permet de renseigner 2 informations : la réception du chronogramme ainsi que la date de démarrage du projet.</w:t>
            </w:r>
          </w:p>
          <w:p w14:paraId="254A10CF" w14:textId="657A9815" w:rsidR="007C44B3" w:rsidRDefault="007C44B3" w:rsidP="004A09ED">
            <w:r>
              <w:t xml:space="preserve">Le SPU doit veiller </w:t>
            </w:r>
            <w:r w:rsidR="00683BA4">
              <w:t>à ce que les chronogrammes soient bien archivés afin de pouvoir être des documents de référence sur lesquels appuyer le suivi des projets.</w:t>
            </w:r>
          </w:p>
        </w:tc>
      </w:tr>
      <w:tr w:rsidR="00707426" w14:paraId="5AED32D6" w14:textId="77777777" w:rsidTr="004A09ED">
        <w:trPr>
          <w:trHeight w:val="2126"/>
        </w:trPr>
        <w:tc>
          <w:tcPr>
            <w:tcW w:w="846" w:type="dxa"/>
            <w:vAlign w:val="center"/>
          </w:tcPr>
          <w:p w14:paraId="5C6EC518" w14:textId="2302F352" w:rsidR="004A09ED" w:rsidRPr="00927064" w:rsidRDefault="004A09ED" w:rsidP="004A09ED">
            <w:pPr>
              <w:jc w:val="left"/>
              <w:rPr>
                <w:b/>
                <w:noProof/>
                <w:color w:val="C00000"/>
              </w:rPr>
            </w:pPr>
            <w:r w:rsidRPr="00927064">
              <w:rPr>
                <w:b/>
                <w:noProof/>
                <w:color w:val="C00000"/>
              </w:rPr>
              <w:t>3</w:t>
            </w:r>
          </w:p>
        </w:tc>
        <w:tc>
          <w:tcPr>
            <w:tcW w:w="6946" w:type="dxa"/>
            <w:vAlign w:val="center"/>
          </w:tcPr>
          <w:p w14:paraId="208C2281" w14:textId="6D84398F" w:rsidR="004A09ED" w:rsidRDefault="00707426" w:rsidP="004A09ED">
            <w:pPr>
              <w:jc w:val="left"/>
            </w:pPr>
            <w:r w:rsidRPr="00707426">
              <w:rPr>
                <w:noProof/>
              </w:rPr>
              <w:drawing>
                <wp:inline distT="0" distB="0" distL="0" distR="0" wp14:anchorId="6766DE67" wp14:editId="0D47039E">
                  <wp:extent cx="4834567" cy="1318644"/>
                  <wp:effectExtent l="0" t="0" r="444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82357" cy="1331679"/>
                          </a:xfrm>
                          <a:prstGeom prst="rect">
                            <a:avLst/>
                          </a:prstGeom>
                          <a:noFill/>
                          <a:ln>
                            <a:noFill/>
                          </a:ln>
                        </pic:spPr>
                      </pic:pic>
                    </a:graphicData>
                  </a:graphic>
                </wp:inline>
              </w:drawing>
            </w:r>
          </w:p>
        </w:tc>
        <w:tc>
          <w:tcPr>
            <w:tcW w:w="6202" w:type="dxa"/>
          </w:tcPr>
          <w:p w14:paraId="25A2214F" w14:textId="77777777" w:rsidR="00683BA4" w:rsidRDefault="00683BA4" w:rsidP="004A09ED">
            <w:r>
              <w:t>La 3</w:t>
            </w:r>
            <w:r w:rsidRPr="00683BA4">
              <w:rPr>
                <w:vertAlign w:val="superscript"/>
              </w:rPr>
              <w:t>ème</w:t>
            </w:r>
            <w:r>
              <w:t xml:space="preserve"> zone présente le plan de visite mis en place pour suivre l’évolution du projet. Il est évident que ce n’est pas au SPU de se rendre sur le terrain pour réaliser ce travail. Il doit s’appuyer sur les institutions sectorielles en charge du suivi des travaux (MTPTC infra, UCLBP bâtiment/logement, DINEPA eau et assainissement, etc.).</w:t>
            </w:r>
          </w:p>
          <w:p w14:paraId="76814B3D" w14:textId="77777777" w:rsidR="004A09ED" w:rsidRDefault="00683BA4" w:rsidP="004A09ED">
            <w:r>
              <w:t>Le rôle du SPU est donc d’aller chercher les informations suivantes : date de la visite de site, degré d’avancement (résultat de la visite), liste des recommandations formulées.</w:t>
            </w:r>
          </w:p>
          <w:p w14:paraId="50AB6923" w14:textId="7704BEB7" w:rsidR="00683BA4" w:rsidRDefault="00683BA4" w:rsidP="004A09ED">
            <w:r>
              <w:t>Les visites suivant la 1</w:t>
            </w:r>
            <w:r w:rsidRPr="00683BA4">
              <w:rPr>
                <w:vertAlign w:val="superscript"/>
              </w:rPr>
              <w:t>ère</w:t>
            </w:r>
            <w:r>
              <w:t xml:space="preserve"> </w:t>
            </w:r>
            <w:r w:rsidR="00141653">
              <w:t>doivent contenir un suivi des recommandations formulées durant la visite précédente afin de voir s’il est nécessaire de convoquer le comité technique pour recadrer de l’intervention en cours et ne pas constater, à la fin de l’intervention, qu’il ne s’agit pas de ce qui était souhaité dans le projet.</w:t>
            </w:r>
          </w:p>
        </w:tc>
      </w:tr>
      <w:tr w:rsidR="00707426" w14:paraId="345E0E48" w14:textId="77777777" w:rsidTr="004A09ED">
        <w:tc>
          <w:tcPr>
            <w:tcW w:w="846" w:type="dxa"/>
            <w:vAlign w:val="center"/>
          </w:tcPr>
          <w:p w14:paraId="58C434C0" w14:textId="59305EDE" w:rsidR="004A09ED" w:rsidRPr="00927064" w:rsidRDefault="004A09ED" w:rsidP="004A09ED">
            <w:pPr>
              <w:jc w:val="left"/>
              <w:rPr>
                <w:b/>
                <w:noProof/>
                <w:color w:val="C00000"/>
              </w:rPr>
            </w:pPr>
            <w:r w:rsidRPr="00927064">
              <w:rPr>
                <w:b/>
                <w:noProof/>
                <w:color w:val="C00000"/>
              </w:rPr>
              <w:t>4</w:t>
            </w:r>
          </w:p>
        </w:tc>
        <w:tc>
          <w:tcPr>
            <w:tcW w:w="6946" w:type="dxa"/>
            <w:vAlign w:val="center"/>
          </w:tcPr>
          <w:p w14:paraId="7A2890FF" w14:textId="0D1730E0" w:rsidR="004A09ED" w:rsidRDefault="00707426" w:rsidP="004A09ED">
            <w:pPr>
              <w:jc w:val="left"/>
            </w:pPr>
            <w:r w:rsidRPr="00707426">
              <w:rPr>
                <w:noProof/>
              </w:rPr>
              <w:drawing>
                <wp:inline distT="0" distB="0" distL="0" distR="0" wp14:anchorId="6FC2FED5" wp14:editId="07C843BF">
                  <wp:extent cx="3530009" cy="1682447"/>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54247" cy="1693999"/>
                          </a:xfrm>
                          <a:prstGeom prst="rect">
                            <a:avLst/>
                          </a:prstGeom>
                          <a:noFill/>
                          <a:ln>
                            <a:noFill/>
                          </a:ln>
                        </pic:spPr>
                      </pic:pic>
                    </a:graphicData>
                  </a:graphic>
                </wp:inline>
              </w:drawing>
            </w:r>
          </w:p>
        </w:tc>
        <w:tc>
          <w:tcPr>
            <w:tcW w:w="6202" w:type="dxa"/>
          </w:tcPr>
          <w:p w14:paraId="2CCF417B" w14:textId="77777777" w:rsidR="004A09ED" w:rsidRDefault="00141653" w:rsidP="004A09ED">
            <w:r>
              <w:t xml:space="preserve">Enfin dans la dernières section, nous proposons de faire le suivi des résultats attendus versus atteints. </w:t>
            </w:r>
          </w:p>
          <w:p w14:paraId="21A79078" w14:textId="0DF155DA" w:rsidR="00141653" w:rsidRDefault="00141653" w:rsidP="00141653">
            <w:r>
              <w:t xml:space="preserve">Dans le cas où </w:t>
            </w:r>
            <w:r w:rsidRPr="005716F2">
              <w:t>le glossaire de l’urbain</w:t>
            </w:r>
            <w:r>
              <w:t xml:space="preserve"> serait établi il pourra être intéressant de compléter cette partie par la mesure d’indicateurs clefs harmonisés (= les mêmes pour tous les opérateurs).</w:t>
            </w:r>
          </w:p>
        </w:tc>
      </w:tr>
    </w:tbl>
    <w:p w14:paraId="2805C7B7" w14:textId="77777777" w:rsidR="004A09ED" w:rsidRDefault="004A09ED" w:rsidP="00607A57"/>
    <w:p w14:paraId="00CB88B5" w14:textId="77777777" w:rsidR="004A09ED" w:rsidRDefault="004A09ED" w:rsidP="00607A57">
      <w:pPr>
        <w:sectPr w:rsidR="004A09ED" w:rsidSect="004A09ED">
          <w:pgSz w:w="16838" w:h="11906" w:orient="landscape"/>
          <w:pgMar w:top="1417" w:right="1417" w:bottom="1417" w:left="1417" w:header="708" w:footer="708" w:gutter="0"/>
          <w:cols w:space="708"/>
          <w:docGrid w:linePitch="360"/>
        </w:sectPr>
      </w:pPr>
    </w:p>
    <w:p w14:paraId="1A0F6319" w14:textId="2DC3A8BB" w:rsidR="00607A57" w:rsidRDefault="00141653" w:rsidP="00E53E6F">
      <w:pPr>
        <w:pStyle w:val="Heading4"/>
        <w:numPr>
          <w:ilvl w:val="3"/>
          <w:numId w:val="45"/>
        </w:numPr>
      </w:pPr>
      <w:r>
        <w:t>Autres outils de suivi</w:t>
      </w:r>
    </w:p>
    <w:p w14:paraId="563B839B" w14:textId="77777777" w:rsidR="00141653" w:rsidRDefault="00141653" w:rsidP="00607A57">
      <w:pPr>
        <w:pStyle w:val="ListParagraph"/>
        <w:numPr>
          <w:ilvl w:val="0"/>
          <w:numId w:val="49"/>
        </w:numPr>
      </w:pPr>
      <w:r w:rsidRPr="00141653">
        <w:rPr>
          <w:b/>
        </w:rPr>
        <w:t>Compte-rendu (CR)</w:t>
      </w:r>
      <w:r>
        <w:t> : l</w:t>
      </w:r>
      <w:r w:rsidR="00607A57">
        <w:t>e contenu du CR doit être décidé par les institutions elles même mais il convient de rappeler l’ordre du jour, l’objectif de la réunion. La tenue de réunion des techniciens de différentes institutions n’est pas ancrée dans les habitudes de travail. Il est nécessaire qu’un appui permette de lancer des thématiques des réunions.  Cela peut être centré sur le suivi des actions en cours, sur le reporting d’une bonne pratique identifié, d’un point de blocage, ou bien encore pour analyser de manière conjointe la situation d’une commune jugée préoccupante.</w:t>
      </w:r>
    </w:p>
    <w:p w14:paraId="179672C9" w14:textId="77777777" w:rsidR="00141653" w:rsidRDefault="00141653" w:rsidP="00607A57">
      <w:pPr>
        <w:pStyle w:val="ListParagraph"/>
        <w:numPr>
          <w:ilvl w:val="0"/>
          <w:numId w:val="49"/>
        </w:numPr>
      </w:pPr>
      <w:r>
        <w:rPr>
          <w:b/>
        </w:rPr>
        <w:t xml:space="preserve">Répertoire départemental et local des personnes-ressources : </w:t>
      </w:r>
      <w:r w:rsidR="00607A57">
        <w:t>En complément de ces outils, il pourrait être intéressant de mettre en place un répertoire des personnes ressources au niveau départemental et local sur les questions urbaines. Ce répertoire pourrait faire l’objet d’une séance de travail de la part du MICT, MPCE et du MPTC afin d’en définir le contenu et l’utilité.</w:t>
      </w:r>
    </w:p>
    <w:p w14:paraId="4246B16D" w14:textId="01BE34B5" w:rsidR="00607A57" w:rsidRDefault="00607A57" w:rsidP="00141653">
      <w:pPr>
        <w:pStyle w:val="ListParagraph"/>
      </w:pPr>
      <w:r>
        <w:t>Selon les besoins exprimés d’autres entités, organismes peuvent être ajoutés (DINEPA, EDH, etc.).</w:t>
      </w:r>
    </w:p>
    <w:p w14:paraId="2D1182F6" w14:textId="77777777" w:rsidR="00607A57" w:rsidRDefault="00607A57" w:rsidP="00607A57"/>
    <w:p w14:paraId="13D9D21D" w14:textId="2EA4A8D2" w:rsidR="00607A57" w:rsidRDefault="00607A57" w:rsidP="00607A57">
      <w:r>
        <w:t xml:space="preserve">Le SPU pourrait être chargé de l’actualisation de ce fichier à une fréquence adéquat qui sera à définir par les 3 institutions citées ci-dessus. Le fichier après validation de son utilité, sera remis en version </w:t>
      </w:r>
      <w:r w:rsidR="006654FA">
        <w:t>Excel</w:t>
      </w:r>
      <w:r>
        <w:t xml:space="preserve"> au SPU.</w:t>
      </w:r>
    </w:p>
    <w:p w14:paraId="265E6599" w14:textId="77777777" w:rsidR="00607A57" w:rsidRDefault="00607A57" w:rsidP="00607A57">
      <w:r w:rsidRPr="00B45F91">
        <w:t xml:space="preserve">Le tableau ci-dessous présente l’outil proposé. </w:t>
      </w:r>
    </w:p>
    <w:p w14:paraId="0E6C67DE" w14:textId="77777777" w:rsidR="00607A57" w:rsidRDefault="00607A57" w:rsidP="00607A57">
      <w:pPr>
        <w:sectPr w:rsidR="00607A57" w:rsidSect="00607A57">
          <w:pgSz w:w="11906" w:h="16838"/>
          <w:pgMar w:top="1417" w:right="1417" w:bottom="1417" w:left="1417" w:header="708" w:footer="708" w:gutter="0"/>
          <w:cols w:space="708"/>
          <w:docGrid w:linePitch="360"/>
        </w:sectPr>
      </w:pPr>
    </w:p>
    <w:p w14:paraId="6FD9557C" w14:textId="77777777" w:rsidR="00607A57" w:rsidRPr="00B45F91" w:rsidRDefault="00607A57" w:rsidP="00607A57">
      <w:pPr>
        <w:pStyle w:val="Caption"/>
      </w:pPr>
      <w:r>
        <w:t xml:space="preserve">Figure </w:t>
      </w:r>
      <w:fldSimple w:instr=" SEQ Figure \* ARABIC ">
        <w:r w:rsidR="00995EB5">
          <w:rPr>
            <w:noProof/>
          </w:rPr>
          <w:t>12</w:t>
        </w:r>
      </w:fldSimple>
      <w:r>
        <w:t> : Répertoire des personnes ressources par département et communes</w:t>
      </w:r>
    </w:p>
    <w:p w14:paraId="7FB16BD5" w14:textId="77777777" w:rsidR="00607A57" w:rsidRDefault="00607A57" w:rsidP="00607A57">
      <w:pPr>
        <w:rPr>
          <w:highlight w:val="yellow"/>
        </w:rPr>
      </w:pPr>
      <w:r w:rsidRPr="00B45F91">
        <w:rPr>
          <w:noProof/>
        </w:rPr>
        <w:drawing>
          <wp:inline distT="0" distB="0" distL="0" distR="0" wp14:anchorId="6F7441BA" wp14:editId="5A0A785A">
            <wp:extent cx="9258300" cy="3827108"/>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4">
                      <a:extLst>
                        <a:ext uri="{28A0092B-C50C-407E-A947-70E740481C1C}">
                          <a14:useLocalDpi xmlns:a14="http://schemas.microsoft.com/office/drawing/2010/main" val="0"/>
                        </a:ext>
                      </a:extLst>
                    </a:blip>
                    <a:srcRect b="36105"/>
                    <a:stretch/>
                  </pic:blipFill>
                  <pic:spPr bwMode="auto">
                    <a:xfrm>
                      <a:off x="0" y="0"/>
                      <a:ext cx="9283853" cy="3837671"/>
                    </a:xfrm>
                    <a:prstGeom prst="rect">
                      <a:avLst/>
                    </a:prstGeom>
                    <a:noFill/>
                    <a:ln>
                      <a:noFill/>
                    </a:ln>
                    <a:extLst>
                      <a:ext uri="{53640926-AAD7-44D8-BBD7-CCE9431645EC}">
                        <a14:shadowObscured xmlns:a14="http://schemas.microsoft.com/office/drawing/2010/main"/>
                      </a:ext>
                    </a:extLst>
                  </pic:spPr>
                </pic:pic>
              </a:graphicData>
            </a:graphic>
          </wp:inline>
        </w:drawing>
      </w:r>
    </w:p>
    <w:p w14:paraId="5482B8E6" w14:textId="77777777" w:rsidR="00607A57" w:rsidRDefault="00607A57" w:rsidP="00607A57">
      <w:pPr>
        <w:rPr>
          <w:highlight w:val="yellow"/>
        </w:rPr>
        <w:sectPr w:rsidR="00607A57" w:rsidSect="00607A57">
          <w:pgSz w:w="16838" w:h="11906" w:orient="landscape"/>
          <w:pgMar w:top="1417" w:right="1417" w:bottom="1417" w:left="1417" w:header="708" w:footer="708" w:gutter="0"/>
          <w:cols w:space="708"/>
          <w:docGrid w:linePitch="360"/>
        </w:sectPr>
      </w:pPr>
    </w:p>
    <w:p w14:paraId="5937CAF8" w14:textId="6A6F82CD" w:rsidR="005F401E" w:rsidRDefault="005F401E" w:rsidP="005F401E">
      <w:pPr>
        <w:pStyle w:val="Heading3"/>
      </w:pPr>
      <w:bookmarkStart w:id="29" w:name="_Toc468189944"/>
      <w:r>
        <w:t>Plan d’action pour opérationnaliser rapidement le suivi des schémas d’aménagement.</w:t>
      </w:r>
      <w:bookmarkEnd w:id="29"/>
    </w:p>
    <w:p w14:paraId="5EA13B5F" w14:textId="55BAA64D" w:rsidR="005F401E" w:rsidRDefault="005F401E" w:rsidP="005F401E">
      <w:r>
        <w:t xml:space="preserve">Le plan d’action suivant présente les différentes étapes que se sont fixées le SPU et le MTPTC pour réaliser le suivi des schémas d’aménagement. Ce plan d’action a été réalisé conjointement avec le SPU et </w:t>
      </w:r>
      <w:r w:rsidR="0052110A">
        <w:t xml:space="preserve">à sa demande. </w:t>
      </w:r>
    </w:p>
    <w:p w14:paraId="68A3FF2B" w14:textId="77777777" w:rsidR="0052110A" w:rsidRDefault="0052110A" w:rsidP="005F401E"/>
    <w:p w14:paraId="64DA8124" w14:textId="4B068CF5" w:rsidR="0052110A" w:rsidRDefault="0052110A" w:rsidP="005F401E">
      <w:r>
        <w:t xml:space="preserve">Le plan d’action permettra de concourir à (re)prise en main du suivi du secteur par le SPU. </w:t>
      </w:r>
    </w:p>
    <w:p w14:paraId="75947628" w14:textId="7F83D621" w:rsidR="0052110A" w:rsidRDefault="0052110A" w:rsidP="005F401E">
      <w:r>
        <w:t xml:space="preserve">Description de l’action détaillée en 3 niveaux : Mission, objectifs et activités. Cet objectif général sera atteint à travers le développement de 3 missions clefs, à savoir : </w:t>
      </w:r>
    </w:p>
    <w:p w14:paraId="3DF1C79E" w14:textId="395C2A3C" w:rsidR="0052110A" w:rsidRDefault="0052110A" w:rsidP="0052110A">
      <w:pPr>
        <w:pStyle w:val="ListParagraph"/>
        <w:numPr>
          <w:ilvl w:val="0"/>
          <w:numId w:val="50"/>
        </w:numPr>
      </w:pPr>
      <w:r w:rsidRPr="0052110A">
        <w:rPr>
          <w:b/>
        </w:rPr>
        <w:t>MISSION 1</w:t>
      </w:r>
      <w:r w:rsidRPr="0052110A">
        <w:t>: Mise en place des activités</w:t>
      </w:r>
    </w:p>
    <w:p w14:paraId="1FCD0927" w14:textId="20FA272D" w:rsidR="0052110A" w:rsidRDefault="0052110A" w:rsidP="0052110A">
      <w:pPr>
        <w:pStyle w:val="ListParagraph"/>
        <w:numPr>
          <w:ilvl w:val="0"/>
          <w:numId w:val="50"/>
        </w:numPr>
      </w:pPr>
      <w:r w:rsidRPr="0052110A">
        <w:rPr>
          <w:b/>
        </w:rPr>
        <w:t>MISSION 2</w:t>
      </w:r>
      <w:r w:rsidRPr="0052110A">
        <w:t xml:space="preserve"> : Prise en main et appropriation des outils de suivi</w:t>
      </w:r>
    </w:p>
    <w:p w14:paraId="37BDBC98" w14:textId="2BB3F9B2" w:rsidR="0052110A" w:rsidRDefault="0052110A" w:rsidP="0052110A">
      <w:pPr>
        <w:pStyle w:val="ListParagraph"/>
        <w:numPr>
          <w:ilvl w:val="0"/>
          <w:numId w:val="50"/>
        </w:numPr>
      </w:pPr>
      <w:r w:rsidRPr="0052110A">
        <w:rPr>
          <w:b/>
        </w:rPr>
        <w:t>MISSION 3</w:t>
      </w:r>
      <w:r w:rsidRPr="0052110A">
        <w:t>: Pérenniser les activités de suivi des plans d'aménagement</w:t>
      </w:r>
    </w:p>
    <w:p w14:paraId="6903EFBB" w14:textId="77777777" w:rsidR="00995EB5" w:rsidRDefault="00995EB5" w:rsidP="00995EB5"/>
    <w:p w14:paraId="74AD1703" w14:textId="63E790E2" w:rsidR="0052110A" w:rsidRDefault="0052110A" w:rsidP="0052110A">
      <w:r>
        <w:t>Le plan d’action est présenté ci-dessous et fourni en version Excel au MTPTC pour appropriation et mise en œuvre.</w:t>
      </w:r>
    </w:p>
    <w:p w14:paraId="72D8EE72" w14:textId="77777777" w:rsidR="00995EB5" w:rsidRDefault="00995EB5" w:rsidP="0052110A">
      <w:pPr>
        <w:sectPr w:rsidR="00995EB5" w:rsidSect="00F927A2">
          <w:pgSz w:w="11906" w:h="16838"/>
          <w:pgMar w:top="1417" w:right="1417" w:bottom="1417" w:left="1417" w:header="708" w:footer="708" w:gutter="0"/>
          <w:cols w:space="708"/>
          <w:docGrid w:linePitch="360"/>
        </w:sectPr>
      </w:pPr>
    </w:p>
    <w:p w14:paraId="48AAFD15" w14:textId="68BB0035" w:rsidR="0052110A" w:rsidRDefault="00995EB5" w:rsidP="00995EB5">
      <w:pPr>
        <w:pStyle w:val="Caption"/>
      </w:pPr>
      <w:r>
        <w:t xml:space="preserve">Figure </w:t>
      </w:r>
      <w:fldSimple w:instr=" SEQ Figure \* ARABIC ">
        <w:r>
          <w:rPr>
            <w:noProof/>
          </w:rPr>
          <w:t>13</w:t>
        </w:r>
      </w:fldSimple>
      <w:r>
        <w:t> : Plan d’action SPU - Mise en place du suivi des schémas d’aménagement</w:t>
      </w:r>
    </w:p>
    <w:p w14:paraId="10DD4A61" w14:textId="348C3E2C" w:rsidR="00995EB5" w:rsidRDefault="00995EB5" w:rsidP="0052110A">
      <w:r w:rsidRPr="00995EB5">
        <w:rPr>
          <w:noProof/>
        </w:rPr>
        <w:drawing>
          <wp:inline distT="0" distB="0" distL="0" distR="0" wp14:anchorId="0339FB20" wp14:editId="6855037D">
            <wp:extent cx="8892540" cy="3317240"/>
            <wp:effectExtent l="0" t="0" r="381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892540" cy="3317240"/>
                    </a:xfrm>
                    <a:prstGeom prst="rect">
                      <a:avLst/>
                    </a:prstGeom>
                    <a:noFill/>
                    <a:ln>
                      <a:noFill/>
                    </a:ln>
                  </pic:spPr>
                </pic:pic>
              </a:graphicData>
            </a:graphic>
          </wp:inline>
        </w:drawing>
      </w:r>
    </w:p>
    <w:p w14:paraId="147B30ED" w14:textId="7375D622" w:rsidR="00995EB5" w:rsidRDefault="00995EB5" w:rsidP="0052110A">
      <w:r w:rsidRPr="00995EB5">
        <w:rPr>
          <w:noProof/>
        </w:rPr>
        <w:drawing>
          <wp:inline distT="0" distB="0" distL="0" distR="0" wp14:anchorId="5F853AC2" wp14:editId="093A1C0E">
            <wp:extent cx="8892540" cy="4672159"/>
            <wp:effectExtent l="0" t="0" r="381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892540" cy="4672159"/>
                    </a:xfrm>
                    <a:prstGeom prst="rect">
                      <a:avLst/>
                    </a:prstGeom>
                    <a:noFill/>
                    <a:ln>
                      <a:noFill/>
                    </a:ln>
                  </pic:spPr>
                </pic:pic>
              </a:graphicData>
            </a:graphic>
          </wp:inline>
        </w:drawing>
      </w:r>
    </w:p>
    <w:p w14:paraId="155301C8" w14:textId="77777777" w:rsidR="00995EB5" w:rsidRDefault="00995EB5" w:rsidP="0052110A"/>
    <w:p w14:paraId="745AA6A5" w14:textId="2B318A5E" w:rsidR="00995EB5" w:rsidRDefault="00995EB5" w:rsidP="0052110A">
      <w:r w:rsidRPr="00995EB5">
        <w:rPr>
          <w:noProof/>
        </w:rPr>
        <w:drawing>
          <wp:inline distT="0" distB="0" distL="0" distR="0" wp14:anchorId="587818B0" wp14:editId="1739AEF2">
            <wp:extent cx="8892540" cy="1065090"/>
            <wp:effectExtent l="0" t="0" r="3810" b="190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892540" cy="1065090"/>
                    </a:xfrm>
                    <a:prstGeom prst="rect">
                      <a:avLst/>
                    </a:prstGeom>
                    <a:noFill/>
                    <a:ln>
                      <a:noFill/>
                    </a:ln>
                  </pic:spPr>
                </pic:pic>
              </a:graphicData>
            </a:graphic>
          </wp:inline>
        </w:drawing>
      </w:r>
    </w:p>
    <w:p w14:paraId="5510A4BA" w14:textId="77777777" w:rsidR="00995EB5" w:rsidRDefault="00995EB5" w:rsidP="0052110A"/>
    <w:p w14:paraId="0470AD0B" w14:textId="77777777" w:rsidR="00995EB5" w:rsidRDefault="00995EB5" w:rsidP="0052110A">
      <w:pPr>
        <w:sectPr w:rsidR="00995EB5" w:rsidSect="00995EB5">
          <w:pgSz w:w="16838" w:h="11906" w:orient="landscape"/>
          <w:pgMar w:top="1417" w:right="1417" w:bottom="1417" w:left="1417" w:header="708" w:footer="708" w:gutter="0"/>
          <w:cols w:space="708"/>
          <w:docGrid w:linePitch="360"/>
        </w:sectPr>
      </w:pPr>
    </w:p>
    <w:p w14:paraId="35FC2666" w14:textId="77777777" w:rsidR="00607A57" w:rsidRDefault="00607A57" w:rsidP="0052110A">
      <w:pPr>
        <w:pStyle w:val="Heading3"/>
        <w:pageBreakBefore/>
        <w:numPr>
          <w:ilvl w:val="2"/>
          <w:numId w:val="45"/>
        </w:numPr>
      </w:pPr>
      <w:bookmarkStart w:id="30" w:name="_Toc468189945"/>
      <w:r w:rsidRPr="0037109E">
        <w:t>Quelle place pour le ST/CIAT ?</w:t>
      </w:r>
      <w:bookmarkEnd w:id="30"/>
    </w:p>
    <w:p w14:paraId="2559DE8A" w14:textId="77777777" w:rsidR="00607A57" w:rsidRDefault="00607A57" w:rsidP="00607A57">
      <w:pPr>
        <w:autoSpaceDE w:val="0"/>
        <w:autoSpaceDN w:val="0"/>
        <w:adjustRightInd w:val="0"/>
        <w:snapToGrid w:val="0"/>
        <w:jc w:val="left"/>
        <w:rPr>
          <w:rFonts w:cs="Arial"/>
          <w:color w:val="000000"/>
          <w:sz w:val="20"/>
          <w:szCs w:val="24"/>
          <w:lang w:val="x-none"/>
        </w:rPr>
      </w:pPr>
      <w:r w:rsidRPr="00F910E7">
        <w:rPr>
          <w:rFonts w:cs="Arial"/>
          <w:color w:val="000000"/>
          <w:sz w:val="20"/>
          <w:szCs w:val="24"/>
          <w:lang w:val="x-none"/>
        </w:rPr>
        <w:t>Créé par arrêté du Premier Ministre en date du 30 janvier 2009, le CIAT est donc une structure de</w:t>
      </w:r>
      <w:r>
        <w:rPr>
          <w:rFonts w:cs="Arial"/>
          <w:color w:val="000000"/>
          <w:sz w:val="20"/>
          <w:szCs w:val="24"/>
        </w:rPr>
        <w:t xml:space="preserve"> </w:t>
      </w:r>
      <w:r>
        <w:rPr>
          <w:rFonts w:cs="Arial"/>
          <w:color w:val="000000"/>
          <w:sz w:val="20"/>
          <w:szCs w:val="24"/>
          <w:lang w:val="x-none"/>
        </w:rPr>
        <w:t>coordination, censée se réunir ordinairement tous les 3 mois, qui s’appuie sur un Secrétariat</w:t>
      </w:r>
      <w:r>
        <w:rPr>
          <w:rFonts w:cs="Arial"/>
          <w:color w:val="000000"/>
          <w:sz w:val="20"/>
          <w:szCs w:val="24"/>
        </w:rPr>
        <w:t xml:space="preserve"> </w:t>
      </w:r>
      <w:r>
        <w:rPr>
          <w:rFonts w:cs="Arial"/>
          <w:color w:val="000000"/>
          <w:sz w:val="20"/>
          <w:szCs w:val="24"/>
          <w:lang w:val="x-none"/>
        </w:rPr>
        <w:t xml:space="preserve">Technique (ST). </w:t>
      </w:r>
    </w:p>
    <w:p w14:paraId="03BB128D" w14:textId="77777777" w:rsidR="00607A57" w:rsidRPr="0037109E" w:rsidRDefault="00607A57" w:rsidP="00607A57">
      <w:pPr>
        <w:pStyle w:val="Caption"/>
      </w:pPr>
      <w:r>
        <w:t xml:space="preserve">Figure </w:t>
      </w:r>
      <w:fldSimple w:instr=" SEQ Figure \* ARABIC ">
        <w:r w:rsidR="00995EB5">
          <w:rPr>
            <w:noProof/>
          </w:rPr>
          <w:t>14</w:t>
        </w:r>
      </w:fldSimple>
      <w:r>
        <w:t> : Disposition légales du CIAT- source diagnostic FED</w:t>
      </w:r>
    </w:p>
    <w:p w14:paraId="3AC36A76" w14:textId="77777777" w:rsidR="00607A57" w:rsidRPr="00F910E7" w:rsidRDefault="00607A57" w:rsidP="00607A57">
      <w:r>
        <w:rPr>
          <w:noProof/>
        </w:rPr>
        <w:drawing>
          <wp:inline distT="0" distB="0" distL="0" distR="0" wp14:anchorId="5EB7F13B" wp14:editId="51AE4AC9">
            <wp:extent cx="5760720" cy="233108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760720" cy="2331085"/>
                    </a:xfrm>
                    <a:prstGeom prst="rect">
                      <a:avLst/>
                    </a:prstGeom>
                  </pic:spPr>
                </pic:pic>
              </a:graphicData>
            </a:graphic>
          </wp:inline>
        </w:drawing>
      </w:r>
    </w:p>
    <w:p w14:paraId="75D81664" w14:textId="77777777" w:rsidR="00607A57" w:rsidRPr="00F910E7" w:rsidRDefault="00607A57" w:rsidP="00607A57">
      <w:r w:rsidRPr="00F910E7">
        <w:t xml:space="preserve">Le CIAT est présenté comme assurant une fonction de contrôle de la conformité des interventions. </w:t>
      </w:r>
    </w:p>
    <w:p w14:paraId="7DDFFF3F" w14:textId="77777777" w:rsidR="00607A57" w:rsidRDefault="00607A57" w:rsidP="00F70EF1">
      <w:pPr>
        <w:pStyle w:val="ListParagraph"/>
        <w:numPr>
          <w:ilvl w:val="0"/>
          <w:numId w:val="29"/>
        </w:numPr>
        <w:spacing w:before="0" w:after="200"/>
      </w:pPr>
      <w:r w:rsidRPr="00683175">
        <w:rPr>
          <w:b/>
        </w:rPr>
        <w:t>Bilan du fonctionnement du Comité technique du CIAT dans le cadre du PARAQ</w:t>
      </w:r>
      <w:r>
        <w:t> : Dans le cadre de ce projet, tous les opérateurs sont unanimes pour reconnaitre la plus-value d’un dialogue coordonné avec les institutions sur le plan technique et la prise de décision collégiale qui en découle.</w:t>
      </w:r>
    </w:p>
    <w:p w14:paraId="15501D15" w14:textId="77777777" w:rsidR="00607A57" w:rsidRDefault="00607A57" w:rsidP="00F70EF1">
      <w:pPr>
        <w:pStyle w:val="ListParagraph"/>
        <w:numPr>
          <w:ilvl w:val="0"/>
          <w:numId w:val="29"/>
        </w:numPr>
        <w:spacing w:before="0" w:after="200"/>
      </w:pPr>
      <w:r>
        <w:rPr>
          <w:b/>
        </w:rPr>
        <w:t>Perspectives</w:t>
      </w:r>
      <w:r w:rsidRPr="00683175">
        <w:rPr>
          <w:b/>
        </w:rPr>
        <w:t xml:space="preserve"> pour le futur</w:t>
      </w:r>
      <w:r>
        <w:t xml:space="preserve"> : La non systématisation des réunions du CIAT (au niveau stratégique) et l’absence de réunion (niveau opérationnel), en dehors de tout financement projet sont réels et admis par l’ensemble des ministères représentés dans le CIAT. Pour que le ST/ CIAT puisse exercer son rôle résultant des directives énoncés dans l’article 4, il est nécessaire : </w:t>
      </w:r>
    </w:p>
    <w:p w14:paraId="3D787895" w14:textId="77777777" w:rsidR="00607A57" w:rsidRDefault="00607A57" w:rsidP="00F70EF1">
      <w:pPr>
        <w:pStyle w:val="ListParagraph"/>
        <w:numPr>
          <w:ilvl w:val="1"/>
          <w:numId w:val="29"/>
        </w:numPr>
        <w:spacing w:before="0" w:after="200"/>
      </w:pPr>
      <w:r>
        <w:t xml:space="preserve">Que s’enclenche une vraie dynamique de concertation entre les ministères du CIAT pour discuter des taches des uns et des autres, d’échanger des informations et de s’entendre pour fixer la répartition des rôles de chaque direction </w:t>
      </w:r>
    </w:p>
    <w:p w14:paraId="51B6D0AF" w14:textId="77777777" w:rsidR="00607A57" w:rsidRPr="00B7175F" w:rsidRDefault="00607A57" w:rsidP="00F70EF1">
      <w:pPr>
        <w:pStyle w:val="ListParagraph"/>
        <w:numPr>
          <w:ilvl w:val="1"/>
          <w:numId w:val="29"/>
        </w:numPr>
        <w:spacing w:before="0" w:after="200"/>
      </w:pPr>
      <w:r>
        <w:t xml:space="preserve">de Définir un cadre normé d’indicateur de suivi des projets, suivant des thématiques jugées prioritaires. Cela qui signifie également définir un vocable commun pour l’ensemble des professionnels de l’urbain (y compris les institutions centralisée, décentralisée ou locale). </w:t>
      </w:r>
    </w:p>
    <w:p w14:paraId="6D709A45" w14:textId="77777777" w:rsidR="00607A57" w:rsidRDefault="00607A57" w:rsidP="00607A57">
      <w:r>
        <w:t xml:space="preserve">Dans le cadre de cette prestation, nous ne définirons pas le contenu du suivi opérationnel, a mettre en place par le CIAT, nous pouvons simplement définir les grandes lignes qui permettraient de répondre au besoin </w:t>
      </w:r>
      <w:r w:rsidRPr="006C0F4D">
        <w:t>d’un exercic</w:t>
      </w:r>
      <w:r>
        <w:t>e des fonctions de coordination</w:t>
      </w:r>
      <w:r w:rsidRPr="006C0F4D">
        <w:t xml:space="preserve"> et de contrôle qu’exerce le ST/CIAT aujourd’hui</w:t>
      </w:r>
      <w:r>
        <w:rPr>
          <w:rStyle w:val="FootnoteReference"/>
        </w:rPr>
        <w:footnoteReference w:id="38"/>
      </w:r>
      <w:r>
        <w:t>.</w:t>
      </w:r>
    </w:p>
    <w:p w14:paraId="13DB3AF6" w14:textId="77777777" w:rsidR="00607A57" w:rsidRDefault="00607A57" w:rsidP="00F70EF1">
      <w:pPr>
        <w:pStyle w:val="ListParagraph"/>
        <w:numPr>
          <w:ilvl w:val="0"/>
          <w:numId w:val="30"/>
        </w:numPr>
        <w:spacing w:before="0" w:after="200"/>
      </w:pPr>
      <w:r w:rsidRPr="005842A1">
        <w:rPr>
          <w:b/>
        </w:rPr>
        <w:t>Etape 1</w:t>
      </w:r>
      <w:r>
        <w:t> : Se tenir informé des programmes à venir sur l’urbain</w:t>
      </w:r>
    </w:p>
    <w:p w14:paraId="5C71A670" w14:textId="77777777" w:rsidR="00607A57" w:rsidRDefault="00607A57" w:rsidP="00F70EF1">
      <w:pPr>
        <w:pStyle w:val="ListParagraph"/>
        <w:numPr>
          <w:ilvl w:val="0"/>
          <w:numId w:val="30"/>
        </w:numPr>
        <w:spacing w:before="0" w:after="200"/>
      </w:pPr>
      <w:r w:rsidRPr="005842A1">
        <w:rPr>
          <w:b/>
        </w:rPr>
        <w:t>Etape 2</w:t>
      </w:r>
      <w:r>
        <w:t> : Sensibiliser les bailleurs et les institutions sur la nécessité d’utiliser un vocabulaire commun</w:t>
      </w:r>
    </w:p>
    <w:p w14:paraId="0F0B03F0" w14:textId="77777777" w:rsidR="00607A57" w:rsidRDefault="00607A57" w:rsidP="00F70EF1">
      <w:pPr>
        <w:pStyle w:val="ListParagraph"/>
        <w:numPr>
          <w:ilvl w:val="1"/>
          <w:numId w:val="30"/>
        </w:numPr>
        <w:spacing w:before="0" w:after="200"/>
      </w:pPr>
      <w:r>
        <w:rPr>
          <w:b/>
        </w:rPr>
        <w:t>Etape 2</w:t>
      </w:r>
      <w:r w:rsidRPr="005842A1">
        <w:rPr>
          <w:b/>
        </w:rPr>
        <w:t>.1</w:t>
      </w:r>
      <w:r>
        <w:t> : Définir en commission ad hoc, le référentiel des mots et concept,</w:t>
      </w:r>
    </w:p>
    <w:p w14:paraId="34A2BB38" w14:textId="77777777" w:rsidR="00607A57" w:rsidRDefault="00607A57" w:rsidP="00F70EF1">
      <w:pPr>
        <w:pStyle w:val="ListParagraph"/>
        <w:numPr>
          <w:ilvl w:val="1"/>
          <w:numId w:val="30"/>
        </w:numPr>
        <w:spacing w:before="0" w:after="200"/>
      </w:pPr>
      <w:r>
        <w:rPr>
          <w:b/>
        </w:rPr>
        <w:t>Etape 2</w:t>
      </w:r>
      <w:r w:rsidRPr="00A74206">
        <w:rPr>
          <w:b/>
        </w:rPr>
        <w:t>.2</w:t>
      </w:r>
      <w:r>
        <w:t> : Editer un glossaire de l’urbain et le diffuser largement auprès des institutions. Il est important de le mettre à disposition de tous sur la plate-forme numérique et de s’assurer que les TdR des projets fassent référence à ce document. Ainsi tous les acteurs dans le champ de l’urbain seront informés</w:t>
      </w:r>
      <w:r>
        <w:rPr>
          <w:rStyle w:val="FootnoteReference"/>
        </w:rPr>
        <w:footnoteReference w:id="39"/>
      </w:r>
      <w:r>
        <w:t>.</w:t>
      </w:r>
    </w:p>
    <w:p w14:paraId="61F5338D" w14:textId="77777777" w:rsidR="00607A57" w:rsidRDefault="00607A57" w:rsidP="00F70EF1">
      <w:pPr>
        <w:pStyle w:val="ListParagraph"/>
        <w:numPr>
          <w:ilvl w:val="1"/>
          <w:numId w:val="30"/>
        </w:numPr>
        <w:spacing w:before="0" w:after="200"/>
      </w:pPr>
      <w:r>
        <w:rPr>
          <w:b/>
        </w:rPr>
        <w:t>Etape 2</w:t>
      </w:r>
      <w:r w:rsidRPr="00A74206">
        <w:rPr>
          <w:b/>
        </w:rPr>
        <w:t>.3</w:t>
      </w:r>
      <w:r>
        <w:t> : Définir un package des indicateurs minimum par thématique qui seraient exigé aux opérateurs</w:t>
      </w:r>
    </w:p>
    <w:p w14:paraId="16C78AC2" w14:textId="77777777" w:rsidR="00607A57" w:rsidRPr="0011335E" w:rsidRDefault="00607A57" w:rsidP="00F70EF1">
      <w:pPr>
        <w:pStyle w:val="ListParagraph"/>
        <w:numPr>
          <w:ilvl w:val="0"/>
          <w:numId w:val="30"/>
        </w:numPr>
        <w:spacing w:before="0" w:after="200"/>
      </w:pPr>
      <w:r w:rsidRPr="0011335E">
        <w:rPr>
          <w:b/>
        </w:rPr>
        <w:t xml:space="preserve">Etape 3 : </w:t>
      </w:r>
      <w:r w:rsidRPr="0011335E">
        <w:t>Exiger le retour d’information (partage de données brutes récoltées dans le cadre du suivi-évaluation des projets)</w:t>
      </w:r>
    </w:p>
    <w:p w14:paraId="0022E27D" w14:textId="77777777" w:rsidR="00607A57" w:rsidRDefault="00607A57" w:rsidP="00F70EF1">
      <w:pPr>
        <w:pStyle w:val="ListParagraph"/>
        <w:numPr>
          <w:ilvl w:val="0"/>
          <w:numId w:val="30"/>
        </w:numPr>
        <w:spacing w:before="0" w:after="200"/>
      </w:pPr>
      <w:r>
        <w:rPr>
          <w:b/>
        </w:rPr>
        <w:t>Etape 4 :</w:t>
      </w:r>
      <w:r>
        <w:t xml:space="preserve"> utiliser et valoriser l’information </w:t>
      </w:r>
      <w:r w:rsidRPr="00DB6E82">
        <w:t>collectée</w:t>
      </w:r>
    </w:p>
    <w:p w14:paraId="555776C1" w14:textId="77777777" w:rsidR="00607A57" w:rsidRPr="005842A1" w:rsidRDefault="00607A57" w:rsidP="00607A57">
      <w:r>
        <w:t>L’ensemble de ces réflexions s’inscrivent dans une logique « suivi projet » et non de suivi du développement du fait urbain dans son ensemble.</w:t>
      </w:r>
    </w:p>
    <w:p w14:paraId="17739D70" w14:textId="77777777" w:rsidR="00607A57" w:rsidRDefault="00607A57" w:rsidP="00607A57">
      <w:r>
        <w:t>Ainsi, le CIAT au travers de son secrétariat technique doit faire valoir son rôle d’ </w:t>
      </w:r>
      <w:r w:rsidRPr="005842A1">
        <w:rPr>
          <w:i/>
        </w:rPr>
        <w:t>« </w:t>
      </w:r>
      <w:r>
        <w:rPr>
          <w:i/>
        </w:rPr>
        <w:t>en</w:t>
      </w:r>
      <w:r w:rsidRPr="005842A1">
        <w:rPr>
          <w:i/>
        </w:rPr>
        <w:t>semblier</w:t>
      </w:r>
      <w:r>
        <w:t> » en mobilisant les ministères traitant du fait urbain. Ce que nous esquissons dans les 2 chapitres suivants (niveau 2 et niveau 3).</w:t>
      </w:r>
    </w:p>
    <w:p w14:paraId="777CC5DF" w14:textId="77777777" w:rsidR="00607A57" w:rsidRDefault="00607A57" w:rsidP="00E53E6F">
      <w:pPr>
        <w:pStyle w:val="Heading2"/>
        <w:numPr>
          <w:ilvl w:val="1"/>
          <w:numId w:val="45"/>
        </w:numPr>
      </w:pPr>
      <w:bookmarkStart w:id="31" w:name="_Ref462149944"/>
      <w:bookmarkStart w:id="32" w:name="_Toc468189946"/>
      <w:r w:rsidRPr="0037109E">
        <w:t>Niveau 2 : un suivi qui alimente les discussions stratégiques sur l’urbain, vers une Base de Données Urbaines</w:t>
      </w:r>
      <w:bookmarkEnd w:id="31"/>
      <w:bookmarkEnd w:id="32"/>
    </w:p>
    <w:p w14:paraId="08C00223" w14:textId="77777777" w:rsidR="00607A57" w:rsidRDefault="00607A57" w:rsidP="00607A57">
      <w:r>
        <w:t>Le chapitre précédent a traité du niveau opérationnel du suivi des projets traitant de la planification urbaine. D’un point de vue plus macro, ce niveau de suivi n’est pas suffisant pour permettre au secteur de se construire.</w:t>
      </w:r>
    </w:p>
    <w:p w14:paraId="491EB196" w14:textId="77777777" w:rsidR="00607A57" w:rsidRDefault="00607A57" w:rsidP="00607A57">
      <w:r>
        <w:t xml:space="preserve">Pour cela et une </w:t>
      </w:r>
      <w:r w:rsidRPr="00DB6E82">
        <w:t xml:space="preserve">fois posée la définition de l’urbain en rapport avec la situation des villes </w:t>
      </w:r>
      <w:r>
        <w:t>en Haïti il sera nécessaire :</w:t>
      </w:r>
    </w:p>
    <w:p w14:paraId="398F9C29" w14:textId="77777777" w:rsidR="00607A57" w:rsidRDefault="00607A57" w:rsidP="00F70EF1">
      <w:pPr>
        <w:pStyle w:val="ListParagraph"/>
        <w:numPr>
          <w:ilvl w:val="0"/>
          <w:numId w:val="34"/>
        </w:numPr>
        <w:spacing w:before="0" w:after="200"/>
      </w:pPr>
      <w:r>
        <w:t>de suivre son évolution,</w:t>
      </w:r>
    </w:p>
    <w:p w14:paraId="5566B479" w14:textId="77777777" w:rsidR="00607A57" w:rsidRDefault="00607A57" w:rsidP="00F70EF1">
      <w:pPr>
        <w:pStyle w:val="ListParagraph"/>
        <w:numPr>
          <w:ilvl w:val="0"/>
          <w:numId w:val="34"/>
        </w:numPr>
        <w:spacing w:before="0" w:after="200"/>
      </w:pPr>
      <w:r w:rsidRPr="007B28A2">
        <w:t>de s’appuyer sur des données fiables pour dégager les tendances vou</w:t>
      </w:r>
      <w:r>
        <w:t xml:space="preserve">lues ou subies pour le futur </w:t>
      </w:r>
    </w:p>
    <w:p w14:paraId="60266F28" w14:textId="77777777" w:rsidR="00607A57" w:rsidRDefault="00607A57" w:rsidP="00F70EF1">
      <w:pPr>
        <w:pStyle w:val="ListParagraph"/>
        <w:numPr>
          <w:ilvl w:val="0"/>
          <w:numId w:val="34"/>
        </w:numPr>
        <w:spacing w:before="0" w:after="200"/>
      </w:pPr>
      <w:r>
        <w:t>de confronter puis ajuster les documents de planification à ces tendances.</w:t>
      </w:r>
    </w:p>
    <w:p w14:paraId="3D832C45" w14:textId="77777777" w:rsidR="00607A57" w:rsidRDefault="00607A57" w:rsidP="00607A57">
      <w:r>
        <w:t>Pour cela il est nécessaire de mettre en place et de faire vivre une Base de Données Urbaines. Les paragraphes suivant présentent ce qu’est une Base de Données Urbaines mais aussi quelques expériences lancées, à différentes échelles, dans différents pays (Mauritanie, Cameroun, Malaisie par exemple) afin de mettre en place un outil d’aide à la décision pour les institutions en charge du secteur. Enfin pour finir nous présentons également les différentes étapes à suivre pour l’élaboration d’une base de données urbaines.</w:t>
      </w:r>
    </w:p>
    <w:p w14:paraId="6C462BA1" w14:textId="77777777" w:rsidR="00607A57" w:rsidRPr="007B28A2" w:rsidRDefault="00607A57" w:rsidP="00607A57"/>
    <w:p w14:paraId="5B04B426" w14:textId="348568CA" w:rsidR="00607A57" w:rsidRPr="0037109E" w:rsidRDefault="00607A57" w:rsidP="00E53E6F">
      <w:pPr>
        <w:pStyle w:val="Heading3"/>
        <w:numPr>
          <w:ilvl w:val="2"/>
          <w:numId w:val="45"/>
        </w:numPr>
      </w:pPr>
      <w:bookmarkStart w:id="33" w:name="_Toc468189947"/>
      <w:r w:rsidRPr="0037109E">
        <w:t>Qu’</w:t>
      </w:r>
      <w:r w:rsidR="006654FA" w:rsidRPr="0037109E">
        <w:t>est-ce</w:t>
      </w:r>
      <w:r w:rsidRPr="0037109E">
        <w:t xml:space="preserve"> qu’une base de données Urbaine ?</w:t>
      </w:r>
      <w:bookmarkEnd w:id="33"/>
    </w:p>
    <w:p w14:paraId="5E800EF6" w14:textId="77777777" w:rsidR="00607A57" w:rsidRPr="00380D79" w:rsidRDefault="00607A57" w:rsidP="00607A57">
      <w:r w:rsidRPr="00380D79">
        <w:t xml:space="preserve">Une base de données urbaine est un ensemble d’informations associées à un ou plusieurs thèmes ayant pour cadre le domaine urbain. </w:t>
      </w:r>
      <w:r>
        <w:t>Son support es</w:t>
      </w:r>
      <w:r w:rsidRPr="00380D79">
        <w:t xml:space="preserve">t généralement une carte qui est une représentation graphique de l’espace urbain. </w:t>
      </w:r>
    </w:p>
    <w:p w14:paraId="71CAE88D" w14:textId="77777777" w:rsidR="00607A57" w:rsidRPr="00380D79" w:rsidRDefault="00607A57" w:rsidP="00607A57">
      <w:r w:rsidRPr="00380D79">
        <w:t xml:space="preserve">La gestion de la BDU se fait généralement à l’aide d’un système d’informations géographiques, c’est-à-dire un système de gestion de base de données pour la saisie, le stockage, l’interrogation, l’analyse et l’affichage de données géolocalisées. C’est un ensemble de données repérées dans l’espace et structurées pour pouvoir en extraire des synthèses utiles à la décision. Les données exploitées peuvent également être agrégées pour établir des « indicateurs » ou des « index ». </w:t>
      </w:r>
    </w:p>
    <w:p w14:paraId="10486CBA" w14:textId="77777777" w:rsidR="00607A57" w:rsidRPr="00380D79" w:rsidRDefault="00607A57" w:rsidP="00607A57">
      <w:r w:rsidRPr="00380D79">
        <w:t xml:space="preserve">Une base de données urbaine doit être réalisée en concertation avec les différents acteurs en charge du développement urbain, et les données qu’elle renferme sont utiles à tous et doivent être partagées. </w:t>
      </w:r>
    </w:p>
    <w:p w14:paraId="457FC6A7" w14:textId="77777777" w:rsidR="00607A57" w:rsidRPr="00380D79" w:rsidRDefault="00607A57" w:rsidP="00607A57">
      <w:r w:rsidRPr="00380D79">
        <w:t>Pour son élaboration il est nécessaire de :</w:t>
      </w:r>
    </w:p>
    <w:p w14:paraId="51F4DF84" w14:textId="77777777" w:rsidR="00607A57" w:rsidRPr="00760E04" w:rsidRDefault="00607A57" w:rsidP="00F70EF1">
      <w:pPr>
        <w:pStyle w:val="ListParagraph"/>
        <w:numPr>
          <w:ilvl w:val="0"/>
          <w:numId w:val="33"/>
        </w:numPr>
        <w:spacing w:before="0" w:after="200"/>
      </w:pPr>
      <w:r w:rsidRPr="00760E04">
        <w:t>Collecter les documents existants et identifier les données existantes</w:t>
      </w:r>
      <w:r>
        <w:t>,</w:t>
      </w:r>
    </w:p>
    <w:p w14:paraId="3A2FA58B" w14:textId="77777777" w:rsidR="00607A57" w:rsidRPr="00760E04" w:rsidRDefault="00607A57" w:rsidP="00F70EF1">
      <w:pPr>
        <w:pStyle w:val="ListParagraph"/>
        <w:numPr>
          <w:ilvl w:val="0"/>
          <w:numId w:val="33"/>
        </w:numPr>
        <w:spacing w:before="0" w:after="200"/>
      </w:pPr>
      <w:r w:rsidRPr="00760E04">
        <w:t>Identifier les thèmes à traiter</w:t>
      </w:r>
      <w:r>
        <w:t>,</w:t>
      </w:r>
    </w:p>
    <w:p w14:paraId="50EE9020" w14:textId="77777777" w:rsidR="00607A57" w:rsidRPr="00760E04" w:rsidRDefault="00607A57" w:rsidP="00F70EF1">
      <w:pPr>
        <w:pStyle w:val="ListParagraph"/>
        <w:numPr>
          <w:ilvl w:val="0"/>
          <w:numId w:val="33"/>
        </w:numPr>
        <w:spacing w:before="0" w:after="200"/>
      </w:pPr>
      <w:r w:rsidRPr="00760E04">
        <w:t>Collecter les données existantes et collecter par enquêtes celles qui sont nécessaires mais indisponibles</w:t>
      </w:r>
      <w:r>
        <w:t>. Nous renvoyons le lecteur au rapport rédigé dans le cadre de la présente mission, sur l’établissement de la base documentaire de référence, qui est une étape préparatoire à la BDU,</w:t>
      </w:r>
    </w:p>
    <w:p w14:paraId="6B1BF22A" w14:textId="77777777" w:rsidR="00607A57" w:rsidRPr="00380D79" w:rsidRDefault="00607A57" w:rsidP="00607A57">
      <w:r w:rsidRPr="00380D79">
        <w:t xml:space="preserve">Une base de données urbaine est un outil qui représente la ville à la date de la réalisation de la base de données. Pour garantir son utilité en tant qu’outil d’aide à la décision, sa mise à jour régulière est nécessaire. Elle permet de mieux gérer l’espace urbain, de planifier l’espace de manière plus rationnelle et d’orienter les investissements, d’améliorer la qualité des services rendus aux citoyens. </w:t>
      </w:r>
    </w:p>
    <w:p w14:paraId="7C29716E" w14:textId="2A262D98" w:rsidR="00607A57" w:rsidRDefault="00607A57" w:rsidP="00607A57">
      <w:r w:rsidRPr="00380D79">
        <w:t>Elle est un outil de base pour l’orientation du suivi-évaluation du secteur urbain et peut-être gérée soit par une simple cellule de gestion de base de données au sein d’une Institution dédiée (ex : Ministère en charge de l’urbanisme</w:t>
      </w:r>
      <w:r>
        <w:t xml:space="preserve"> ou acteur ensemblier</w:t>
      </w:r>
      <w:r w:rsidRPr="00380D79">
        <w:t>) ou par un observatoire urbain</w:t>
      </w:r>
      <w:r>
        <w:t>, dont les attributions sont plus vastes et l’assise institutionnelle pourra être plus complète</w:t>
      </w:r>
      <w:r w:rsidRPr="00380D79">
        <w:t>.</w:t>
      </w:r>
    </w:p>
    <w:p w14:paraId="6F078AD3" w14:textId="77777777" w:rsidR="00607A57" w:rsidRDefault="00607A57" w:rsidP="00E53E6F">
      <w:pPr>
        <w:pStyle w:val="Heading3"/>
        <w:numPr>
          <w:ilvl w:val="2"/>
          <w:numId w:val="45"/>
        </w:numPr>
      </w:pPr>
      <w:bookmarkStart w:id="34" w:name="_Toc468189948"/>
      <w:r w:rsidRPr="00380D79">
        <w:t>Qu’est-ce qu’un observatoire urbain</w:t>
      </w:r>
      <w:bookmarkEnd w:id="34"/>
    </w:p>
    <w:p w14:paraId="0F65B1B9" w14:textId="77777777" w:rsidR="00607A57" w:rsidRPr="00066425" w:rsidRDefault="00607A57" w:rsidP="00607A57">
      <w:r>
        <w:t>Dans les expériences analysées, les Bases de Données Urbaines sont hébergées par des observatoires urbains</w:t>
      </w:r>
      <w:r>
        <w:rPr>
          <w:rStyle w:val="FootnoteReference"/>
        </w:rPr>
        <w:footnoteReference w:id="40"/>
      </w:r>
      <w:r>
        <w:t xml:space="preserve"> qui sont des structures dont les compétences sont </w:t>
      </w:r>
      <w:r w:rsidRPr="00646CAE">
        <w:t xml:space="preserve">plus vastes qu’une simple cellule de gestion d’une base de données urbaine. </w:t>
      </w:r>
      <w:r w:rsidRPr="00380D79">
        <w:t xml:space="preserve">Les observatoires publics sont fréquemment adossés à des initiatives politiques transversales </w:t>
      </w:r>
      <w:r w:rsidRPr="00B92A27">
        <w:t>et sont chargés d’une fonction de veille, de suivi et d’évaluation</w:t>
      </w:r>
      <w:r>
        <w:t xml:space="preserve"> (le cas du ST/CIAT dans le cas d’Haïti)</w:t>
      </w:r>
      <w:r w:rsidRPr="00B92A27">
        <w:t xml:space="preserve">. </w:t>
      </w:r>
      <w:r w:rsidRPr="00646CAE">
        <w:t>D’un point de vue opérationnel, ils</w:t>
      </w:r>
      <w:r w:rsidRPr="00066425">
        <w:t xml:space="preserve"> visent à :</w:t>
      </w:r>
    </w:p>
    <w:p w14:paraId="4B5FBD6E" w14:textId="77777777" w:rsidR="00607A57" w:rsidRPr="00760E04" w:rsidRDefault="00607A57" w:rsidP="00F70EF1">
      <w:pPr>
        <w:pStyle w:val="ListParagraph"/>
        <w:numPr>
          <w:ilvl w:val="0"/>
          <w:numId w:val="36"/>
        </w:numPr>
        <w:spacing w:before="0" w:after="200"/>
      </w:pPr>
      <w:r w:rsidRPr="00760E04">
        <w:t>Recueillir ou créer les données (en fonction de leur disponibilité ou non) et les intégrer à un système d’information géographique ;</w:t>
      </w:r>
    </w:p>
    <w:p w14:paraId="32F2F9C8" w14:textId="77777777" w:rsidR="00607A57" w:rsidRPr="00760E04" w:rsidRDefault="00607A57" w:rsidP="00F70EF1">
      <w:pPr>
        <w:pStyle w:val="ListParagraph"/>
        <w:numPr>
          <w:ilvl w:val="0"/>
          <w:numId w:val="36"/>
        </w:numPr>
        <w:spacing w:before="0" w:after="200"/>
      </w:pPr>
      <w:r w:rsidRPr="00760E04">
        <w:t>Analyser et agréger les données pour faire émerger des indicateurs ;</w:t>
      </w:r>
    </w:p>
    <w:p w14:paraId="2E6538D0" w14:textId="77777777" w:rsidR="00607A57" w:rsidRPr="00760E04" w:rsidRDefault="00607A57" w:rsidP="00F70EF1">
      <w:pPr>
        <w:pStyle w:val="ListParagraph"/>
        <w:numPr>
          <w:ilvl w:val="0"/>
          <w:numId w:val="36"/>
        </w:numPr>
        <w:spacing w:before="0" w:after="200"/>
      </w:pPr>
      <w:r w:rsidRPr="00760E04">
        <w:t>Produire des analyses, formuler des avis et des recommandations visant à orienter les politiques publique et les investissements urbain ou encore rendre compte d’avancées ;</w:t>
      </w:r>
    </w:p>
    <w:p w14:paraId="7C413E27" w14:textId="77777777" w:rsidR="00607A57" w:rsidRPr="00760E04" w:rsidRDefault="00607A57" w:rsidP="00F70EF1">
      <w:pPr>
        <w:pStyle w:val="ListParagraph"/>
        <w:numPr>
          <w:ilvl w:val="0"/>
          <w:numId w:val="36"/>
        </w:numPr>
        <w:spacing w:before="0" w:after="200"/>
      </w:pPr>
      <w:r w:rsidRPr="00760E04">
        <w:t>Etre un lieu de concertation ;</w:t>
      </w:r>
    </w:p>
    <w:p w14:paraId="6DFA6004" w14:textId="77777777" w:rsidR="00607A57" w:rsidRPr="00380D79" w:rsidRDefault="00607A57" w:rsidP="00607A57">
      <w:r w:rsidRPr="00DB6E82">
        <w:t>Ce sont des outils de conduite politique sectorielle puisqu’ils permettent de mettre en avant les besoins mais également de rendre compte, grâce à un traitement scientifique, des résultats</w:t>
      </w:r>
      <w:r w:rsidRPr="00380D79">
        <w:t xml:space="preserve">. </w:t>
      </w:r>
    </w:p>
    <w:p w14:paraId="3942716A" w14:textId="77777777" w:rsidR="00607A57" w:rsidRDefault="00607A57" w:rsidP="00607A57"/>
    <w:p w14:paraId="4505C201" w14:textId="77777777" w:rsidR="00607A57" w:rsidRDefault="00607A57" w:rsidP="00607A57">
      <w:r>
        <w:t xml:space="preserve">Les paragraphes ci-dessous présentent deux points à </w:t>
      </w:r>
      <w:r w:rsidRPr="00DB6E82">
        <w:t xml:space="preserve">traiter avec attention </w:t>
      </w:r>
      <w:r>
        <w:t>dans le cadre de la création d’un observatoire urbain, à savoir la gouvernance et les ressources financières. La lecture de ces paragraphes doit aussi être rapprochée de la lecture du rapport sur la base documentaire rédigé dans le cadre de la présente mission.</w:t>
      </w:r>
    </w:p>
    <w:p w14:paraId="08F079AE" w14:textId="77777777" w:rsidR="00607A57" w:rsidRPr="00B92A27" w:rsidRDefault="00607A57" w:rsidP="00607A57"/>
    <w:p w14:paraId="0C78CF79" w14:textId="77777777" w:rsidR="00607A57" w:rsidRPr="00497196" w:rsidRDefault="00607A57" w:rsidP="00E53E6F">
      <w:pPr>
        <w:pStyle w:val="Heading4"/>
        <w:numPr>
          <w:ilvl w:val="3"/>
          <w:numId w:val="45"/>
        </w:numPr>
      </w:pPr>
      <w:r w:rsidRPr="00497196">
        <w:t>Gouvernance :</w:t>
      </w:r>
      <w:r>
        <w:t xml:space="preserve"> chercher l’indépendance vis-à-vis des services opérationnels</w:t>
      </w:r>
    </w:p>
    <w:p w14:paraId="11BBFE78" w14:textId="77777777" w:rsidR="00607A57" w:rsidRDefault="00607A57" w:rsidP="00607A57">
      <w:r w:rsidRPr="00497196">
        <w:t>Le rattachement institutionnel de ces observatoires est variable : ministère sectoriel de tutelle ou Premier ministre lorsqu’il s’agit d’observatoires très transversaux ou l’enjeu est de dépasser les cloisonnements ou la concurr</w:t>
      </w:r>
      <w:r>
        <w:t>ence entre les administrations, mais d</w:t>
      </w:r>
      <w:r w:rsidRPr="00497196">
        <w:t>’</w:t>
      </w:r>
      <w:r>
        <w:t>autres modalités sont possibles puisque</w:t>
      </w:r>
      <w:r w:rsidRPr="00497196">
        <w:t xml:space="preserve"> certains observatoires disposent d’un ancrage local.</w:t>
      </w:r>
    </w:p>
    <w:p w14:paraId="741E0D32" w14:textId="77777777" w:rsidR="00607A57" w:rsidRPr="00DA26E4" w:rsidRDefault="00607A57" w:rsidP="00607A57">
      <w:r w:rsidRPr="00497196">
        <w:t xml:space="preserve">Quelle que soit leur insertion institutionnelle, tous les observatoires partagent une caractéristique commune, celle </w:t>
      </w:r>
      <w:r w:rsidRPr="00741BF2">
        <w:rPr>
          <w:b/>
        </w:rPr>
        <w:t>d’être autonome dans leur mode de fonctionnement</w:t>
      </w:r>
      <w:r w:rsidRPr="00497196">
        <w:t xml:space="preserve">. A ce titre, ils sont tous dotés d’un dispositif de gouvernance ad hoc. </w:t>
      </w:r>
      <w:r w:rsidRPr="00DA26E4">
        <w:t>Celui-ci peut prendre différentes formes :</w:t>
      </w:r>
    </w:p>
    <w:p w14:paraId="3FED1B91" w14:textId="77777777" w:rsidR="00607A57" w:rsidRPr="00497196" w:rsidRDefault="00607A57" w:rsidP="00F70EF1">
      <w:pPr>
        <w:pStyle w:val="ListParagraph"/>
        <w:numPr>
          <w:ilvl w:val="0"/>
          <w:numId w:val="36"/>
        </w:numPr>
        <w:spacing w:before="0" w:after="200"/>
      </w:pPr>
      <w:r w:rsidRPr="00741BF2">
        <w:rPr>
          <w:i/>
        </w:rPr>
        <w:t>Un conseil d’administration et un conseil scientifique</w:t>
      </w:r>
      <w:r w:rsidRPr="00497196">
        <w:t>. En règle générale, le CA mobilise des représentants de personnes morales qui ont un mandat de travail sur la thématique de l’observatoire. Le conseil scientifique quant à lui rassemble alors des personnes physiques issues de milieux divers (universitaires, chercheurs, représentants de la société civile, etc.) choisies pour leur compétence sur le sujet.</w:t>
      </w:r>
    </w:p>
    <w:p w14:paraId="064772CE" w14:textId="77777777" w:rsidR="00607A57" w:rsidRPr="00497196" w:rsidRDefault="00607A57" w:rsidP="00F70EF1">
      <w:pPr>
        <w:pStyle w:val="ListParagraph"/>
        <w:numPr>
          <w:ilvl w:val="0"/>
          <w:numId w:val="36"/>
        </w:numPr>
        <w:spacing w:before="0" w:after="200"/>
      </w:pPr>
      <w:r w:rsidRPr="00741BF2">
        <w:rPr>
          <w:i/>
        </w:rPr>
        <w:t>Un comité et un conseil</w:t>
      </w:r>
      <w:r w:rsidRPr="00497196">
        <w:t>. A l’image du dispositif précédent, le comité réunit de représentants de personnes morales, mais strictement limités dans ce cas à des représentants des pouvoirs publics.</w:t>
      </w:r>
    </w:p>
    <w:p w14:paraId="7E0BF63D" w14:textId="77777777" w:rsidR="00607A57" w:rsidRPr="00497196" w:rsidRDefault="00607A57" w:rsidP="00607A57">
      <w:r w:rsidRPr="00497196">
        <w:t>Dans ces deux premiers cas, le dispositif distingue donc :</w:t>
      </w:r>
    </w:p>
    <w:p w14:paraId="2BF28536" w14:textId="77777777" w:rsidR="00607A57" w:rsidRPr="00497196" w:rsidRDefault="00607A57" w:rsidP="00F70EF1">
      <w:pPr>
        <w:pStyle w:val="ListParagraph"/>
        <w:numPr>
          <w:ilvl w:val="0"/>
          <w:numId w:val="35"/>
        </w:numPr>
        <w:spacing w:before="0" w:after="160" w:line="259" w:lineRule="auto"/>
      </w:pPr>
      <w:r w:rsidRPr="00497196">
        <w:t>Une fonction d’orientation politico-stratégique des travaux confiée à un comité ou un CA. Celui-ci peut être restreint aux « commanditaires de l’observatoire » - publics ou privés - ou élargi à des représentants d’autres institutions.</w:t>
      </w:r>
    </w:p>
    <w:p w14:paraId="11ED369F" w14:textId="77777777" w:rsidR="00607A57" w:rsidRPr="00497196" w:rsidRDefault="00607A57" w:rsidP="00F70EF1">
      <w:pPr>
        <w:pStyle w:val="ListParagraph"/>
        <w:numPr>
          <w:ilvl w:val="0"/>
          <w:numId w:val="35"/>
        </w:numPr>
        <w:spacing w:before="0" w:after="160" w:line="259" w:lineRule="auto"/>
      </w:pPr>
      <w:r w:rsidRPr="00497196">
        <w:t>Une fonction d’expertise de nature scientifique, associative ou portée par des personnalités qualifiées.</w:t>
      </w:r>
    </w:p>
    <w:p w14:paraId="5455289C" w14:textId="77777777" w:rsidR="00607A57" w:rsidRPr="00760E04" w:rsidRDefault="00607A57" w:rsidP="00F70EF1">
      <w:pPr>
        <w:pStyle w:val="ListParagraph"/>
        <w:numPr>
          <w:ilvl w:val="0"/>
          <w:numId w:val="36"/>
        </w:numPr>
        <w:spacing w:before="0" w:after="200"/>
      </w:pPr>
      <w:r w:rsidRPr="00760E04">
        <w:t xml:space="preserve">Un troisième schéma propose </w:t>
      </w:r>
      <w:r w:rsidRPr="00741BF2">
        <w:rPr>
          <w:i/>
        </w:rPr>
        <w:t>un conseil unique, le plus souvent qualifié de conseil scientifique</w:t>
      </w:r>
      <w:r w:rsidRPr="00760E04">
        <w:t>. Dans certains cas, ce conseil rassemble à la fois des membres de droit, représentants de personnes morales et des personnalités qualifiées, dans d’autres, il est composé de membres nommés à titre individuel</w:t>
      </w:r>
    </w:p>
    <w:p w14:paraId="6203C103" w14:textId="77777777" w:rsidR="00607A57" w:rsidRPr="00646CAE" w:rsidRDefault="00607A57" w:rsidP="00607A57">
      <w:r w:rsidRPr="00B92A27">
        <w:t>Des commissions techniques sectorielles peuvent aussi être mises en place afin d’orienter les travaux sur les différents secteurs</w:t>
      </w:r>
      <w:r w:rsidRPr="00646CAE">
        <w:t xml:space="preserve">. </w:t>
      </w:r>
    </w:p>
    <w:p w14:paraId="45106FD9" w14:textId="77777777" w:rsidR="00607A57" w:rsidRPr="00497196" w:rsidRDefault="00607A57" w:rsidP="00607A57">
      <w:r w:rsidRPr="00497196">
        <w:t>Dans tous les cas, la composition du conseil cherche à rendre compte de la diversité des acteurs intervenant sur le champ de travail de l’observatoire. Les membres, dont le président (parfois qualifié de rapporteur général), y ont un mandat pluriannuel (3 ou 4 ans), le plus souvent renouvelable au moins une fois. Ils sont nommés par l’institution porteuse de l’observatoire.</w:t>
      </w:r>
      <w:r>
        <w:t xml:space="preserve"> </w:t>
      </w:r>
      <w:r w:rsidRPr="00497196">
        <w:t xml:space="preserve">Dans le cadre du mandat confié à l’observatoire, le conseil est responsable de la définition de </w:t>
      </w:r>
      <w:r>
        <w:t>la stratégie opérationnelle,</w:t>
      </w:r>
      <w:r w:rsidRPr="00497196">
        <w:t xml:space="preserve"> du plan d’action de l’observatoire, et du pilotage de leur mise en œuvre.</w:t>
      </w:r>
    </w:p>
    <w:p w14:paraId="229FB6EB" w14:textId="77777777" w:rsidR="00607A57" w:rsidRDefault="00607A57" w:rsidP="00607A57">
      <w:r w:rsidRPr="00380D79">
        <w:t xml:space="preserve">Les axes de travail des observatoires sont déterminés par </w:t>
      </w:r>
      <w:r>
        <w:t>leurs</w:t>
      </w:r>
      <w:r w:rsidRPr="00380D79">
        <w:t xml:space="preserve"> conseils de Direction ou comités stratégiques. Ils sont liés aux missions qui leurs sont assignées autour du thème structurant qui constitue leur</w:t>
      </w:r>
      <w:r>
        <w:t xml:space="preserve"> objet (ex : services urbains).</w:t>
      </w:r>
    </w:p>
    <w:p w14:paraId="64391C1A" w14:textId="77777777" w:rsidR="00607A57" w:rsidRPr="00DA26E4"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rPr>
          <w:b/>
        </w:rPr>
      </w:pPr>
      <w:r w:rsidRPr="00DA26E4">
        <w:rPr>
          <w:b/>
        </w:rPr>
        <w:t xml:space="preserve">A titre d’exemple, l’Observatoire wallon de l’emploi a six axes </w:t>
      </w:r>
      <w:r>
        <w:rPr>
          <w:b/>
        </w:rPr>
        <w:t>d’intervention</w:t>
      </w:r>
      <w:r w:rsidRPr="00DA26E4">
        <w:rPr>
          <w:b/>
        </w:rPr>
        <w:t>:</w:t>
      </w:r>
    </w:p>
    <w:p w14:paraId="7DF7FD43" w14:textId="5EA68314"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380D79">
        <w:t>1.</w:t>
      </w:r>
      <w:r w:rsidR="006654FA">
        <w:t xml:space="preserve"> </w:t>
      </w:r>
      <w:r w:rsidRPr="00380D79">
        <w:t>Données, concepts</w:t>
      </w:r>
      <w:r>
        <w:t>, nomenclature et méthodologie,</w:t>
      </w:r>
    </w:p>
    <w:p w14:paraId="2DBC0228"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380D79">
        <w:t>2. Production de statistiques et d’indi</w:t>
      </w:r>
      <w:r>
        <w:t>cateurs et études descriptives,</w:t>
      </w:r>
    </w:p>
    <w:p w14:paraId="20AB741A"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380D79">
        <w:t>3. Etudes explicatives et compréhensives du marché du travail,</w:t>
      </w:r>
    </w:p>
    <w:p w14:paraId="6C91CC6E"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380D79">
        <w:t>4. Etudes p</w:t>
      </w:r>
      <w:r>
        <w:t>révisionnelles et prospectives,</w:t>
      </w:r>
    </w:p>
    <w:p w14:paraId="305C80A3" w14:textId="77777777" w:rsidR="00607A57" w:rsidRPr="00380D79"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380D79">
        <w:t>5. Evaluation des politiques et dispositifs d’emploi, 6. Coordination et diffusion.</w:t>
      </w:r>
    </w:p>
    <w:p w14:paraId="67BFBD9C" w14:textId="77777777" w:rsidR="00607A57" w:rsidRDefault="00607A57" w:rsidP="00607A57">
      <w:pPr>
        <w:rPr>
          <w:b/>
        </w:rPr>
      </w:pPr>
      <w:r w:rsidRPr="00380D79">
        <w:t xml:space="preserve">Ce type de dispositif a l’avantage de couvrir l’ensemble du cycle de production et de diffusion et renforce ainsi la crédibilité et la pertinence des travaux réalisés auprès des groupes ciblés. </w:t>
      </w:r>
      <w:r w:rsidRPr="00DA26E4">
        <w:rPr>
          <w:b/>
        </w:rPr>
        <w:t>Il répond à la fois aux exigences d’un observatoire de terrain et à la fois à celles d’un observatoire de synthèse.</w:t>
      </w:r>
    </w:p>
    <w:p w14:paraId="41DA060E" w14:textId="77777777" w:rsidR="00607A57" w:rsidRPr="00380D79" w:rsidRDefault="00607A57" w:rsidP="00607A57"/>
    <w:p w14:paraId="64270EA4" w14:textId="77777777" w:rsidR="00607A57" w:rsidRPr="00380D79" w:rsidRDefault="00607A57" w:rsidP="00E53E6F">
      <w:pPr>
        <w:pStyle w:val="Heading4"/>
        <w:numPr>
          <w:ilvl w:val="3"/>
          <w:numId w:val="45"/>
        </w:numPr>
      </w:pPr>
      <w:r>
        <w:t>Ressources financières</w:t>
      </w:r>
    </w:p>
    <w:p w14:paraId="49699553" w14:textId="77777777" w:rsidR="00607A57" w:rsidRDefault="00607A57" w:rsidP="00607A57">
      <w:r w:rsidRPr="00380D79">
        <w:t>Il existe peu d’informations sur les modes de financement des observatoires. Ce que l’on retient, c’est qu’en grande majorité ils bénéficient de concours publics, mais que certains d’entre eux accèdent à d’autres sources de financements, en particulier de recettes issues de la vente des publications, de la commande d’études spécifiques ou des cotisations de leurs adhérents (lorsque l’observatoire est constitué en association).</w:t>
      </w:r>
    </w:p>
    <w:p w14:paraId="63306E2C" w14:textId="77777777" w:rsidR="00607A57" w:rsidRPr="00380D79" w:rsidRDefault="00607A57" w:rsidP="00607A57"/>
    <w:p w14:paraId="658E29DF" w14:textId="77777777" w:rsidR="00607A57" w:rsidRDefault="00607A57" w:rsidP="00E53E6F">
      <w:pPr>
        <w:pStyle w:val="Heading3"/>
        <w:numPr>
          <w:ilvl w:val="2"/>
          <w:numId w:val="45"/>
        </w:numPr>
      </w:pPr>
      <w:bookmarkStart w:id="35" w:name="_Toc468189949"/>
      <w:r w:rsidRPr="0037109E">
        <w:t>Un préalable à la mise en place d’une BDU : existence d’un cadre permanent de concertation et de dialogue sur la question urbaine</w:t>
      </w:r>
      <w:bookmarkEnd w:id="35"/>
    </w:p>
    <w:p w14:paraId="19E9420E" w14:textId="77777777" w:rsidR="00607A57" w:rsidRPr="00741BF2" w:rsidRDefault="00607A57" w:rsidP="00607A57">
      <w:r>
        <w:t xml:space="preserve">L’environnement de travail demande des travaux préalables à la mise en place d’une BDU et/ou d’un observatoire urbain. Il convient de travailler sur l’existence d’un cadre permanent de concertation. </w:t>
      </w:r>
    </w:p>
    <w:p w14:paraId="2497D819" w14:textId="77777777" w:rsidR="00607A57" w:rsidRDefault="00607A57" w:rsidP="00607A57">
      <w:bookmarkStart w:id="36" w:name="_Toc390861122"/>
      <w:r w:rsidRPr="0037109E">
        <w:t>Le cadre de concertation est à relier avec le mécanisme de concertation interinstitutionne</w:t>
      </w:r>
      <w:r>
        <w:t>l</w:t>
      </w:r>
      <w:r w:rsidRPr="0037109E">
        <w:t>l</w:t>
      </w:r>
      <w:r>
        <w:t>e</w:t>
      </w:r>
      <w:r w:rsidRPr="0037109E">
        <w:t xml:space="preserve"> travaillé dans le cadre du PAIFU. </w:t>
      </w:r>
      <w:r>
        <w:t xml:space="preserve">Bien que ce dernier n’est pu </w:t>
      </w:r>
      <w:r w:rsidRPr="00DB6E82">
        <w:t xml:space="preserve">se formaliser </w:t>
      </w:r>
      <w:r>
        <w:t xml:space="preserve">dans le cadre de cette mission, nous pensons </w:t>
      </w:r>
      <w:r w:rsidRPr="00DB6E82">
        <w:t xml:space="preserve">qu’une entrée par une Base </w:t>
      </w:r>
      <w:r>
        <w:t>de données Urbaine/observatoire pourrai</w:t>
      </w:r>
      <w:r w:rsidRPr="006C0F4D">
        <w:t xml:space="preserve">t </w:t>
      </w:r>
      <w:r w:rsidRPr="00DB6E82">
        <w:t xml:space="preserve">remobiliser </w:t>
      </w:r>
      <w:r>
        <w:t xml:space="preserve">les institutions </w:t>
      </w:r>
      <w:r w:rsidRPr="006C0F4D">
        <w:t>sur la façon d’appréhen</w:t>
      </w:r>
      <w:r>
        <w:t xml:space="preserve">der les questions urbaines qui </w:t>
      </w:r>
      <w:r w:rsidRPr="006C0F4D">
        <w:t>aujourd’hui sont éclatées</w:t>
      </w:r>
      <w:r>
        <w:t>.</w:t>
      </w:r>
    </w:p>
    <w:p w14:paraId="7049F5B8" w14:textId="77777777" w:rsidR="00607A57" w:rsidRPr="0037109E" w:rsidRDefault="00607A57" w:rsidP="00607A57">
      <w:r w:rsidRPr="0037109E">
        <w:t>Afin de répondre aux contraintes institutionnelles existantes en Haïti nous proposons que ce dernier soit volontairement réduits aux 4 institutions ayant sollicité l’appui de l’Union Européenne dans le cadre du PAIFU, à savoir le ST/CIAT, le MTPTC, le MICT et le MTPCE.</w:t>
      </w:r>
    </w:p>
    <w:p w14:paraId="60648E5A" w14:textId="77777777" w:rsidR="00607A57" w:rsidRPr="0037109E" w:rsidRDefault="00607A57" w:rsidP="00607A57">
      <w:r w:rsidRPr="0037109E">
        <w:t>A terme, ce cadre doit regrouper les acteurs clefs chargé</w:t>
      </w:r>
      <w:r>
        <w:t>s</w:t>
      </w:r>
      <w:r w:rsidRPr="0037109E">
        <w:t xml:space="preserve"> de la production, de la mise à jour, de l’exploitation et de la gestion d’une base de données urbaines. </w:t>
      </w:r>
    </w:p>
    <w:p w14:paraId="0CB5EBF0" w14:textId="77777777" w:rsidR="00607A57" w:rsidRPr="0037109E"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rPr>
          <w:b/>
          <w:u w:val="single"/>
        </w:rPr>
      </w:pPr>
      <w:r w:rsidRPr="0037109E">
        <w:rPr>
          <w:b/>
          <w:u w:val="single"/>
        </w:rPr>
        <w:t xml:space="preserve">Recommandations : </w:t>
      </w:r>
    </w:p>
    <w:p w14:paraId="3A29167A" w14:textId="77777777" w:rsidR="00607A57" w:rsidRPr="0037109E"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37109E">
        <w:t xml:space="preserve">Ce cadre doit être </w:t>
      </w:r>
      <w:r w:rsidRPr="0037109E">
        <w:rPr>
          <w:b/>
        </w:rPr>
        <w:t xml:space="preserve">permanent, </w:t>
      </w:r>
      <w:r w:rsidRPr="0037109E">
        <w:t>afin d’assurer une constance dans la gestion de la base de données urbaines tout en préservant la mémoire des expériences antérieures. Il devra donc être inclusif, regroupant l’ensemble des acteurs producteurs et utilisateurs des données urbaines du secteur public, privé et du monde associatif et de la recherche.</w:t>
      </w:r>
    </w:p>
    <w:p w14:paraId="55501A50" w14:textId="77777777" w:rsidR="00607A57" w:rsidRPr="0037109E"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37109E">
        <w:t>Ce cadre devra être le moteur de la</w:t>
      </w:r>
      <w:r w:rsidRPr="0037109E">
        <w:rPr>
          <w:b/>
        </w:rPr>
        <w:t xml:space="preserve"> concertation</w:t>
      </w:r>
      <w:r w:rsidRPr="0037109E">
        <w:t xml:space="preserve"> et du</w:t>
      </w:r>
      <w:r w:rsidRPr="0037109E">
        <w:rPr>
          <w:b/>
        </w:rPr>
        <w:t xml:space="preserve"> dialogue </w:t>
      </w:r>
      <w:r w:rsidRPr="0037109E">
        <w:t>entre les acteurs, afin de favoriser les échanges et le partage de données autour de règles consensuelles et d’une plateforme commune.</w:t>
      </w:r>
    </w:p>
    <w:p w14:paraId="7D0E60A6" w14:textId="77777777" w:rsidR="00607A57" w:rsidRPr="0037109E" w:rsidRDefault="00607A57" w:rsidP="00607A57">
      <w:r w:rsidRPr="0037109E">
        <w:t xml:space="preserve">Les différentes expériences menées dans le monde (Afrique notamment) montrent l’importance de la phase préliminaire de structuration d’un tel cadre de concertation, pour en assurer sa durabilité. Ce travail se distingue généralement en 4 phases consécutives à savoir : </w:t>
      </w:r>
    </w:p>
    <w:p w14:paraId="2B9ECE98" w14:textId="77777777" w:rsidR="00607A57" w:rsidRPr="0037109E" w:rsidRDefault="00607A57" w:rsidP="00F70EF1">
      <w:pPr>
        <w:pStyle w:val="ListParagraph"/>
        <w:numPr>
          <w:ilvl w:val="0"/>
          <w:numId w:val="37"/>
        </w:numPr>
        <w:spacing w:before="0" w:after="200"/>
      </w:pPr>
      <w:r w:rsidRPr="0037109E">
        <w:rPr>
          <w:b/>
        </w:rPr>
        <w:t>Phase 1</w:t>
      </w:r>
      <w:r w:rsidRPr="0037109E">
        <w:t xml:space="preserve"> : définition du cadre juridique et institutionnel</w:t>
      </w:r>
    </w:p>
    <w:p w14:paraId="066874AA" w14:textId="77777777" w:rsidR="00607A57" w:rsidRPr="0037109E" w:rsidRDefault="00607A57" w:rsidP="00F70EF1">
      <w:pPr>
        <w:pStyle w:val="ListParagraph"/>
        <w:numPr>
          <w:ilvl w:val="0"/>
          <w:numId w:val="37"/>
        </w:numPr>
        <w:spacing w:before="0" w:after="200"/>
      </w:pPr>
      <w:r w:rsidRPr="0037109E">
        <w:rPr>
          <w:b/>
        </w:rPr>
        <w:t>Phase 2</w:t>
      </w:r>
      <w:r w:rsidRPr="0037109E">
        <w:t xml:space="preserve"> : définition du cadre de fonctionnement </w:t>
      </w:r>
    </w:p>
    <w:p w14:paraId="70505042" w14:textId="77777777" w:rsidR="00607A57" w:rsidRPr="0037109E" w:rsidRDefault="00607A57" w:rsidP="00F70EF1">
      <w:pPr>
        <w:pStyle w:val="ListParagraph"/>
        <w:numPr>
          <w:ilvl w:val="0"/>
          <w:numId w:val="37"/>
        </w:numPr>
        <w:spacing w:before="0" w:after="200"/>
      </w:pPr>
      <w:r w:rsidRPr="0037109E">
        <w:rPr>
          <w:b/>
        </w:rPr>
        <w:t>Phase 3</w:t>
      </w:r>
      <w:r w:rsidRPr="0037109E">
        <w:t> : définition du cadre technique d’opérationnalisation</w:t>
      </w:r>
    </w:p>
    <w:p w14:paraId="5423DE26" w14:textId="77777777" w:rsidR="00607A57" w:rsidRPr="0037109E" w:rsidRDefault="00607A57" w:rsidP="00F70EF1">
      <w:pPr>
        <w:pStyle w:val="ListParagraph"/>
        <w:numPr>
          <w:ilvl w:val="0"/>
          <w:numId w:val="37"/>
        </w:numPr>
        <w:spacing w:before="0" w:after="200"/>
      </w:pPr>
      <w:r w:rsidRPr="0037109E">
        <w:rPr>
          <w:b/>
        </w:rPr>
        <w:t>Phase 4</w:t>
      </w:r>
      <w:r w:rsidRPr="0037109E">
        <w:t> : la mise en place du cadre de concertation</w:t>
      </w:r>
    </w:p>
    <w:p w14:paraId="7F0E407A" w14:textId="77777777" w:rsidR="00607A57" w:rsidRPr="0037109E" w:rsidRDefault="00607A57" w:rsidP="00607A57">
      <w:pPr>
        <w:pStyle w:val="ListParagraph"/>
      </w:pPr>
    </w:p>
    <w:p w14:paraId="60CC7F01" w14:textId="77777777" w:rsidR="00607A57" w:rsidRPr="0037109E" w:rsidRDefault="00607A57" w:rsidP="00E53E6F">
      <w:pPr>
        <w:pStyle w:val="Heading4"/>
        <w:numPr>
          <w:ilvl w:val="3"/>
          <w:numId w:val="45"/>
        </w:numPr>
      </w:pPr>
      <w:bookmarkStart w:id="37" w:name="_Toc408350341"/>
      <w:r w:rsidRPr="0037109E">
        <w:t>Définition du cadre juridique et institutionnel</w:t>
      </w:r>
    </w:p>
    <w:bookmarkEnd w:id="36"/>
    <w:bookmarkEnd w:id="37"/>
    <w:p w14:paraId="20313EC7" w14:textId="77777777" w:rsidR="00607A57" w:rsidRDefault="00607A57" w:rsidP="00607A57">
      <w:r w:rsidRPr="0037109E">
        <w:rPr>
          <w:rFonts w:cs="Arial"/>
        </w:rPr>
        <w:t xml:space="preserve">Cette phase consiste à </w:t>
      </w:r>
      <w:r w:rsidRPr="0037109E">
        <w:t xml:space="preserve">proposer un format juridique et institutionnel et à élaborer les textes régissant le mécanisme opérationnel de fonctionnement du cadre de concertation. En effet, il convient de proposer un statut juridique et une tutelle institutionnelle du cadre qui garantisse son </w:t>
      </w:r>
      <w:r>
        <w:t>caractère inclusif</w:t>
      </w:r>
      <w:r w:rsidRPr="0037109E">
        <w:t xml:space="preserve"> et sa pérennité. </w:t>
      </w:r>
    </w:p>
    <w:p w14:paraId="1C4223F9" w14:textId="77777777" w:rsidR="00607A57" w:rsidRDefault="00607A57" w:rsidP="00607A57">
      <w:r>
        <w:t>Les 2 encarts ci-dessous présentent 2 types d’organisation mise en place, l’une au niveau municipale, l’autre au niveau nationale. Les annexes auxquelles ils font référence présentent plus généralement l’expérience citée ci-dessous.</w:t>
      </w:r>
    </w:p>
    <w:p w14:paraId="306ACC78" w14:textId="77777777" w:rsidR="00607A57" w:rsidRPr="007D3D90"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rPr>
          <w:b/>
          <w:u w:val="single"/>
        </w:rPr>
      </w:pPr>
      <w:r w:rsidRPr="007D3D90">
        <w:rPr>
          <w:b/>
          <w:u w:val="single"/>
        </w:rPr>
        <w:t>Exemple de l’OSPUN en Mauritanie</w:t>
      </w:r>
      <w:r>
        <w:rPr>
          <w:b/>
          <w:u w:val="single"/>
        </w:rPr>
        <w:t xml:space="preserve"> (cf </w:t>
      </w:r>
      <w:r w:rsidRPr="002D0321">
        <w:rPr>
          <w:b/>
          <w:u w:val="single"/>
        </w:rPr>
        <w:t>annexe 2)</w:t>
      </w:r>
    </w:p>
    <w:p w14:paraId="0C32D63D"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t xml:space="preserve">Concernant son organisation, il est dirigé par un Comité de direction interinstitutionnel rassemblant un panel représentatif des institutions concernées par les thématiques. Il s’appuie également largement sur la société civile dont des représentants sont associés au comité de direction. </w:t>
      </w:r>
    </w:p>
    <w:p w14:paraId="15518FF2"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t xml:space="preserve">Ce comité est présidé par le Président de la Communauté urbaine de Nouakchott, et sa composition initialement prévue était : </w:t>
      </w:r>
    </w:p>
    <w:p w14:paraId="750BE9B6" w14:textId="77777777" w:rsidR="00607A57" w:rsidRPr="007D3D90"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7D3D90">
        <w:t>•</w:t>
      </w:r>
      <w:r w:rsidRPr="007D3D90">
        <w:tab/>
        <w:t>Les neuf maires des Communes composant la CUN</w:t>
      </w:r>
    </w:p>
    <w:p w14:paraId="6511F129" w14:textId="77777777" w:rsidR="00607A57" w:rsidRPr="007D3D90"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7D3D90">
        <w:t>•</w:t>
      </w:r>
      <w:r w:rsidRPr="007D3D90">
        <w:tab/>
        <w:t>Le Wali de Nouakchott</w:t>
      </w:r>
    </w:p>
    <w:p w14:paraId="7C5DB072" w14:textId="77777777" w:rsidR="00607A57" w:rsidRPr="007D3D90"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7D3D90">
        <w:t>•</w:t>
      </w:r>
      <w:r w:rsidRPr="007D3D90">
        <w:tab/>
        <w:t>Des représentants de ministères concernés ou services déconcentrés (Urbanisme, Equipement, transport, collectivités locales)</w:t>
      </w:r>
    </w:p>
    <w:p w14:paraId="3146FD9A" w14:textId="77777777" w:rsidR="00607A57" w:rsidRPr="007D3D90"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7D3D90">
        <w:t>•</w:t>
      </w:r>
      <w:r w:rsidRPr="007D3D90">
        <w:tab/>
        <w:t>Des représentant des de l’agence de développement urbain</w:t>
      </w:r>
    </w:p>
    <w:p w14:paraId="0B7BBDE9" w14:textId="77777777" w:rsidR="00607A57" w:rsidRPr="007D3D90"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7D3D90">
        <w:t>•</w:t>
      </w:r>
      <w:r w:rsidRPr="007D3D90">
        <w:tab/>
        <w:t>Des représentants de l’Office national de la statistique</w:t>
      </w:r>
    </w:p>
    <w:p w14:paraId="253159A1" w14:textId="77777777" w:rsidR="00607A57" w:rsidRPr="007D3D90"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7D3D90">
        <w:t>•</w:t>
      </w:r>
      <w:r w:rsidRPr="007D3D90">
        <w:tab/>
        <w:t>Des représentants de l’Université</w:t>
      </w:r>
    </w:p>
    <w:p w14:paraId="714841FD"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7D3D90">
        <w:t>•</w:t>
      </w:r>
      <w:r w:rsidRPr="007D3D90">
        <w:tab/>
        <w:t>Des représentants d’ONG nationales</w:t>
      </w:r>
    </w:p>
    <w:p w14:paraId="7C187234"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spacing w:before="240"/>
        <w:ind w:left="567" w:right="567"/>
      </w:pPr>
      <w:r>
        <w:t xml:space="preserve">Ce comité est en charge du cadrage des orientations politiques et stratégiques de l’OSPUN, valide les plans d’actions annuels, évalue l’atteinte des objectifs, les notes de recommandations et les orientations de politiques publiques produites par la cellule techniques et les commissions thématiques. Deux commissions thématiques y sont en effet associées : une concernant l’éducation et l’autre sur la santé. </w:t>
      </w:r>
    </w:p>
    <w:p w14:paraId="50E2394A" w14:textId="77777777" w:rsidR="00607A57" w:rsidRPr="00760E04"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t xml:space="preserve">Un comité technique interinstitutionnel a également été mis en place. Celui-ci est composé d’experts thématiques qui débattent et valident les </w:t>
      </w:r>
      <w:r w:rsidRPr="00302F6B">
        <w:t xml:space="preserve">productions de l’OSPUN. </w:t>
      </w:r>
      <w:r>
        <w:t xml:space="preserve">Il est </w:t>
      </w:r>
      <w:r w:rsidRPr="00302F6B">
        <w:t>garant (i) de la</w:t>
      </w:r>
      <w:r>
        <w:t xml:space="preserve"> </w:t>
      </w:r>
      <w:r w:rsidRPr="00302F6B">
        <w:t>qualité, de la justesse et de la complétude des données et des analyses, (ii) de la formulation des</w:t>
      </w:r>
      <w:r>
        <w:t xml:space="preserve"> </w:t>
      </w:r>
      <w:r w:rsidRPr="00302F6B">
        <w:t>recommandations pour l’action, (iii) du suivi-évaluation des politiques publiques sectorielle</w:t>
      </w:r>
      <w:r>
        <w:t>.</w:t>
      </w:r>
    </w:p>
    <w:p w14:paraId="11BCA43A" w14:textId="77777777" w:rsidR="00607A57" w:rsidRDefault="00607A57" w:rsidP="00607A57"/>
    <w:p w14:paraId="0CF4FE78" w14:textId="3C5280F7" w:rsidR="00607A57" w:rsidRPr="007D3D90" w:rsidRDefault="00607A57" w:rsidP="00F927A2">
      <w:pPr>
        <w:keepNext/>
        <w:keepLines/>
        <w:pBdr>
          <w:top w:val="single" w:sz="4" w:space="1" w:color="auto"/>
          <w:left w:val="single" w:sz="4" w:space="4" w:color="auto"/>
          <w:bottom w:val="single" w:sz="4" w:space="1" w:color="auto"/>
          <w:right w:val="single" w:sz="4" w:space="4" w:color="auto"/>
        </w:pBdr>
        <w:shd w:val="clear" w:color="auto" w:fill="F3F7FB"/>
        <w:ind w:left="567" w:right="567"/>
        <w:rPr>
          <w:b/>
          <w:u w:val="single"/>
        </w:rPr>
      </w:pPr>
      <w:r w:rsidRPr="002D0321">
        <w:rPr>
          <w:b/>
          <w:u w:val="single"/>
        </w:rPr>
        <w:t>Exemple de MURNInets en Malaisie (</w:t>
      </w:r>
      <w:r w:rsidR="006654FA" w:rsidRPr="002D0321">
        <w:rPr>
          <w:b/>
          <w:u w:val="single"/>
        </w:rPr>
        <w:t>cf.</w:t>
      </w:r>
      <w:r w:rsidRPr="002D0321">
        <w:rPr>
          <w:b/>
          <w:u w:val="single"/>
        </w:rPr>
        <w:t xml:space="preserve"> annexe 3)</w:t>
      </w:r>
    </w:p>
    <w:p w14:paraId="2DD2FA51"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t xml:space="preserve">D’un point de vue institutionnel, le dispositif repose sur « un point focal » national qui coordonne la mise en place de MURNInets et établit un rapport sur les bonnes pratiques été l’état des villes malaisiennes. </w:t>
      </w:r>
    </w:p>
    <w:p w14:paraId="11D9BC29"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380D79">
        <w:t xml:space="preserve">Le point focal a pour mission principale de s’assurer de la compatibilité des données, coordonner la préparation des indicateurs urbains à renseigner, être un support pour les points focaux locaux dans l’élaboration des indicateurs locaux spécifiques pour chaque ville, faciliter la consultation nationale, analyser les plans d’action locaux et identifier les points de convergence qui pourraient faire l’objet de politiques nationales, suivre les progrès réalisés, proposer des politiques urbaines nationales, renforcer les capacités des points focaux locaux, mettre en place les relations et échanges entre les partenaires locaux, promouvoir l’accès aux technologies de communication… </w:t>
      </w:r>
    </w:p>
    <w:p w14:paraId="6914365A"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380D79">
        <w:t xml:space="preserve">Les points focaux locaux </w:t>
      </w:r>
      <w:r>
        <w:t xml:space="preserve">(correspondants locaux du point focal national) </w:t>
      </w:r>
      <w:r w:rsidRPr="00380D79">
        <w:t xml:space="preserve">mettent en place des comités locaux pour assurer l’implication des parties prenantes au niveau local. Les points focaux locaux doivent s’assurer de la remontée d’information et au niveau des états fédérés et de l’état fédéral pour le suivi </w:t>
      </w:r>
      <w:r>
        <w:t xml:space="preserve">des indicateurs </w:t>
      </w:r>
      <w:r w:rsidRPr="00380D79">
        <w:t>au niveau supérieur dans le format standard défini, entre autres responsabilités.</w:t>
      </w:r>
    </w:p>
    <w:p w14:paraId="47760325" w14:textId="77777777" w:rsidR="00607A57" w:rsidRDefault="00607A57" w:rsidP="00607A57">
      <w:r>
        <w:t xml:space="preserve">Il est impossible de statuer aujourd’hui sur ce que pourrait être le </w:t>
      </w:r>
      <w:r w:rsidRPr="0037109E">
        <w:t>format juridique et institutionnel</w:t>
      </w:r>
      <w:r>
        <w:t xml:space="preserve"> des instances en charge d’animer la création puis le fonctionnement d’une base de donnée urbaine en Haïti, notamment du fait que la notion de l’urbain n’est pas pleinement comprise et harmonisée au sein des institutions intervenant dans le secteur.</w:t>
      </w:r>
    </w:p>
    <w:p w14:paraId="1563843A" w14:textId="77777777" w:rsidR="00607A57" w:rsidRPr="0037109E" w:rsidRDefault="00607A57" w:rsidP="00607A57"/>
    <w:p w14:paraId="25D45A1F" w14:textId="77777777" w:rsidR="00607A57" w:rsidRPr="0037109E" w:rsidRDefault="00607A57" w:rsidP="00E53E6F">
      <w:pPr>
        <w:pStyle w:val="Heading4"/>
        <w:numPr>
          <w:ilvl w:val="3"/>
          <w:numId w:val="45"/>
        </w:numPr>
      </w:pPr>
      <w:r w:rsidRPr="0037109E">
        <w:t>Définition du cadre de fonctionnement</w:t>
      </w:r>
    </w:p>
    <w:p w14:paraId="5E9221D0" w14:textId="77777777" w:rsidR="00607A57" w:rsidRPr="0037109E" w:rsidRDefault="00607A57" w:rsidP="00607A57">
      <w:pPr>
        <w:rPr>
          <w:i/>
        </w:rPr>
      </w:pPr>
      <w:r w:rsidRPr="0037109E">
        <w:t xml:space="preserve">Il est important de définir une charte de fonctionnement de ce cadre de concertation afin de définir : </w:t>
      </w:r>
    </w:p>
    <w:p w14:paraId="27281E80" w14:textId="77777777" w:rsidR="00607A57" w:rsidRPr="0037109E" w:rsidRDefault="00607A57" w:rsidP="00F70EF1">
      <w:pPr>
        <w:pStyle w:val="ListParagraph"/>
        <w:numPr>
          <w:ilvl w:val="0"/>
          <w:numId w:val="15"/>
        </w:numPr>
        <w:spacing w:before="0" w:after="200"/>
      </w:pPr>
      <w:r w:rsidRPr="0037109E">
        <w:t>Les rôles des acteurs et les fonctions correspondantes</w:t>
      </w:r>
      <w:r>
        <w:t>,</w:t>
      </w:r>
      <w:r w:rsidRPr="0037109E" w:rsidDel="007A1561">
        <w:t xml:space="preserve"> </w:t>
      </w:r>
    </w:p>
    <w:p w14:paraId="4926EA98" w14:textId="77777777" w:rsidR="00607A57" w:rsidRPr="0037109E" w:rsidRDefault="00607A57" w:rsidP="00F70EF1">
      <w:pPr>
        <w:pStyle w:val="ListParagraph"/>
        <w:numPr>
          <w:ilvl w:val="0"/>
          <w:numId w:val="15"/>
        </w:numPr>
        <w:spacing w:before="0" w:after="200"/>
      </w:pPr>
      <w:r w:rsidRPr="0037109E">
        <w:t>Les responsabilités des acteurs,</w:t>
      </w:r>
    </w:p>
    <w:p w14:paraId="750297BE" w14:textId="77777777" w:rsidR="00607A57" w:rsidRPr="00D82A71" w:rsidRDefault="00607A57" w:rsidP="00F70EF1">
      <w:pPr>
        <w:pStyle w:val="ListParagraph"/>
        <w:numPr>
          <w:ilvl w:val="0"/>
          <w:numId w:val="15"/>
        </w:numPr>
        <w:spacing w:before="0" w:after="200"/>
        <w:rPr>
          <w:rFonts w:cs="Arial"/>
        </w:rPr>
      </w:pPr>
      <w:r w:rsidRPr="0037109E">
        <w:t>Les engagements des acteurs.</w:t>
      </w:r>
    </w:p>
    <w:p w14:paraId="7F843BA5" w14:textId="77777777" w:rsidR="00607A57" w:rsidRDefault="00607A57" w:rsidP="00607A57">
      <w:pPr>
        <w:rPr>
          <w:rFonts w:cs="Arial"/>
        </w:rPr>
      </w:pPr>
      <w:r>
        <w:rPr>
          <w:rFonts w:cs="Arial"/>
        </w:rPr>
        <w:t>Là encore l’étude est bien trop en amont de ces réflexions, mais nous proposons ici de regarder quels a pu être le cadre de fonctionnement mis en œuvre dans la ville de Thiès au Sénégal.</w:t>
      </w:r>
    </w:p>
    <w:p w14:paraId="0EF1313D" w14:textId="77777777" w:rsidR="00607A57" w:rsidRPr="00D82A71"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rPr>
          <w:b/>
          <w:u w:val="single"/>
        </w:rPr>
      </w:pPr>
      <w:r w:rsidRPr="00D82A71">
        <w:rPr>
          <w:b/>
          <w:u w:val="single"/>
        </w:rPr>
        <w:t>Exemple de Thiès et du Système de Monitoring urbain fonctionnel (SMURF)</w:t>
      </w:r>
    </w:p>
    <w:p w14:paraId="55FAB438"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t>A Thiès les autorités ont fait le constat que l</w:t>
      </w:r>
      <w:r w:rsidRPr="00B22924">
        <w:t>a réalité des actions de gestion urbaine est le fait de plusieurs types d’acteurs : (i) les</w:t>
      </w:r>
      <w:r>
        <w:t xml:space="preserve"> </w:t>
      </w:r>
      <w:r w:rsidRPr="00B22924">
        <w:t>professionnels du territoire (institutionnels, privés, ONG et académiques), (ii) les acteurs</w:t>
      </w:r>
      <w:r>
        <w:t xml:space="preserve"> </w:t>
      </w:r>
      <w:r w:rsidRPr="00B22924">
        <w:t>économiques, (iii) les acteurs publics (centralisés, déconcentrés et décentralisés) qui possèdent les</w:t>
      </w:r>
      <w:r>
        <w:t xml:space="preserve"> </w:t>
      </w:r>
      <w:r w:rsidRPr="00B22924">
        <w:t>compétences de la gestion et (iv) les habitants et associations de la société civile qui, par leur</w:t>
      </w:r>
      <w:r>
        <w:t xml:space="preserve"> </w:t>
      </w:r>
      <w:r w:rsidRPr="00B22924">
        <w:t>acceptation ou refus des projets de développement, conditionnent la réussite ou l’échec des actions.</w:t>
      </w:r>
      <w:r>
        <w:t xml:space="preserve"> </w:t>
      </w:r>
      <w:r w:rsidRPr="00B22924">
        <w:t>L’influence et le pouvoir de ce dernier type d’acteurs restent sujet à discussion, en fonction des</w:t>
      </w:r>
      <w:r>
        <w:t xml:space="preserve"> </w:t>
      </w:r>
      <w:r w:rsidRPr="00B22924">
        <w:t>situations particulières.</w:t>
      </w:r>
    </w:p>
    <w:p w14:paraId="0DE0B7FE"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B22924">
        <w:t xml:space="preserve">Partant des conditions de fonctionnement d’un système d’acteurs, une méthode </w:t>
      </w:r>
      <w:r>
        <w:t>a été</w:t>
      </w:r>
      <w:r w:rsidRPr="00B22924">
        <w:t xml:space="preserve"> proposée pour</w:t>
      </w:r>
      <w:r>
        <w:t xml:space="preserve"> </w:t>
      </w:r>
      <w:r w:rsidRPr="00B22924">
        <w:t>intégrer l’instrument de monitoring urbain dans les processus de gestion de la ville. Elle est basée sur</w:t>
      </w:r>
      <w:r>
        <w:t xml:space="preserve"> </w:t>
      </w:r>
      <w:r w:rsidRPr="00B22924">
        <w:t>un cycle d’ateliers menés au sein d’un forum des acteurs urbains, selon un quadruple objectif : (i)</w:t>
      </w:r>
      <w:r>
        <w:t xml:space="preserve"> </w:t>
      </w:r>
      <w:r w:rsidRPr="00B22924">
        <w:t>assurer les conditions du bon fonctionnement du forum d’échange, (ii) renforcer les capacités</w:t>
      </w:r>
      <w:r>
        <w:t xml:space="preserve"> </w:t>
      </w:r>
      <w:r w:rsidRPr="00B22924">
        <w:t>individuelles des acteurs, (iii) mettre en place un système de coordination efficace et (iv) mettre le</w:t>
      </w:r>
      <w:r>
        <w:t xml:space="preserve"> </w:t>
      </w:r>
      <w:r w:rsidRPr="00B22924">
        <w:t>système de monitoring à la disposition du processus de gestion.</w:t>
      </w:r>
    </w:p>
    <w:p w14:paraId="00FF311E" w14:textId="77777777" w:rsidR="00607A57" w:rsidRPr="00B22924"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D82A71">
        <w:t>La méthode proposée est composée d’un premier point de mise en place du forum et d’intégration de nouveaux acteurs, suivi d’un cycle de trois étapes menées au sein du forum participatif : diagnostic, décision et action.</w:t>
      </w:r>
    </w:p>
    <w:p w14:paraId="590BF4F5" w14:textId="77777777" w:rsidR="00607A57" w:rsidRDefault="00607A57" w:rsidP="00607A57">
      <w:bookmarkStart w:id="38" w:name="_Toc408350343"/>
    </w:p>
    <w:p w14:paraId="3AC14986" w14:textId="77777777" w:rsidR="00607A57" w:rsidRPr="002D0321"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rPr>
          <w:b/>
          <w:u w:val="single"/>
        </w:rPr>
      </w:pPr>
      <w:r w:rsidRPr="002D0321">
        <w:rPr>
          <w:b/>
          <w:u w:val="single"/>
        </w:rPr>
        <w:t>Exemple de la BDU du Cameroun</w:t>
      </w:r>
    </w:p>
    <w:p w14:paraId="242E7BEA"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t>L</w:t>
      </w:r>
      <w:r w:rsidRPr="002D0321">
        <w:t>e MINHDU (Ministère de l'Habitat et du Développement Urbain</w:t>
      </w:r>
      <w:r>
        <w:t>)</w:t>
      </w:r>
      <w:r w:rsidRPr="002D0321">
        <w:t>,</w:t>
      </w:r>
      <w:r>
        <w:t xml:space="preserve"> chargé de la gestion de la BDU</w:t>
      </w:r>
      <w:r w:rsidRPr="002D0321">
        <w:t xml:space="preserve"> a signé une convention avec l'INS (Institut National de la Statistique</w:t>
      </w:r>
      <w:r>
        <w:t>)</w:t>
      </w:r>
      <w:r w:rsidRPr="002D0321">
        <w:t xml:space="preserve"> organisme public chargé de la collecte d'informations, du calcul et de la publication des indicateurs de développement et autres données </w:t>
      </w:r>
      <w:r>
        <w:t>statistiques du Cameroun. C</w:t>
      </w:r>
      <w:r w:rsidRPr="002D0321">
        <w:t xml:space="preserve">ette convention permet au Ministère de bénéficier de l'appui méthodologique de cet organisme dans </w:t>
      </w:r>
      <w:r>
        <w:t xml:space="preserve">toutes les phases du processus : </w:t>
      </w:r>
    </w:p>
    <w:p w14:paraId="26547881"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2D0321">
        <w:t xml:space="preserve"> </w:t>
      </w:r>
      <w:r>
        <w:t xml:space="preserve">    - </w:t>
      </w:r>
      <w:r w:rsidRPr="002D0321">
        <w:t xml:space="preserve">organisation </w:t>
      </w:r>
      <w:r>
        <w:t>des études,</w:t>
      </w:r>
    </w:p>
    <w:p w14:paraId="119FC50F"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t xml:space="preserve">     - </w:t>
      </w:r>
      <w:r w:rsidRPr="002D0321">
        <w:t>conception de l'outil de gestion,</w:t>
      </w:r>
    </w:p>
    <w:p w14:paraId="39577BE9"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t xml:space="preserve">     - opérationnalisation).</w:t>
      </w:r>
    </w:p>
    <w:p w14:paraId="6C395A9B" w14:textId="77777777" w:rsidR="00607A57"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p>
    <w:p w14:paraId="6F55D8A7" w14:textId="77777777" w:rsidR="00607A57" w:rsidRPr="002D0321" w:rsidRDefault="00607A57" w:rsidP="00F927A2">
      <w:pPr>
        <w:pBdr>
          <w:top w:val="single" w:sz="4" w:space="1" w:color="auto"/>
          <w:left w:val="single" w:sz="4" w:space="4" w:color="auto"/>
          <w:bottom w:val="single" w:sz="4" w:space="1" w:color="auto"/>
          <w:right w:val="single" w:sz="4" w:space="4" w:color="auto"/>
        </w:pBdr>
        <w:shd w:val="clear" w:color="auto" w:fill="F3F7FB"/>
        <w:ind w:left="567" w:right="567"/>
      </w:pPr>
      <w:r w:rsidRPr="002D0321">
        <w:t>Une autre convention sera également signée entre le MINHDU et l'INC</w:t>
      </w:r>
      <w:r>
        <w:t xml:space="preserve"> (</w:t>
      </w:r>
      <w:r w:rsidRPr="002D0321">
        <w:t>Institut National de la Cartographie</w:t>
      </w:r>
      <w:r>
        <w:t>)</w:t>
      </w:r>
      <w:r w:rsidRPr="002D0321">
        <w:t xml:space="preserve">, dans l'optique de la géolocalisation des données avec à terme une migration de la base de données vers un SIG, géré par un observatoire </w:t>
      </w:r>
      <w:r>
        <w:t>urbain.</w:t>
      </w:r>
    </w:p>
    <w:p w14:paraId="4B6571AF" w14:textId="77777777" w:rsidR="00607A57" w:rsidRDefault="00607A57" w:rsidP="00607A57">
      <w:r>
        <w:t>Il est très important de mettre en avant la stabilité institutionnelle de la structure créée afin d’éviter par la suite tout problème de gouvernance et d’établir des conventions clairement établies avec les producteurs de données afin de contractualiser le partage des données, notamment si cette dernière est considérée comme sensible.</w:t>
      </w:r>
    </w:p>
    <w:p w14:paraId="0DC71986" w14:textId="77777777" w:rsidR="00607A57" w:rsidRDefault="00607A57" w:rsidP="00607A57"/>
    <w:p w14:paraId="2A2AE014" w14:textId="77777777" w:rsidR="00607A57" w:rsidRPr="00845B8F" w:rsidRDefault="00607A57" w:rsidP="00E53E6F">
      <w:pPr>
        <w:pStyle w:val="Heading4"/>
        <w:numPr>
          <w:ilvl w:val="3"/>
          <w:numId w:val="45"/>
        </w:numPr>
      </w:pPr>
      <w:r w:rsidRPr="00845B8F">
        <w:t>Définition du cadre technique d’opérationnalisation</w:t>
      </w:r>
    </w:p>
    <w:bookmarkEnd w:id="38"/>
    <w:p w14:paraId="49E33429" w14:textId="77777777" w:rsidR="00607A57" w:rsidRPr="00E805BB" w:rsidRDefault="00607A57" w:rsidP="00607A57">
      <w:pPr>
        <w:rPr>
          <w:rFonts w:cs="Arial"/>
        </w:rPr>
      </w:pPr>
      <w:r w:rsidRPr="00B92A27">
        <w:rPr>
          <w:rFonts w:cs="Arial"/>
        </w:rPr>
        <w:t>Sur le plan technique, la première action à mettre en place est la constitution d’un répertoire des acteurs et des institutions producteurs de do</w:t>
      </w:r>
      <w:r w:rsidRPr="00646CAE">
        <w:rPr>
          <w:rFonts w:cs="Arial"/>
        </w:rPr>
        <w:t>nnées urbaines. Les données présentent dans ce répertoire seront de nature diverses mais devront à minima pré</w:t>
      </w:r>
      <w:r w:rsidRPr="00E805BB">
        <w:rPr>
          <w:rFonts w:cs="Arial"/>
        </w:rPr>
        <w:t>ciser :</w:t>
      </w:r>
    </w:p>
    <w:p w14:paraId="2C54DB04" w14:textId="77777777" w:rsidR="00607A57" w:rsidRPr="0037109E" w:rsidRDefault="00607A57" w:rsidP="00F70EF1">
      <w:pPr>
        <w:pStyle w:val="ListParagraph"/>
        <w:numPr>
          <w:ilvl w:val="0"/>
          <w:numId w:val="38"/>
        </w:numPr>
        <w:spacing w:before="0" w:after="200"/>
        <w:rPr>
          <w:rFonts w:cs="Arial"/>
        </w:rPr>
      </w:pPr>
      <w:r w:rsidRPr="0037109E">
        <w:rPr>
          <w:rFonts w:cs="Arial"/>
        </w:rPr>
        <w:t>L’institution productrice de la donnée,</w:t>
      </w:r>
    </w:p>
    <w:p w14:paraId="4E63054A" w14:textId="77777777" w:rsidR="00607A57" w:rsidRPr="0037109E" w:rsidRDefault="00607A57" w:rsidP="00F70EF1">
      <w:pPr>
        <w:pStyle w:val="ListParagraph"/>
        <w:numPr>
          <w:ilvl w:val="0"/>
          <w:numId w:val="38"/>
        </w:numPr>
        <w:spacing w:before="0" w:after="200"/>
        <w:rPr>
          <w:rFonts w:cs="Arial"/>
        </w:rPr>
      </w:pPr>
      <w:r w:rsidRPr="0037109E">
        <w:rPr>
          <w:rFonts w:cs="Arial"/>
        </w:rPr>
        <w:t xml:space="preserve">la nature des données produites, </w:t>
      </w:r>
    </w:p>
    <w:p w14:paraId="47CEC3BF" w14:textId="77777777" w:rsidR="00607A57" w:rsidRPr="0037109E" w:rsidRDefault="00607A57" w:rsidP="00F70EF1">
      <w:pPr>
        <w:pStyle w:val="ListParagraph"/>
        <w:numPr>
          <w:ilvl w:val="0"/>
          <w:numId w:val="38"/>
        </w:numPr>
        <w:spacing w:before="0" w:after="200"/>
        <w:rPr>
          <w:rFonts w:cs="Arial"/>
        </w:rPr>
      </w:pPr>
      <w:r w:rsidRPr="0037109E">
        <w:rPr>
          <w:rFonts w:cs="Arial"/>
        </w:rPr>
        <w:t>la périodicité de leurs mises à jour,</w:t>
      </w:r>
    </w:p>
    <w:p w14:paraId="62384463" w14:textId="77777777" w:rsidR="00607A57" w:rsidRPr="0037109E" w:rsidRDefault="00607A57" w:rsidP="00F70EF1">
      <w:pPr>
        <w:pStyle w:val="ListParagraph"/>
        <w:numPr>
          <w:ilvl w:val="0"/>
          <w:numId w:val="38"/>
        </w:numPr>
        <w:spacing w:before="0" w:after="200"/>
        <w:rPr>
          <w:rFonts w:cs="Arial"/>
        </w:rPr>
      </w:pPr>
      <w:r w:rsidRPr="0037109E">
        <w:rPr>
          <w:rFonts w:cs="Arial"/>
        </w:rPr>
        <w:t>les conditions d’accessibilité, degrés de sensibilité</w:t>
      </w:r>
    </w:p>
    <w:p w14:paraId="23A4672D" w14:textId="77777777" w:rsidR="00607A57" w:rsidRPr="0037109E" w:rsidRDefault="00607A57" w:rsidP="00607A57">
      <w:pPr>
        <w:rPr>
          <w:rFonts w:cs="Arial"/>
        </w:rPr>
      </w:pPr>
      <w:r w:rsidRPr="0037109E">
        <w:rPr>
          <w:rFonts w:cs="Arial"/>
        </w:rPr>
        <w:t>Par ailleurs</w:t>
      </w:r>
      <w:r w:rsidRPr="00DB6E82">
        <w:rPr>
          <w:rFonts w:cs="Arial"/>
        </w:rPr>
        <w:t xml:space="preserve">, il est nécessaire d’établir un lien entre la finalité des données produites, c’est-à-dire chercher à savoir qui a accès aux données produites et quelles sont les données urbaines les plus sollicitées par les acteurs. Cela permet </w:t>
      </w:r>
      <w:r w:rsidRPr="0037109E">
        <w:rPr>
          <w:rFonts w:cs="Arial"/>
        </w:rPr>
        <w:t>de dresser un inventaire hiérarchisé des données urbaines nécessaires ou sollicitées.</w:t>
      </w:r>
    </w:p>
    <w:p w14:paraId="751701AF" w14:textId="77777777" w:rsidR="00607A57" w:rsidRPr="0037109E" w:rsidRDefault="00607A57" w:rsidP="00607A57"/>
    <w:p w14:paraId="0EA89CB3" w14:textId="77777777" w:rsidR="00607A57" w:rsidRPr="0037109E" w:rsidRDefault="00607A57" w:rsidP="00E53E6F">
      <w:pPr>
        <w:pStyle w:val="Heading4"/>
        <w:numPr>
          <w:ilvl w:val="3"/>
          <w:numId w:val="45"/>
        </w:numPr>
      </w:pPr>
      <w:r w:rsidRPr="0037109E">
        <w:t>Mise en place du cadre de concertation</w:t>
      </w:r>
    </w:p>
    <w:p w14:paraId="759037E5" w14:textId="77777777" w:rsidR="00607A57" w:rsidRDefault="00607A57" w:rsidP="00607A57">
      <w:pPr>
        <w:rPr>
          <w:rFonts w:cs="Arial"/>
        </w:rPr>
      </w:pPr>
      <w:r w:rsidRPr="0037109E">
        <w:rPr>
          <w:rFonts w:cs="Arial"/>
        </w:rPr>
        <w:t>Enfin, et pour officialiser l’existence du cadre de concertation sur l’urbain, une assemblée constitutive devra adopter/entériner les statuts et le règlement intérieur du cadre de concertation, en s’engageant ainsi à le faire vivre. C’est à partir de la tenue de cette réunion, que le cadre de concertation constitué pour être actif dans la validation des étapes de la constitution d’une base de données urbaines.</w:t>
      </w:r>
    </w:p>
    <w:p w14:paraId="3E2B82DE" w14:textId="77777777" w:rsidR="00F927A2" w:rsidRPr="0037109E" w:rsidRDefault="00F927A2" w:rsidP="00607A57">
      <w:pPr>
        <w:rPr>
          <w:rFonts w:cs="Arial"/>
        </w:rPr>
      </w:pPr>
    </w:p>
    <w:p w14:paraId="230841B3" w14:textId="77777777" w:rsidR="00607A57" w:rsidRPr="0037109E" w:rsidRDefault="00607A57" w:rsidP="00E53E6F">
      <w:pPr>
        <w:pStyle w:val="Heading3"/>
        <w:numPr>
          <w:ilvl w:val="2"/>
          <w:numId w:val="45"/>
        </w:numPr>
      </w:pPr>
      <w:bookmarkStart w:id="39" w:name="_Toc468189950"/>
      <w:r w:rsidRPr="0037109E">
        <w:t>Amorcer la mise en place d’une BDU</w:t>
      </w:r>
      <w:bookmarkEnd w:id="39"/>
    </w:p>
    <w:p w14:paraId="0ECD235B" w14:textId="77777777" w:rsidR="00607A57" w:rsidRPr="008C42E4" w:rsidRDefault="00607A57" w:rsidP="00607A57">
      <w:pPr>
        <w:rPr>
          <w:b/>
        </w:rPr>
      </w:pPr>
      <w:bookmarkStart w:id="40" w:name="_Toc390861124"/>
      <w:r w:rsidRPr="0037109E">
        <w:t>Cette étape, qui peut se révéler longue. Elle consiste à définir les mécanismes de production de la donnée et à former les acteurs en charge de sa gestion pour poursuivre et mettre à jour l’amorce de la B</w:t>
      </w:r>
      <w:r w:rsidRPr="008C42E4">
        <w:t>DU qui sera constituée.</w:t>
      </w:r>
    </w:p>
    <w:p w14:paraId="6ED21DCB" w14:textId="77777777" w:rsidR="00607A57" w:rsidRPr="008C42E4" w:rsidRDefault="00607A57" w:rsidP="00F70EF1">
      <w:pPr>
        <w:pStyle w:val="ListParagraph"/>
        <w:numPr>
          <w:ilvl w:val="0"/>
          <w:numId w:val="39"/>
        </w:numPr>
        <w:spacing w:before="0" w:after="200"/>
      </w:pPr>
      <w:r w:rsidRPr="008C42E4">
        <w:rPr>
          <w:b/>
        </w:rPr>
        <w:t>Phase 1</w:t>
      </w:r>
      <w:r w:rsidRPr="008C42E4">
        <w:t> : diagnostic préalable d’évaluation de l’existant, recueil de toutes les informations nécessaires à satisfaire les orientations souhaitées pour la BDU, compréhension de la portée et/ou des usages potentiels des données possibles à recueillir. C’est-à-dire l’analyse technique des besoins et choix des outils de gestion.</w:t>
      </w:r>
    </w:p>
    <w:p w14:paraId="0DCDD662" w14:textId="77777777" w:rsidR="00607A57" w:rsidRPr="008C42E4" w:rsidRDefault="00607A57" w:rsidP="00F70EF1">
      <w:pPr>
        <w:pStyle w:val="ListParagraph"/>
        <w:numPr>
          <w:ilvl w:val="1"/>
          <w:numId w:val="39"/>
        </w:numPr>
        <w:spacing w:before="0" w:after="200"/>
      </w:pPr>
      <w:r w:rsidRPr="008C42E4">
        <w:t>Définition des objectifs de la BDU</w:t>
      </w:r>
    </w:p>
    <w:p w14:paraId="2CA614CA" w14:textId="77777777" w:rsidR="00607A57" w:rsidRPr="008C42E4" w:rsidRDefault="00607A57" w:rsidP="00F70EF1">
      <w:pPr>
        <w:pStyle w:val="ListParagraph"/>
        <w:numPr>
          <w:ilvl w:val="1"/>
          <w:numId w:val="39"/>
        </w:numPr>
        <w:spacing w:before="0" w:after="200"/>
      </w:pPr>
      <w:r w:rsidRPr="008C42E4">
        <w:t>Identification des besoins : quelles informations, quelles données, quel traitement, quels indicateurs</w:t>
      </w:r>
      <w:r>
        <w:t xml:space="preserve"> pour quels objectifs</w:t>
      </w:r>
      <w:r w:rsidRPr="008C42E4">
        <w:t> ?</w:t>
      </w:r>
    </w:p>
    <w:p w14:paraId="7A786325" w14:textId="77777777" w:rsidR="00607A57" w:rsidRPr="00E805BB" w:rsidRDefault="00607A57" w:rsidP="00F70EF1">
      <w:pPr>
        <w:pStyle w:val="ListParagraph"/>
        <w:numPr>
          <w:ilvl w:val="0"/>
          <w:numId w:val="39"/>
        </w:numPr>
        <w:spacing w:before="0" w:after="200"/>
      </w:pPr>
      <w:r w:rsidRPr="00B22924">
        <w:rPr>
          <w:b/>
        </w:rPr>
        <w:t>Phase 2</w:t>
      </w:r>
      <w:r w:rsidRPr="00E805BB">
        <w:t> : modélisation conceptuelle des données urbaines ; élaboration de modèles conceptuel et physique.</w:t>
      </w:r>
    </w:p>
    <w:p w14:paraId="77807381" w14:textId="77777777" w:rsidR="00607A57" w:rsidRPr="0037109E" w:rsidRDefault="00607A57" w:rsidP="00F70EF1">
      <w:pPr>
        <w:pStyle w:val="ListParagraph"/>
        <w:numPr>
          <w:ilvl w:val="0"/>
          <w:numId w:val="39"/>
        </w:numPr>
        <w:spacing w:before="0" w:after="200"/>
      </w:pPr>
      <w:r w:rsidRPr="0037109E">
        <w:rPr>
          <w:b/>
        </w:rPr>
        <w:t>Phase 3</w:t>
      </w:r>
      <w:r w:rsidRPr="0037109E">
        <w:t> : développement de l’application informatique de logiciel de gestion de la BDU.</w:t>
      </w:r>
    </w:p>
    <w:p w14:paraId="15DC1FD1" w14:textId="77777777" w:rsidR="00607A57" w:rsidRPr="0037109E" w:rsidRDefault="00607A57" w:rsidP="00F70EF1">
      <w:pPr>
        <w:pStyle w:val="ListParagraph"/>
        <w:numPr>
          <w:ilvl w:val="0"/>
          <w:numId w:val="39"/>
        </w:numPr>
        <w:spacing w:before="0" w:after="200"/>
      </w:pPr>
      <w:r w:rsidRPr="0037109E">
        <w:rPr>
          <w:b/>
        </w:rPr>
        <w:t>Phase 4</w:t>
      </w:r>
      <w:r w:rsidRPr="0037109E">
        <w:t> : le prototype d’application de la BDU et la formation au module informatique de gestion de la BDU.</w:t>
      </w:r>
    </w:p>
    <w:p w14:paraId="38BD4375" w14:textId="77777777" w:rsidR="00607A57" w:rsidRPr="0037109E" w:rsidRDefault="00607A57" w:rsidP="00607A57">
      <w:pPr>
        <w:ind w:left="360"/>
      </w:pPr>
    </w:p>
    <w:bookmarkEnd w:id="40"/>
    <w:p w14:paraId="79A8703A" w14:textId="77777777" w:rsidR="00607A57" w:rsidRPr="0037109E" w:rsidRDefault="00607A57" w:rsidP="00E53E6F">
      <w:pPr>
        <w:pStyle w:val="Heading4"/>
        <w:numPr>
          <w:ilvl w:val="3"/>
          <w:numId w:val="45"/>
        </w:numPr>
      </w:pPr>
      <w:r w:rsidRPr="0037109E">
        <w:t>L’évaluation des données urbaines disponibles</w:t>
      </w:r>
    </w:p>
    <w:p w14:paraId="4DE6556F" w14:textId="77777777" w:rsidR="00607A57" w:rsidRPr="0037109E" w:rsidRDefault="00607A57" w:rsidP="00607A57">
      <w:r w:rsidRPr="0037109E">
        <w:t>L’évaluation des données disponibles a été amorcée dans le cadre de la mission PAIFU</w:t>
      </w:r>
      <w:r>
        <w:t xml:space="preserve"> (Cf. Rapport sur la base documentaire)</w:t>
      </w:r>
      <w:r w:rsidRPr="0037109E">
        <w:t>.</w:t>
      </w:r>
      <w:r>
        <w:t xml:space="preserve"> </w:t>
      </w:r>
      <w:r w:rsidRPr="0037109E">
        <w:t>Il est important de mettre à jour le travail réalisé dès lors que le processus de constitution d’une BDU sera enclenché, de nouvelles données pouvant avoir vu le jour ou avoir été actualisées.</w:t>
      </w:r>
    </w:p>
    <w:p w14:paraId="1868609D" w14:textId="77777777" w:rsidR="00607A57" w:rsidRPr="0037109E" w:rsidRDefault="00607A57" w:rsidP="00607A57">
      <w:r w:rsidRPr="0037109E">
        <w:t xml:space="preserve">Cette analyse </w:t>
      </w:r>
      <w:r>
        <w:t>pourra être</w:t>
      </w:r>
      <w:r w:rsidRPr="0037109E">
        <w:t xml:space="preserve"> réalis</w:t>
      </w:r>
      <w:r>
        <w:t>ée</w:t>
      </w:r>
      <w:r w:rsidRPr="0037109E">
        <w:t xml:space="preserve"> à travers une analyse SWOT (Forces, Faiblesses, Opportunités et Menaces) et une caractérisation des données (thématiques) disponibles selon leur qualité, fiabilité, pertinence, échelle de collecte, précision dans leur collecte, moyens et outils de collecte, mise à jour, échelle d’analyse, archivage, format de diffusion et accessibilité, contrainte liée à l’échange.</w:t>
      </w:r>
    </w:p>
    <w:p w14:paraId="774F1FFA" w14:textId="77777777" w:rsidR="00607A57" w:rsidRDefault="00607A57" w:rsidP="00607A57">
      <w:r>
        <w:t xml:space="preserve">Cette évaluation permettra </w:t>
      </w:r>
      <w:r w:rsidRPr="0037109E">
        <w:t>de faire ressortir les données pertinentes les plus demandées par les utilisateurs.</w:t>
      </w:r>
    </w:p>
    <w:p w14:paraId="318ABBD2" w14:textId="77777777" w:rsidR="00607A57" w:rsidRPr="0037109E" w:rsidRDefault="00607A57" w:rsidP="00607A57">
      <w:r>
        <w:t>Nous faisons renvoi ici au rapport sur la base documentaire, qui au travail de l’inventaire des institutions productrices de données et l’identification du type de données produites a amorcé ce travail.</w:t>
      </w:r>
    </w:p>
    <w:p w14:paraId="325446D3" w14:textId="77777777" w:rsidR="00607A57" w:rsidRPr="0037109E" w:rsidRDefault="00607A57" w:rsidP="00607A57"/>
    <w:p w14:paraId="662DD6D4" w14:textId="77777777" w:rsidR="00607A57" w:rsidRPr="0037109E" w:rsidRDefault="00607A57" w:rsidP="00E53E6F">
      <w:pPr>
        <w:pStyle w:val="Heading4"/>
        <w:numPr>
          <w:ilvl w:val="3"/>
          <w:numId w:val="45"/>
        </w:numPr>
      </w:pPr>
      <w:r w:rsidRPr="0037109E">
        <w:t>L’analyse de l’inventaire des données et des sources de production</w:t>
      </w:r>
    </w:p>
    <w:p w14:paraId="07977C7A" w14:textId="77777777" w:rsidR="00607A57" w:rsidRPr="0037109E" w:rsidRDefault="00607A57" w:rsidP="00607A57">
      <w:r w:rsidRPr="0037109E">
        <w:t>Cette analyse porte sur :</w:t>
      </w:r>
    </w:p>
    <w:p w14:paraId="598F18A7" w14:textId="77777777" w:rsidR="00607A57" w:rsidRPr="00E805BB" w:rsidRDefault="00607A57" w:rsidP="00F70EF1">
      <w:pPr>
        <w:pStyle w:val="ListParagraph"/>
        <w:numPr>
          <w:ilvl w:val="0"/>
          <w:numId w:val="40"/>
        </w:numPr>
        <w:spacing w:before="0" w:after="200"/>
      </w:pPr>
      <w:r w:rsidRPr="0037109E">
        <w:rPr>
          <w:b/>
        </w:rPr>
        <w:t>la structuration ou la nomenclature</w:t>
      </w:r>
      <w:r w:rsidRPr="00646CAE">
        <w:rPr>
          <w:rStyle w:val="FootnoteReference"/>
          <w:b/>
          <w:sz w:val="24"/>
          <w:szCs w:val="24"/>
        </w:rPr>
        <w:footnoteReference w:id="41"/>
      </w:r>
      <w:r w:rsidRPr="00646CAE">
        <w:t xml:space="preserve"> des données qui seraient intégré dans une base de données urbaines</w:t>
      </w:r>
      <w:r w:rsidRPr="00E805BB">
        <w:rPr>
          <w:b/>
        </w:rPr>
        <w:t>,</w:t>
      </w:r>
    </w:p>
    <w:p w14:paraId="61B1B1AE" w14:textId="77777777" w:rsidR="00607A57" w:rsidRPr="0037109E" w:rsidRDefault="00607A57" w:rsidP="00F70EF1">
      <w:pPr>
        <w:pStyle w:val="ListParagraph"/>
        <w:numPr>
          <w:ilvl w:val="0"/>
          <w:numId w:val="40"/>
        </w:numPr>
        <w:spacing w:before="0" w:after="200"/>
      </w:pPr>
      <w:r w:rsidRPr="0037109E">
        <w:rPr>
          <w:b/>
        </w:rPr>
        <w:t>l’interopérabilité ou compatibilité</w:t>
      </w:r>
      <w:r w:rsidRPr="0037109E">
        <w:t xml:space="preserve"> des données,</w:t>
      </w:r>
    </w:p>
    <w:p w14:paraId="78FA5971" w14:textId="77777777" w:rsidR="00607A57" w:rsidRPr="0037109E" w:rsidRDefault="00607A57" w:rsidP="00F70EF1">
      <w:pPr>
        <w:pStyle w:val="ListParagraph"/>
        <w:numPr>
          <w:ilvl w:val="0"/>
          <w:numId w:val="40"/>
        </w:numPr>
        <w:spacing w:before="0" w:after="200"/>
      </w:pPr>
      <w:r w:rsidRPr="0037109E">
        <w:rPr>
          <w:b/>
        </w:rPr>
        <w:t>la typologie</w:t>
      </w:r>
      <w:r w:rsidRPr="0037109E">
        <w:t xml:space="preserve"> (statistique, attributaire et ou spatiale) des données,</w:t>
      </w:r>
    </w:p>
    <w:p w14:paraId="37464035" w14:textId="77777777" w:rsidR="00607A57" w:rsidRPr="0037109E" w:rsidRDefault="00607A57" w:rsidP="00F70EF1">
      <w:pPr>
        <w:pStyle w:val="ListParagraph"/>
        <w:numPr>
          <w:ilvl w:val="0"/>
          <w:numId w:val="40"/>
        </w:numPr>
        <w:spacing w:before="0" w:after="200"/>
      </w:pPr>
      <w:r w:rsidRPr="0037109E">
        <w:rPr>
          <w:b/>
        </w:rPr>
        <w:t>les thématiques</w:t>
      </w:r>
      <w:r w:rsidRPr="0037109E">
        <w:t xml:space="preserve"> abordées par chaque organisme / structure ciblés(es).</w:t>
      </w:r>
    </w:p>
    <w:p w14:paraId="1D1A0A59" w14:textId="77777777" w:rsidR="00607A57" w:rsidRPr="0037109E" w:rsidRDefault="00607A57" w:rsidP="00607A57">
      <w:r w:rsidRPr="00D82A71">
        <w:t xml:space="preserve">De plus, </w:t>
      </w:r>
      <w:r w:rsidRPr="00D82A71">
        <w:rPr>
          <w:b/>
        </w:rPr>
        <w:t>les compétences disponibles, les moyens et outils disponibles et fonctionnels</w:t>
      </w:r>
      <w:r w:rsidRPr="00D82A71">
        <w:t xml:space="preserve"> (logiciels, système de gestion de base de données, matériels informatiques, GPS, images satellites, vues aériennes, etc.) au niveau de chaque structure potentiellement contributrice à la BDU </w:t>
      </w:r>
      <w:r>
        <w:t>doivent-être</w:t>
      </w:r>
      <w:r w:rsidRPr="00D82A71">
        <w:t xml:space="preserve"> pris</w:t>
      </w:r>
      <w:r>
        <w:t>e</w:t>
      </w:r>
      <w:r w:rsidRPr="00D82A71">
        <w:t xml:space="preserve"> en compte dans cette analyse.</w:t>
      </w:r>
      <w:r w:rsidRPr="0037109E">
        <w:t xml:space="preserve"> </w:t>
      </w:r>
    </w:p>
    <w:p w14:paraId="0B0BAAB0" w14:textId="77777777" w:rsidR="00607A57" w:rsidRPr="0037109E" w:rsidRDefault="00607A57" w:rsidP="00607A57"/>
    <w:p w14:paraId="599FD7CF" w14:textId="77777777" w:rsidR="00607A57" w:rsidRPr="0037109E" w:rsidRDefault="00607A57" w:rsidP="00E53E6F">
      <w:pPr>
        <w:pStyle w:val="Heading4"/>
        <w:numPr>
          <w:ilvl w:val="3"/>
          <w:numId w:val="45"/>
        </w:numPr>
      </w:pPr>
      <w:r w:rsidRPr="0037109E">
        <w:t>Le dégagement d’une ou des tendance(s) des données existantes</w:t>
      </w:r>
    </w:p>
    <w:p w14:paraId="6427110A" w14:textId="77777777" w:rsidR="00607A57" w:rsidRPr="0037109E" w:rsidRDefault="00607A57" w:rsidP="00607A57">
      <w:r w:rsidRPr="0037109E">
        <w:t xml:space="preserve">Ce premier travail permettant d’établir (i) l’état des lieux, et (ii) l’analyse croisée des données existantes et des potentialités des structures/organismes producteurs de données. L’étape suivante est de faire ressortir </w:t>
      </w:r>
      <w:r w:rsidRPr="0037109E">
        <w:rPr>
          <w:b/>
        </w:rPr>
        <w:t>les grandes tendances</w:t>
      </w:r>
      <w:r w:rsidRPr="0037109E">
        <w:t xml:space="preserve"> (les bases de données spatiales cohérentes et fiables) qui serviront d’ossature dans l’élaboration des scénarii de composition de la base de données urbaines.</w:t>
      </w:r>
    </w:p>
    <w:p w14:paraId="49C59B9A" w14:textId="77777777" w:rsidR="00607A57" w:rsidRPr="0037109E" w:rsidRDefault="00607A57" w:rsidP="00607A57"/>
    <w:p w14:paraId="3CEF3D29" w14:textId="77777777" w:rsidR="00607A57" w:rsidRPr="0037109E" w:rsidRDefault="00607A57" w:rsidP="00E53E6F">
      <w:pPr>
        <w:pStyle w:val="Heading4"/>
        <w:numPr>
          <w:ilvl w:val="3"/>
          <w:numId w:val="45"/>
        </w:numPr>
      </w:pPr>
      <w:r w:rsidRPr="0037109E">
        <w:t>L’étude de faisabilité de la constitution de la BDU</w:t>
      </w:r>
    </w:p>
    <w:p w14:paraId="410A1C0C" w14:textId="77777777" w:rsidR="00607A57" w:rsidRPr="0037109E" w:rsidRDefault="00607A57" w:rsidP="00F70EF1">
      <w:pPr>
        <w:pStyle w:val="ListParagraph"/>
        <w:numPr>
          <w:ilvl w:val="0"/>
          <w:numId w:val="41"/>
        </w:numPr>
        <w:spacing w:before="0"/>
        <w:rPr>
          <w:b/>
        </w:rPr>
      </w:pPr>
      <w:r w:rsidRPr="0037109E">
        <w:rPr>
          <w:b/>
        </w:rPr>
        <w:t>Quels indicateurs de développement urbain ?</w:t>
      </w:r>
    </w:p>
    <w:p w14:paraId="3BE2BD25" w14:textId="77777777" w:rsidR="00607A57" w:rsidRPr="00B47561" w:rsidRDefault="00607A57" w:rsidP="00607A57">
      <w:pPr>
        <w:rPr>
          <w:rFonts w:cs="Arial"/>
        </w:rPr>
      </w:pPr>
      <w:r w:rsidRPr="0037109E">
        <w:rPr>
          <w:rFonts w:cs="Arial"/>
        </w:rPr>
        <w:t>Pour définir les indicateurs du développement urbain, et en l’absence de politique nationale, les réflexions devront par définition reposer sur une acceptation commune des « dimensions du fait urbain ».Nous rappelons ici la synthèse réalisée dans le cadre du diagnostic du secteur réalisé dans le cadre de l’élaboration du programme du 11</w:t>
      </w:r>
      <w:r w:rsidRPr="0037109E">
        <w:rPr>
          <w:rFonts w:cs="Arial"/>
          <w:vertAlign w:val="superscript"/>
        </w:rPr>
        <w:t>ème</w:t>
      </w:r>
      <w:r w:rsidRPr="0037109E">
        <w:rPr>
          <w:rFonts w:cs="Arial"/>
        </w:rPr>
        <w:t xml:space="preserve"> FED, ainsi que les orientations du Guide de l’Urbaniste.</w:t>
      </w:r>
    </w:p>
    <w:p w14:paraId="047F048B" w14:textId="77777777" w:rsidR="00607A57" w:rsidRPr="0037109E" w:rsidRDefault="00607A57" w:rsidP="00607A57">
      <w:pPr>
        <w:rPr>
          <w:rFonts w:cs="Arial"/>
        </w:rPr>
      </w:pPr>
      <w:r w:rsidRPr="00845B8F">
        <w:rPr>
          <w:rFonts w:cs="Arial"/>
        </w:rPr>
        <w:t>Partant de la définition actuelle de la ville, en Haiti, des critères minimaux de définition des villes pourront ensuite être définis en prenant en compte la démographie, la densité de la population, l’économie urbaine, la densité et la continuité du bâti, la nature des infrastructures et équipements, la répartition des modes d'occupation du sol, l'irrigation par une tram</w:t>
      </w:r>
      <w:r w:rsidRPr="00B92A27">
        <w:rPr>
          <w:rFonts w:cs="Arial"/>
        </w:rPr>
        <w:t xml:space="preserve">e viaire, la desserte par positionnement ou raccordement à différentes catégories de voies du réseau routier national, ainsi que le </w:t>
      </w:r>
      <w:r>
        <w:rPr>
          <w:rFonts w:cs="Arial"/>
        </w:rPr>
        <w:t>p</w:t>
      </w:r>
      <w:r w:rsidRPr="00B92A27">
        <w:rPr>
          <w:rFonts w:cs="Arial"/>
        </w:rPr>
        <w:t xml:space="preserve">atrimoine. </w:t>
      </w:r>
    </w:p>
    <w:p w14:paraId="17DE02A5" w14:textId="77777777" w:rsidR="00607A57" w:rsidRDefault="00607A57" w:rsidP="00607A57">
      <w:pPr>
        <w:rPr>
          <w:rFonts w:cs="Arial"/>
        </w:rPr>
      </w:pPr>
      <w:r w:rsidRPr="00B47561">
        <w:rPr>
          <w:rFonts w:cs="Arial"/>
        </w:rPr>
        <w:t xml:space="preserve">Ce travail devra permettre d’identifier les notions-clés permettant de dégager les </w:t>
      </w:r>
      <w:r w:rsidRPr="00DB6E82">
        <w:rPr>
          <w:rFonts w:cs="Arial"/>
        </w:rPr>
        <w:t xml:space="preserve">critères spécifiques </w:t>
      </w:r>
      <w:r w:rsidRPr="00B47561">
        <w:rPr>
          <w:rFonts w:cs="Arial"/>
        </w:rPr>
        <w:t>véritablement disc</w:t>
      </w:r>
      <w:r w:rsidRPr="00845B8F">
        <w:rPr>
          <w:rFonts w:cs="Arial"/>
        </w:rPr>
        <w:t xml:space="preserve">riminants et pertinents pour élaborer une singularisation des villes à l'épreuve du temps et des orientations politiques nationales ou décentralisées. </w:t>
      </w:r>
    </w:p>
    <w:p w14:paraId="3B18259F" w14:textId="77777777" w:rsidR="00607A57" w:rsidRPr="00845B8F" w:rsidRDefault="00607A57" w:rsidP="00607A57">
      <w:pPr>
        <w:rPr>
          <w:rFonts w:cs="Arial"/>
        </w:rPr>
      </w:pPr>
    </w:p>
    <w:p w14:paraId="286808A6" w14:textId="77777777" w:rsidR="00607A57" w:rsidRPr="00B92A27" w:rsidRDefault="00607A57" w:rsidP="00F70EF1">
      <w:pPr>
        <w:pStyle w:val="ListParagraph"/>
        <w:keepNext/>
        <w:keepLines/>
        <w:numPr>
          <w:ilvl w:val="0"/>
          <w:numId w:val="41"/>
        </w:numPr>
        <w:spacing w:before="0"/>
        <w:ind w:left="714" w:hanging="357"/>
        <w:rPr>
          <w:b/>
        </w:rPr>
      </w:pPr>
      <w:r w:rsidRPr="00B92A27">
        <w:rPr>
          <w:b/>
        </w:rPr>
        <w:t>Quels besoins ?</w:t>
      </w:r>
    </w:p>
    <w:p w14:paraId="3A209183" w14:textId="77777777" w:rsidR="00607A57" w:rsidRPr="0037109E" w:rsidRDefault="00607A57" w:rsidP="00607A57">
      <w:r w:rsidRPr="00B92A27">
        <w:t xml:space="preserve">Le travail de la présente mission a esquissé cette analyse, néanmoins, ce travail mériterait d’être enrichi. Il s’agit, pour les 4 institutions moteur du projet, de répondre de manière claire aux questions suivantes : </w:t>
      </w:r>
      <w:r w:rsidRPr="00646CAE">
        <w:rPr>
          <w:rFonts w:cs="Calibri"/>
        </w:rPr>
        <w:t xml:space="preserve">Quelles informations avons-nous besoin de produire et pourquoi ? Avec quelles données ? Quels traitements sont-ils nécessaires pour la production de ces informations (structuration d’une base de données intégrant deux types de données </w:t>
      </w:r>
      <w:r w:rsidRPr="00555D66">
        <w:rPr>
          <w:rFonts w:cs="Calibri"/>
        </w:rPr>
        <w:t xml:space="preserve">- géographique ou descriptive </w:t>
      </w:r>
      <w:r w:rsidRPr="0037109E">
        <w:rPr>
          <w:rFonts w:cs="Calibri"/>
        </w:rPr>
        <w:t>- dont la gestion sera séparée) ?</w:t>
      </w:r>
      <w:r>
        <w:rPr>
          <w:rFonts w:cs="Calibri"/>
        </w:rPr>
        <w:t xml:space="preserve"> Quelles solutions possibles ?</w:t>
      </w:r>
    </w:p>
    <w:p w14:paraId="0E7B13D4" w14:textId="77777777" w:rsidR="00607A57" w:rsidRPr="003B3A0D" w:rsidRDefault="00607A57" w:rsidP="00607A57">
      <w:r w:rsidRPr="003B3A0D">
        <w:t>Il est important de rappeler ici les compétences dans ce champ d’intervention du CNIGS qui gère le Système d’Information Logements et Quartiers. Les expériences menées dans ce</w:t>
      </w:r>
      <w:r>
        <w:t xml:space="preserve"> domaine </w:t>
      </w:r>
      <w:r w:rsidRPr="003B3A0D">
        <w:t>permettent de ne pas repartir de 0, étant entendu que ce n’est pas aux gestionnaires de données  de définir la finalité de l’outil, mais bien contribuer à répondre à la demande.</w:t>
      </w:r>
    </w:p>
    <w:p w14:paraId="22B45933" w14:textId="77777777" w:rsidR="00607A57" w:rsidRDefault="00607A57" w:rsidP="00607A57"/>
    <w:p w14:paraId="4A774286" w14:textId="77777777" w:rsidR="00F927A2" w:rsidRDefault="00F927A2" w:rsidP="00F927A2">
      <w:r>
        <w:t>A titre d’exemple, le tableau ci-dessous présente une liste d’indicateurs et de données sur lesquelles il est facile d’avancer assez rapidement.</w:t>
      </w:r>
    </w:p>
    <w:p w14:paraId="5C3FDD21" w14:textId="77777777" w:rsidR="00F927A2" w:rsidRDefault="00F927A2" w:rsidP="00F927A2">
      <w:pPr>
        <w:sectPr w:rsidR="00F927A2" w:rsidSect="00F927A2">
          <w:pgSz w:w="11906" w:h="16838"/>
          <w:pgMar w:top="1417" w:right="1417" w:bottom="1417" w:left="1417" w:header="708" w:footer="708" w:gutter="0"/>
          <w:cols w:space="708"/>
          <w:docGrid w:linePitch="360"/>
        </w:sectPr>
      </w:pPr>
    </w:p>
    <w:p w14:paraId="19131BA6" w14:textId="2827D9B0" w:rsidR="00F927A2" w:rsidRDefault="00F927A2" w:rsidP="00F927A2">
      <w:pPr>
        <w:pStyle w:val="Caption"/>
      </w:pPr>
      <w:r>
        <w:t xml:space="preserve">Figure </w:t>
      </w:r>
      <w:fldSimple w:instr=" SEQ Figure \* ARABIC ">
        <w:r w:rsidR="00995EB5">
          <w:rPr>
            <w:noProof/>
          </w:rPr>
          <w:t>15</w:t>
        </w:r>
      </w:fldSimple>
      <w:r>
        <w:t xml:space="preserve"> : </w:t>
      </w:r>
      <w:r w:rsidR="00FB2DB2">
        <w:t>Liste de thèmes et d’indicateurs habituellement utilisés sur l’urbain</w:t>
      </w:r>
    </w:p>
    <w:tbl>
      <w:tblPr>
        <w:tblStyle w:val="TableGrid"/>
        <w:tblW w:w="5000" w:type="pct"/>
        <w:tblLook w:val="04A0" w:firstRow="1" w:lastRow="0" w:firstColumn="1" w:lastColumn="0" w:noHBand="0" w:noVBand="1"/>
      </w:tblPr>
      <w:tblGrid>
        <w:gridCol w:w="3555"/>
        <w:gridCol w:w="3555"/>
        <w:gridCol w:w="3555"/>
        <w:gridCol w:w="3555"/>
      </w:tblGrid>
      <w:tr w:rsidR="00F927A2" w14:paraId="4FC695A1" w14:textId="77777777" w:rsidTr="00F927A2">
        <w:trPr>
          <w:tblHeader/>
        </w:trPr>
        <w:tc>
          <w:tcPr>
            <w:tcW w:w="1250" w:type="pct"/>
            <w:shd w:val="clear" w:color="auto" w:fill="FFFFCC"/>
          </w:tcPr>
          <w:p w14:paraId="0D186EEC" w14:textId="77777777" w:rsidR="00F927A2" w:rsidRPr="00593C1E" w:rsidRDefault="00F927A2" w:rsidP="00F927A2">
            <w:pPr>
              <w:jc w:val="center"/>
              <w:rPr>
                <w:b/>
                <w:color w:val="F79646" w:themeColor="accent6"/>
              </w:rPr>
            </w:pPr>
            <w:r w:rsidRPr="00593C1E">
              <w:rPr>
                <w:b/>
                <w:color w:val="F79646" w:themeColor="accent6"/>
              </w:rPr>
              <w:t>Secteur</w:t>
            </w:r>
          </w:p>
        </w:tc>
        <w:tc>
          <w:tcPr>
            <w:tcW w:w="1250" w:type="pct"/>
            <w:shd w:val="clear" w:color="auto" w:fill="FFFFCC"/>
          </w:tcPr>
          <w:p w14:paraId="7D640F60" w14:textId="77777777" w:rsidR="00F927A2" w:rsidRPr="00593C1E" w:rsidRDefault="00F927A2" w:rsidP="00F927A2">
            <w:pPr>
              <w:jc w:val="center"/>
              <w:rPr>
                <w:b/>
                <w:color w:val="F79646" w:themeColor="accent6"/>
              </w:rPr>
            </w:pPr>
            <w:r w:rsidRPr="00593C1E">
              <w:rPr>
                <w:b/>
                <w:color w:val="F79646" w:themeColor="accent6"/>
              </w:rPr>
              <w:t>Données de base</w:t>
            </w:r>
          </w:p>
        </w:tc>
        <w:tc>
          <w:tcPr>
            <w:tcW w:w="1250" w:type="pct"/>
            <w:shd w:val="clear" w:color="auto" w:fill="FFFFCC"/>
          </w:tcPr>
          <w:p w14:paraId="02AEC632" w14:textId="77777777" w:rsidR="00F927A2" w:rsidRPr="00593C1E" w:rsidRDefault="00F927A2" w:rsidP="00F927A2">
            <w:pPr>
              <w:jc w:val="center"/>
              <w:rPr>
                <w:b/>
                <w:color w:val="F79646" w:themeColor="accent6"/>
              </w:rPr>
            </w:pPr>
            <w:r w:rsidRPr="00593C1E">
              <w:rPr>
                <w:b/>
                <w:color w:val="F79646" w:themeColor="accent6"/>
              </w:rPr>
              <w:t>Indicateurs</w:t>
            </w:r>
          </w:p>
        </w:tc>
        <w:tc>
          <w:tcPr>
            <w:tcW w:w="1250" w:type="pct"/>
            <w:shd w:val="clear" w:color="auto" w:fill="FFFFCC"/>
          </w:tcPr>
          <w:p w14:paraId="05F62A6F" w14:textId="77777777" w:rsidR="00F927A2" w:rsidRPr="00593C1E" w:rsidRDefault="00F927A2" w:rsidP="00F927A2">
            <w:pPr>
              <w:jc w:val="center"/>
              <w:rPr>
                <w:b/>
                <w:color w:val="F79646" w:themeColor="accent6"/>
              </w:rPr>
            </w:pPr>
            <w:r w:rsidRPr="00593C1E">
              <w:rPr>
                <w:b/>
                <w:color w:val="F79646" w:themeColor="accent6"/>
              </w:rPr>
              <w:t>Source potentielle</w:t>
            </w:r>
          </w:p>
        </w:tc>
      </w:tr>
      <w:tr w:rsidR="00F927A2" w14:paraId="2917185A" w14:textId="77777777" w:rsidTr="00F927A2">
        <w:tc>
          <w:tcPr>
            <w:tcW w:w="1250" w:type="pct"/>
            <w:shd w:val="clear" w:color="auto" w:fill="FFFFCC"/>
            <w:vAlign w:val="center"/>
          </w:tcPr>
          <w:p w14:paraId="10671FE4" w14:textId="77777777" w:rsidR="00F927A2" w:rsidRPr="00593C1E" w:rsidRDefault="00F927A2" w:rsidP="00F927A2">
            <w:pPr>
              <w:jc w:val="left"/>
              <w:rPr>
                <w:b/>
                <w:color w:val="F79646" w:themeColor="accent6"/>
              </w:rPr>
            </w:pPr>
            <w:r w:rsidRPr="00593C1E">
              <w:rPr>
                <w:b/>
                <w:color w:val="F79646" w:themeColor="accent6"/>
              </w:rPr>
              <w:t>Démographie</w:t>
            </w:r>
          </w:p>
        </w:tc>
        <w:tc>
          <w:tcPr>
            <w:tcW w:w="1250" w:type="pct"/>
            <w:vAlign w:val="center"/>
          </w:tcPr>
          <w:p w14:paraId="5F3F3349" w14:textId="77777777" w:rsidR="00F927A2" w:rsidRPr="00593C1E" w:rsidRDefault="00F927A2" w:rsidP="00F927A2">
            <w:pPr>
              <w:jc w:val="left"/>
            </w:pPr>
            <w:r w:rsidRPr="00593C1E">
              <w:t>Population par quartier/ville/village</w:t>
            </w:r>
          </w:p>
          <w:p w14:paraId="169F5FF9" w14:textId="77777777" w:rsidR="00F927A2" w:rsidRPr="00593C1E" w:rsidRDefault="00F927A2" w:rsidP="00F927A2">
            <w:pPr>
              <w:jc w:val="left"/>
            </w:pPr>
            <w:r w:rsidRPr="00593C1E">
              <w:t>Classes d’âge</w:t>
            </w:r>
          </w:p>
        </w:tc>
        <w:tc>
          <w:tcPr>
            <w:tcW w:w="1250" w:type="pct"/>
            <w:vAlign w:val="center"/>
          </w:tcPr>
          <w:p w14:paraId="7B318EDF" w14:textId="77777777" w:rsidR="00F927A2" w:rsidRPr="00593C1E" w:rsidRDefault="00F927A2" w:rsidP="00F927A2">
            <w:pPr>
              <w:jc w:val="left"/>
            </w:pPr>
            <w:r w:rsidRPr="00593C1E">
              <w:t>Population totale (et localisation)</w:t>
            </w:r>
          </w:p>
          <w:p w14:paraId="374302CA" w14:textId="77777777" w:rsidR="00F927A2" w:rsidRPr="00593C1E" w:rsidRDefault="00F927A2" w:rsidP="00F927A2">
            <w:pPr>
              <w:jc w:val="left"/>
            </w:pPr>
            <w:r w:rsidRPr="00593C1E">
              <w:t>Taux de pauvreté</w:t>
            </w:r>
          </w:p>
          <w:p w14:paraId="20CEC9F0" w14:textId="77777777" w:rsidR="00F927A2" w:rsidRPr="00593C1E" w:rsidRDefault="00F927A2" w:rsidP="00F927A2">
            <w:pPr>
              <w:jc w:val="left"/>
            </w:pPr>
            <w:r w:rsidRPr="00593C1E">
              <w:t>Taux de croissance de la population</w:t>
            </w:r>
          </w:p>
          <w:p w14:paraId="3825CBC3" w14:textId="77777777" w:rsidR="00F927A2" w:rsidRDefault="00F927A2" w:rsidP="00F927A2">
            <w:pPr>
              <w:jc w:val="left"/>
            </w:pPr>
            <w:r>
              <w:t xml:space="preserve">Densité </w:t>
            </w:r>
          </w:p>
        </w:tc>
        <w:tc>
          <w:tcPr>
            <w:tcW w:w="1250" w:type="pct"/>
            <w:vAlign w:val="center"/>
          </w:tcPr>
          <w:p w14:paraId="1D06CDEF" w14:textId="77777777" w:rsidR="00F927A2" w:rsidRDefault="00F927A2" w:rsidP="00F927A2">
            <w:pPr>
              <w:jc w:val="left"/>
            </w:pPr>
            <w:r>
              <w:t>Enquête démographique</w:t>
            </w:r>
          </w:p>
        </w:tc>
      </w:tr>
      <w:tr w:rsidR="00F927A2" w14:paraId="57C1238E" w14:textId="77777777" w:rsidTr="00F927A2">
        <w:tc>
          <w:tcPr>
            <w:tcW w:w="1250" w:type="pct"/>
            <w:shd w:val="clear" w:color="auto" w:fill="FFFFCC"/>
            <w:vAlign w:val="center"/>
          </w:tcPr>
          <w:p w14:paraId="760DF5F4" w14:textId="77777777" w:rsidR="00F927A2" w:rsidRPr="00593C1E" w:rsidRDefault="00F927A2" w:rsidP="00F927A2">
            <w:pPr>
              <w:jc w:val="left"/>
              <w:rPr>
                <w:b/>
                <w:color w:val="F79646" w:themeColor="accent6"/>
              </w:rPr>
            </w:pPr>
            <w:r w:rsidRPr="00593C1E">
              <w:rPr>
                <w:b/>
                <w:color w:val="F79646" w:themeColor="accent6"/>
              </w:rPr>
              <w:t>Eau</w:t>
            </w:r>
          </w:p>
        </w:tc>
        <w:tc>
          <w:tcPr>
            <w:tcW w:w="1250" w:type="pct"/>
            <w:vAlign w:val="center"/>
          </w:tcPr>
          <w:p w14:paraId="10A199DD" w14:textId="77777777" w:rsidR="00F927A2" w:rsidRDefault="00F927A2" w:rsidP="00F927A2">
            <w:pPr>
              <w:jc w:val="left"/>
            </w:pPr>
            <w:r>
              <w:t>Sources d’eau</w:t>
            </w:r>
          </w:p>
          <w:p w14:paraId="22986F74" w14:textId="77777777" w:rsidR="00F927A2" w:rsidRDefault="00F927A2" w:rsidP="00F927A2">
            <w:pPr>
              <w:jc w:val="left"/>
            </w:pPr>
            <w:r>
              <w:t>Prix</w:t>
            </w:r>
          </w:p>
        </w:tc>
        <w:tc>
          <w:tcPr>
            <w:tcW w:w="1250" w:type="pct"/>
            <w:vAlign w:val="center"/>
          </w:tcPr>
          <w:p w14:paraId="4CF88982" w14:textId="77777777" w:rsidR="00F927A2" w:rsidRPr="00593C1E" w:rsidRDefault="00F927A2" w:rsidP="00F927A2">
            <w:pPr>
              <w:jc w:val="left"/>
            </w:pPr>
            <w:r w:rsidRPr="00593C1E">
              <w:t>Prix moyen de l’eau</w:t>
            </w:r>
          </w:p>
          <w:p w14:paraId="75C02E4B" w14:textId="77777777" w:rsidR="00F927A2" w:rsidRPr="00593C1E" w:rsidRDefault="00F927A2" w:rsidP="00F927A2">
            <w:pPr>
              <w:jc w:val="left"/>
            </w:pPr>
            <w:r w:rsidRPr="00593C1E">
              <w:t>Consommation moyenne</w:t>
            </w:r>
          </w:p>
          <w:p w14:paraId="68BCECED" w14:textId="77777777" w:rsidR="00F927A2" w:rsidRPr="00593C1E" w:rsidRDefault="00F927A2" w:rsidP="00F927A2">
            <w:pPr>
              <w:jc w:val="left"/>
            </w:pPr>
            <w:r w:rsidRPr="00593C1E">
              <w:t>Accès à l’eau</w:t>
            </w:r>
          </w:p>
          <w:p w14:paraId="32DA3FB4" w14:textId="77777777" w:rsidR="00F927A2" w:rsidRPr="00593C1E" w:rsidRDefault="00F927A2" w:rsidP="00F927A2">
            <w:pPr>
              <w:jc w:val="left"/>
            </w:pPr>
            <w:r w:rsidRPr="00593C1E">
              <w:t>Taux de branchements</w:t>
            </w:r>
          </w:p>
          <w:p w14:paraId="79CA9CAD" w14:textId="77777777" w:rsidR="00F927A2" w:rsidRDefault="00F927A2" w:rsidP="00F927A2">
            <w:pPr>
              <w:jc w:val="left"/>
            </w:pPr>
            <w:r>
              <w:t>Distance à la source</w:t>
            </w:r>
          </w:p>
        </w:tc>
        <w:tc>
          <w:tcPr>
            <w:tcW w:w="1250" w:type="pct"/>
            <w:vAlign w:val="center"/>
          </w:tcPr>
          <w:p w14:paraId="6CE99334" w14:textId="77777777" w:rsidR="00F927A2" w:rsidRDefault="00F927A2" w:rsidP="00F927A2">
            <w:pPr>
              <w:jc w:val="left"/>
            </w:pPr>
            <w:r>
              <w:t xml:space="preserve">Entreprise de distribution </w:t>
            </w:r>
          </w:p>
        </w:tc>
      </w:tr>
      <w:tr w:rsidR="00F927A2" w:rsidRPr="00615D4B" w14:paraId="28726673" w14:textId="77777777" w:rsidTr="00F927A2">
        <w:tc>
          <w:tcPr>
            <w:tcW w:w="1250" w:type="pct"/>
            <w:shd w:val="clear" w:color="auto" w:fill="FFFFCC"/>
            <w:vAlign w:val="center"/>
          </w:tcPr>
          <w:p w14:paraId="277DED8E" w14:textId="77777777" w:rsidR="00F927A2" w:rsidRPr="00593C1E" w:rsidRDefault="00F927A2" w:rsidP="00F927A2">
            <w:pPr>
              <w:jc w:val="left"/>
              <w:rPr>
                <w:b/>
                <w:color w:val="F79646" w:themeColor="accent6"/>
              </w:rPr>
            </w:pPr>
            <w:r w:rsidRPr="00593C1E">
              <w:rPr>
                <w:b/>
                <w:color w:val="F79646" w:themeColor="accent6"/>
              </w:rPr>
              <w:t>Assainissement liquide</w:t>
            </w:r>
          </w:p>
        </w:tc>
        <w:tc>
          <w:tcPr>
            <w:tcW w:w="1250" w:type="pct"/>
            <w:vAlign w:val="center"/>
          </w:tcPr>
          <w:p w14:paraId="250F3ACD" w14:textId="77777777" w:rsidR="00F927A2" w:rsidRDefault="00F927A2" w:rsidP="00F927A2">
            <w:pPr>
              <w:jc w:val="left"/>
            </w:pPr>
            <w:r>
              <w:t>Réseaux</w:t>
            </w:r>
          </w:p>
        </w:tc>
        <w:tc>
          <w:tcPr>
            <w:tcW w:w="1250" w:type="pct"/>
            <w:vAlign w:val="center"/>
          </w:tcPr>
          <w:p w14:paraId="544F989F" w14:textId="77777777" w:rsidR="00F927A2" w:rsidRPr="00593C1E" w:rsidRDefault="00F927A2" w:rsidP="00F927A2">
            <w:pPr>
              <w:jc w:val="left"/>
            </w:pPr>
            <w:r w:rsidRPr="00593C1E">
              <w:t xml:space="preserve">Taux de branchement </w:t>
            </w:r>
          </w:p>
          <w:p w14:paraId="0C9EF6EA" w14:textId="77777777" w:rsidR="00F927A2" w:rsidRPr="00593C1E" w:rsidRDefault="00F927A2" w:rsidP="00F927A2">
            <w:pPr>
              <w:jc w:val="left"/>
            </w:pPr>
            <w:r w:rsidRPr="00593C1E">
              <w:t xml:space="preserve">Taux de traitement </w:t>
            </w:r>
          </w:p>
          <w:p w14:paraId="497318BE" w14:textId="77777777" w:rsidR="00F927A2" w:rsidRDefault="00F927A2" w:rsidP="00F927A2">
            <w:pPr>
              <w:jc w:val="left"/>
            </w:pPr>
            <w:r>
              <w:t>Zones de rejet</w:t>
            </w:r>
          </w:p>
        </w:tc>
        <w:tc>
          <w:tcPr>
            <w:tcW w:w="1250" w:type="pct"/>
            <w:vAlign w:val="center"/>
          </w:tcPr>
          <w:p w14:paraId="5F891188" w14:textId="77777777" w:rsidR="00F927A2" w:rsidRPr="00593C1E" w:rsidRDefault="00F927A2" w:rsidP="00F927A2">
            <w:pPr>
              <w:jc w:val="left"/>
            </w:pPr>
            <w:r w:rsidRPr="00593C1E">
              <w:t>Municipalités (ou organisme en charge de l’assainissement)</w:t>
            </w:r>
          </w:p>
        </w:tc>
      </w:tr>
      <w:tr w:rsidR="00F927A2" w:rsidRPr="00615D4B" w14:paraId="7C24F0E5" w14:textId="77777777" w:rsidTr="00F927A2">
        <w:tc>
          <w:tcPr>
            <w:tcW w:w="1250" w:type="pct"/>
            <w:shd w:val="clear" w:color="auto" w:fill="FFFFCC"/>
            <w:vAlign w:val="center"/>
          </w:tcPr>
          <w:p w14:paraId="47D10DAA" w14:textId="77777777" w:rsidR="00F927A2" w:rsidRPr="00593C1E" w:rsidRDefault="00F927A2" w:rsidP="00F927A2">
            <w:pPr>
              <w:jc w:val="left"/>
              <w:rPr>
                <w:b/>
                <w:color w:val="F79646" w:themeColor="accent6"/>
              </w:rPr>
            </w:pPr>
            <w:r w:rsidRPr="00593C1E">
              <w:rPr>
                <w:b/>
                <w:color w:val="F79646" w:themeColor="accent6"/>
              </w:rPr>
              <w:t xml:space="preserve">Déchets </w:t>
            </w:r>
          </w:p>
        </w:tc>
        <w:tc>
          <w:tcPr>
            <w:tcW w:w="1250" w:type="pct"/>
            <w:vAlign w:val="center"/>
          </w:tcPr>
          <w:p w14:paraId="3A05FBF7" w14:textId="77777777" w:rsidR="00F927A2" w:rsidRDefault="00F927A2" w:rsidP="00F927A2">
            <w:pPr>
              <w:jc w:val="left"/>
            </w:pPr>
            <w:r>
              <w:t xml:space="preserve">Collecte </w:t>
            </w:r>
          </w:p>
          <w:p w14:paraId="129FF7F8" w14:textId="77777777" w:rsidR="00F927A2" w:rsidRDefault="00F927A2" w:rsidP="00F927A2">
            <w:pPr>
              <w:jc w:val="left"/>
            </w:pPr>
            <w:r>
              <w:t>Décharges</w:t>
            </w:r>
          </w:p>
        </w:tc>
        <w:tc>
          <w:tcPr>
            <w:tcW w:w="1250" w:type="pct"/>
            <w:vAlign w:val="center"/>
          </w:tcPr>
          <w:p w14:paraId="1DF89247" w14:textId="77777777" w:rsidR="00F927A2" w:rsidRPr="00593C1E" w:rsidRDefault="00F927A2" w:rsidP="00F927A2">
            <w:pPr>
              <w:jc w:val="left"/>
            </w:pPr>
            <w:r w:rsidRPr="00593C1E">
              <w:t>Type de collecte</w:t>
            </w:r>
          </w:p>
          <w:p w14:paraId="64107593" w14:textId="77777777" w:rsidR="00F927A2" w:rsidRPr="00593C1E" w:rsidRDefault="00F927A2" w:rsidP="00F927A2">
            <w:pPr>
              <w:jc w:val="left"/>
            </w:pPr>
            <w:r w:rsidRPr="00593C1E">
              <w:t>Type d’élimination</w:t>
            </w:r>
          </w:p>
          <w:p w14:paraId="667B62B0" w14:textId="77777777" w:rsidR="00F927A2" w:rsidRPr="00593C1E" w:rsidRDefault="00F927A2" w:rsidP="00F927A2">
            <w:pPr>
              <w:jc w:val="left"/>
            </w:pPr>
            <w:r w:rsidRPr="00593C1E">
              <w:t>Taux d’accès au service d’enlèvement</w:t>
            </w:r>
          </w:p>
        </w:tc>
        <w:tc>
          <w:tcPr>
            <w:tcW w:w="1250" w:type="pct"/>
            <w:vAlign w:val="center"/>
          </w:tcPr>
          <w:p w14:paraId="2685F56C" w14:textId="77777777" w:rsidR="00F927A2" w:rsidRPr="00593C1E" w:rsidRDefault="00F927A2" w:rsidP="00F927A2">
            <w:pPr>
              <w:jc w:val="left"/>
            </w:pPr>
            <w:r w:rsidRPr="00593C1E">
              <w:t>Municipalités (ou organisme en charge de la gestion des déchets)</w:t>
            </w:r>
          </w:p>
        </w:tc>
      </w:tr>
      <w:tr w:rsidR="00F927A2" w14:paraId="07E38211" w14:textId="77777777" w:rsidTr="00F927A2">
        <w:tc>
          <w:tcPr>
            <w:tcW w:w="1250" w:type="pct"/>
            <w:shd w:val="clear" w:color="auto" w:fill="FFFFCC"/>
            <w:vAlign w:val="center"/>
          </w:tcPr>
          <w:p w14:paraId="303A7807" w14:textId="77777777" w:rsidR="00F927A2" w:rsidRPr="00593C1E" w:rsidRDefault="00F927A2" w:rsidP="00F927A2">
            <w:pPr>
              <w:jc w:val="left"/>
              <w:rPr>
                <w:b/>
                <w:color w:val="F79646" w:themeColor="accent6"/>
              </w:rPr>
            </w:pPr>
            <w:r w:rsidRPr="00593C1E">
              <w:rPr>
                <w:b/>
                <w:color w:val="F79646" w:themeColor="accent6"/>
              </w:rPr>
              <w:t xml:space="preserve">Electricité </w:t>
            </w:r>
          </w:p>
        </w:tc>
        <w:tc>
          <w:tcPr>
            <w:tcW w:w="1250" w:type="pct"/>
            <w:vAlign w:val="center"/>
          </w:tcPr>
          <w:p w14:paraId="4E1B81AE" w14:textId="77777777" w:rsidR="00F927A2" w:rsidRDefault="00F927A2" w:rsidP="00F927A2">
            <w:pPr>
              <w:jc w:val="left"/>
            </w:pPr>
            <w:r>
              <w:t>Production</w:t>
            </w:r>
          </w:p>
          <w:p w14:paraId="104AC196" w14:textId="77777777" w:rsidR="00F927A2" w:rsidRDefault="00F927A2" w:rsidP="00F927A2">
            <w:pPr>
              <w:jc w:val="left"/>
            </w:pPr>
            <w:r>
              <w:t>prix</w:t>
            </w:r>
          </w:p>
        </w:tc>
        <w:tc>
          <w:tcPr>
            <w:tcW w:w="1250" w:type="pct"/>
            <w:vAlign w:val="center"/>
          </w:tcPr>
          <w:p w14:paraId="1EF15503" w14:textId="77777777" w:rsidR="00F927A2" w:rsidRPr="00593C1E" w:rsidRDefault="00F927A2" w:rsidP="00F927A2">
            <w:pPr>
              <w:jc w:val="left"/>
            </w:pPr>
            <w:r w:rsidRPr="00593C1E">
              <w:t>Taux de branchement</w:t>
            </w:r>
          </w:p>
          <w:p w14:paraId="2B570C70" w14:textId="77777777" w:rsidR="00F927A2" w:rsidRPr="00593C1E" w:rsidRDefault="00F927A2" w:rsidP="00F927A2">
            <w:pPr>
              <w:jc w:val="left"/>
            </w:pPr>
            <w:r w:rsidRPr="00593C1E">
              <w:t xml:space="preserve">Prix moyen </w:t>
            </w:r>
          </w:p>
          <w:p w14:paraId="4584EEF1" w14:textId="77777777" w:rsidR="00F927A2" w:rsidRPr="00593C1E" w:rsidRDefault="00F927A2" w:rsidP="00F927A2">
            <w:pPr>
              <w:jc w:val="left"/>
            </w:pPr>
            <w:r w:rsidRPr="00593C1E">
              <w:t>Consommation moyenne</w:t>
            </w:r>
          </w:p>
          <w:p w14:paraId="17CF6D9E" w14:textId="77777777" w:rsidR="00F927A2" w:rsidRDefault="00F927A2" w:rsidP="00F927A2">
            <w:pPr>
              <w:jc w:val="left"/>
            </w:pPr>
            <w:r>
              <w:t xml:space="preserve">Accès </w:t>
            </w:r>
          </w:p>
        </w:tc>
        <w:tc>
          <w:tcPr>
            <w:tcW w:w="1250" w:type="pct"/>
            <w:vAlign w:val="center"/>
          </w:tcPr>
          <w:p w14:paraId="0BAD069E" w14:textId="77777777" w:rsidR="00F927A2" w:rsidRDefault="00F927A2" w:rsidP="00F927A2">
            <w:pPr>
              <w:jc w:val="left"/>
            </w:pPr>
            <w:r>
              <w:t>Entreprise de distribution</w:t>
            </w:r>
          </w:p>
        </w:tc>
      </w:tr>
      <w:tr w:rsidR="00F927A2" w14:paraId="4C25A539" w14:textId="77777777" w:rsidTr="00F927A2">
        <w:tc>
          <w:tcPr>
            <w:tcW w:w="1250" w:type="pct"/>
            <w:shd w:val="clear" w:color="auto" w:fill="FFFFCC"/>
            <w:vAlign w:val="center"/>
          </w:tcPr>
          <w:p w14:paraId="3E016F29" w14:textId="77777777" w:rsidR="00F927A2" w:rsidRPr="00593C1E" w:rsidRDefault="00F927A2" w:rsidP="00F927A2">
            <w:pPr>
              <w:jc w:val="left"/>
              <w:rPr>
                <w:b/>
                <w:color w:val="F79646" w:themeColor="accent6"/>
              </w:rPr>
            </w:pPr>
            <w:r w:rsidRPr="00593C1E">
              <w:rPr>
                <w:b/>
                <w:color w:val="F79646" w:themeColor="accent6"/>
              </w:rPr>
              <w:t>Santé</w:t>
            </w:r>
          </w:p>
        </w:tc>
        <w:tc>
          <w:tcPr>
            <w:tcW w:w="1250" w:type="pct"/>
            <w:vAlign w:val="center"/>
          </w:tcPr>
          <w:p w14:paraId="58125F72" w14:textId="77777777" w:rsidR="00F927A2" w:rsidRPr="00593C1E" w:rsidRDefault="00F927A2" w:rsidP="00F927A2">
            <w:pPr>
              <w:jc w:val="left"/>
            </w:pPr>
            <w:r w:rsidRPr="00593C1E">
              <w:t xml:space="preserve">Infrastructures </w:t>
            </w:r>
          </w:p>
          <w:p w14:paraId="53E4734D" w14:textId="77777777" w:rsidR="00F927A2" w:rsidRPr="00593C1E" w:rsidRDefault="00F927A2" w:rsidP="00F927A2">
            <w:pPr>
              <w:jc w:val="left"/>
            </w:pPr>
            <w:r w:rsidRPr="00593C1E">
              <w:t>Personnel</w:t>
            </w:r>
          </w:p>
          <w:p w14:paraId="7E283779" w14:textId="77777777" w:rsidR="00F927A2" w:rsidRPr="00593C1E" w:rsidRDefault="00F927A2" w:rsidP="00F927A2">
            <w:pPr>
              <w:jc w:val="left"/>
            </w:pPr>
            <w:r w:rsidRPr="00593C1E">
              <w:t>Espérance de vie</w:t>
            </w:r>
          </w:p>
        </w:tc>
        <w:tc>
          <w:tcPr>
            <w:tcW w:w="1250" w:type="pct"/>
            <w:vAlign w:val="center"/>
          </w:tcPr>
          <w:p w14:paraId="67E50960" w14:textId="77777777" w:rsidR="00F927A2" w:rsidRPr="00593C1E" w:rsidRDefault="00F927A2" w:rsidP="00F927A2">
            <w:pPr>
              <w:jc w:val="left"/>
            </w:pPr>
            <w:r w:rsidRPr="00593C1E">
              <w:t>Mortalité infantile</w:t>
            </w:r>
          </w:p>
          <w:p w14:paraId="58A5A1C8" w14:textId="77777777" w:rsidR="00F927A2" w:rsidRPr="00593C1E" w:rsidRDefault="00F927A2" w:rsidP="00F927A2">
            <w:pPr>
              <w:jc w:val="left"/>
            </w:pPr>
            <w:r w:rsidRPr="00593C1E">
              <w:t>Population par personnel soignant</w:t>
            </w:r>
          </w:p>
          <w:p w14:paraId="653C63CD" w14:textId="77777777" w:rsidR="00F927A2" w:rsidRPr="00593C1E" w:rsidRDefault="00F927A2" w:rsidP="00F927A2">
            <w:pPr>
              <w:jc w:val="left"/>
            </w:pPr>
            <w:r w:rsidRPr="00593C1E">
              <w:t>Population par lit</w:t>
            </w:r>
          </w:p>
          <w:p w14:paraId="58CD89C3" w14:textId="77777777" w:rsidR="00F927A2" w:rsidRPr="00593C1E" w:rsidRDefault="00F927A2" w:rsidP="00F927A2">
            <w:pPr>
              <w:jc w:val="left"/>
            </w:pPr>
            <w:r w:rsidRPr="00593C1E">
              <w:t>Distance aux infrastructures</w:t>
            </w:r>
          </w:p>
          <w:p w14:paraId="602AD2F5" w14:textId="77777777" w:rsidR="00F927A2" w:rsidRPr="00593C1E" w:rsidRDefault="00F927A2" w:rsidP="00F927A2">
            <w:pPr>
              <w:jc w:val="left"/>
            </w:pPr>
            <w:r w:rsidRPr="00593C1E">
              <w:t>Répartition du personnel soignant</w:t>
            </w:r>
          </w:p>
          <w:p w14:paraId="65EBE807" w14:textId="77777777" w:rsidR="00F927A2" w:rsidRPr="00593C1E" w:rsidRDefault="00F927A2" w:rsidP="00F927A2">
            <w:pPr>
              <w:jc w:val="left"/>
            </w:pPr>
            <w:r w:rsidRPr="00593C1E">
              <w:t>Accès aux services de SMI/SR</w:t>
            </w:r>
          </w:p>
        </w:tc>
        <w:tc>
          <w:tcPr>
            <w:tcW w:w="1250" w:type="pct"/>
            <w:vAlign w:val="center"/>
          </w:tcPr>
          <w:p w14:paraId="26314B62" w14:textId="77777777" w:rsidR="00F927A2" w:rsidRDefault="00F927A2" w:rsidP="00F927A2">
            <w:pPr>
              <w:jc w:val="left"/>
            </w:pPr>
            <w:r>
              <w:t>Ministère de la Santé</w:t>
            </w:r>
          </w:p>
        </w:tc>
      </w:tr>
      <w:tr w:rsidR="00F927A2" w14:paraId="7879BD29" w14:textId="77777777" w:rsidTr="00F927A2">
        <w:tc>
          <w:tcPr>
            <w:tcW w:w="1250" w:type="pct"/>
            <w:shd w:val="clear" w:color="auto" w:fill="FFFFCC"/>
            <w:vAlign w:val="center"/>
          </w:tcPr>
          <w:p w14:paraId="5B406581" w14:textId="77777777" w:rsidR="00F927A2" w:rsidRPr="00593C1E" w:rsidRDefault="00F927A2" w:rsidP="00F927A2">
            <w:pPr>
              <w:jc w:val="left"/>
              <w:rPr>
                <w:b/>
                <w:color w:val="F79646" w:themeColor="accent6"/>
              </w:rPr>
            </w:pPr>
            <w:r w:rsidRPr="00593C1E">
              <w:rPr>
                <w:b/>
                <w:color w:val="F79646" w:themeColor="accent6"/>
              </w:rPr>
              <w:t xml:space="preserve">Education </w:t>
            </w:r>
          </w:p>
        </w:tc>
        <w:tc>
          <w:tcPr>
            <w:tcW w:w="1250" w:type="pct"/>
            <w:vAlign w:val="center"/>
          </w:tcPr>
          <w:p w14:paraId="5082F1FC" w14:textId="77777777" w:rsidR="00F927A2" w:rsidRPr="00593C1E" w:rsidRDefault="00F927A2" w:rsidP="00F927A2">
            <w:pPr>
              <w:jc w:val="left"/>
            </w:pPr>
            <w:r w:rsidRPr="00593C1E">
              <w:t>Ecoles (par type d’établissements : écoles, lycées, centres de formation)</w:t>
            </w:r>
          </w:p>
          <w:p w14:paraId="4A8A2E82" w14:textId="77777777" w:rsidR="00F927A2" w:rsidRDefault="00F927A2" w:rsidP="00F927A2">
            <w:pPr>
              <w:jc w:val="left"/>
            </w:pPr>
            <w:r>
              <w:t xml:space="preserve">Classes </w:t>
            </w:r>
          </w:p>
          <w:p w14:paraId="32270286" w14:textId="77777777" w:rsidR="00F927A2" w:rsidRDefault="00F927A2" w:rsidP="00F927A2">
            <w:pPr>
              <w:jc w:val="left"/>
            </w:pPr>
            <w:r>
              <w:t>Elèves</w:t>
            </w:r>
          </w:p>
        </w:tc>
        <w:tc>
          <w:tcPr>
            <w:tcW w:w="1250" w:type="pct"/>
            <w:vAlign w:val="center"/>
          </w:tcPr>
          <w:p w14:paraId="1D98AB98" w14:textId="77777777" w:rsidR="00F927A2" w:rsidRPr="00593C1E" w:rsidRDefault="00F927A2" w:rsidP="00F927A2">
            <w:pPr>
              <w:jc w:val="left"/>
            </w:pPr>
            <w:r w:rsidRPr="00593C1E">
              <w:t>Taux d’alphabétisation</w:t>
            </w:r>
          </w:p>
          <w:p w14:paraId="04FBA2B1" w14:textId="77777777" w:rsidR="00F927A2" w:rsidRPr="00593C1E" w:rsidRDefault="00F927A2" w:rsidP="00F927A2">
            <w:pPr>
              <w:jc w:val="left"/>
            </w:pPr>
            <w:r w:rsidRPr="00593C1E">
              <w:t>Taux de scolarisation</w:t>
            </w:r>
          </w:p>
          <w:p w14:paraId="449D03D1" w14:textId="77777777" w:rsidR="00F927A2" w:rsidRPr="00593C1E" w:rsidRDefault="00F927A2" w:rsidP="00F927A2">
            <w:pPr>
              <w:jc w:val="left"/>
            </w:pPr>
            <w:r w:rsidRPr="00593C1E">
              <w:t>Taux de scolarisation des filles</w:t>
            </w:r>
          </w:p>
          <w:p w14:paraId="56A84683" w14:textId="77777777" w:rsidR="00F927A2" w:rsidRPr="00593C1E" w:rsidRDefault="00F927A2" w:rsidP="00F927A2">
            <w:pPr>
              <w:jc w:val="left"/>
            </w:pPr>
            <w:r w:rsidRPr="00593C1E">
              <w:t>Population scolarisable</w:t>
            </w:r>
          </w:p>
          <w:p w14:paraId="10A5E469" w14:textId="77777777" w:rsidR="00F927A2" w:rsidRPr="00593C1E" w:rsidRDefault="00F927A2" w:rsidP="00F927A2">
            <w:pPr>
              <w:jc w:val="left"/>
            </w:pPr>
            <w:r w:rsidRPr="00593C1E">
              <w:t>Distance aux écoles</w:t>
            </w:r>
          </w:p>
          <w:p w14:paraId="47385B4C" w14:textId="77777777" w:rsidR="00F927A2" w:rsidRPr="00593C1E" w:rsidRDefault="00F927A2" w:rsidP="00F927A2">
            <w:pPr>
              <w:jc w:val="left"/>
            </w:pPr>
            <w:r w:rsidRPr="00593C1E">
              <w:t>Elèves par classe</w:t>
            </w:r>
          </w:p>
        </w:tc>
        <w:tc>
          <w:tcPr>
            <w:tcW w:w="1250" w:type="pct"/>
            <w:vAlign w:val="center"/>
          </w:tcPr>
          <w:p w14:paraId="58135391" w14:textId="77777777" w:rsidR="00F927A2" w:rsidRDefault="00F927A2" w:rsidP="00F927A2">
            <w:pPr>
              <w:jc w:val="left"/>
            </w:pPr>
            <w:r>
              <w:t xml:space="preserve">Ministère de l’éducation </w:t>
            </w:r>
          </w:p>
        </w:tc>
      </w:tr>
      <w:tr w:rsidR="00F927A2" w:rsidRPr="00615D4B" w14:paraId="761714E5" w14:textId="77777777" w:rsidTr="00F927A2">
        <w:tc>
          <w:tcPr>
            <w:tcW w:w="1250" w:type="pct"/>
            <w:shd w:val="clear" w:color="auto" w:fill="FFFFCC"/>
            <w:vAlign w:val="center"/>
          </w:tcPr>
          <w:p w14:paraId="715AC5C7" w14:textId="77777777" w:rsidR="00F927A2" w:rsidRPr="00593C1E" w:rsidRDefault="00F927A2" w:rsidP="00F927A2">
            <w:pPr>
              <w:jc w:val="left"/>
              <w:rPr>
                <w:b/>
                <w:color w:val="F79646" w:themeColor="accent6"/>
              </w:rPr>
            </w:pPr>
            <w:r w:rsidRPr="00593C1E">
              <w:rPr>
                <w:b/>
                <w:color w:val="F79646" w:themeColor="accent6"/>
              </w:rPr>
              <w:t xml:space="preserve">Voirie transport </w:t>
            </w:r>
          </w:p>
        </w:tc>
        <w:tc>
          <w:tcPr>
            <w:tcW w:w="1250" w:type="pct"/>
            <w:vAlign w:val="center"/>
          </w:tcPr>
          <w:p w14:paraId="4262551C" w14:textId="77777777" w:rsidR="00F927A2" w:rsidRPr="00593C1E" w:rsidRDefault="00F927A2" w:rsidP="00F927A2">
            <w:pPr>
              <w:jc w:val="left"/>
            </w:pPr>
            <w:r w:rsidRPr="00593C1E">
              <w:t>Routes</w:t>
            </w:r>
          </w:p>
          <w:p w14:paraId="5167E9B7" w14:textId="77777777" w:rsidR="00F927A2" w:rsidRPr="00593C1E" w:rsidRDefault="00F927A2" w:rsidP="00F927A2">
            <w:pPr>
              <w:jc w:val="left"/>
            </w:pPr>
            <w:r w:rsidRPr="00593C1E">
              <w:t>Systèmes de transports</w:t>
            </w:r>
          </w:p>
          <w:p w14:paraId="1A7DE374" w14:textId="77777777" w:rsidR="00F927A2" w:rsidRPr="00593C1E" w:rsidRDefault="00F927A2" w:rsidP="00F927A2">
            <w:pPr>
              <w:jc w:val="left"/>
            </w:pPr>
            <w:r w:rsidRPr="00593C1E">
              <w:t>Gares routières</w:t>
            </w:r>
          </w:p>
        </w:tc>
        <w:tc>
          <w:tcPr>
            <w:tcW w:w="1250" w:type="pct"/>
            <w:vAlign w:val="center"/>
          </w:tcPr>
          <w:p w14:paraId="6A8BA80A" w14:textId="77777777" w:rsidR="00F927A2" w:rsidRPr="00593C1E" w:rsidRDefault="00F927A2" w:rsidP="00F927A2">
            <w:pPr>
              <w:jc w:val="left"/>
            </w:pPr>
            <w:r w:rsidRPr="00593C1E">
              <w:t>Temps d’accès aux centres villes (bus)</w:t>
            </w:r>
          </w:p>
          <w:p w14:paraId="0ABA6BBE" w14:textId="77777777" w:rsidR="00F927A2" w:rsidRPr="00593C1E" w:rsidRDefault="00F927A2" w:rsidP="00F927A2">
            <w:pPr>
              <w:jc w:val="left"/>
            </w:pPr>
            <w:r w:rsidRPr="00593C1E">
              <w:t>Niveau de dégradation des routes</w:t>
            </w:r>
          </w:p>
        </w:tc>
        <w:tc>
          <w:tcPr>
            <w:tcW w:w="1250" w:type="pct"/>
            <w:vAlign w:val="center"/>
          </w:tcPr>
          <w:p w14:paraId="2CC3FEEA" w14:textId="77777777" w:rsidR="00F927A2" w:rsidRPr="00593C1E" w:rsidRDefault="00F927A2" w:rsidP="00F927A2">
            <w:pPr>
              <w:jc w:val="left"/>
            </w:pPr>
            <w:r w:rsidRPr="00593C1E">
              <w:t xml:space="preserve">Municipalités (ou pouvoir public en charge de la gestion des transports) </w:t>
            </w:r>
          </w:p>
        </w:tc>
      </w:tr>
      <w:tr w:rsidR="00F927A2" w14:paraId="0CF55A2B" w14:textId="77777777" w:rsidTr="00F927A2">
        <w:tc>
          <w:tcPr>
            <w:tcW w:w="1250" w:type="pct"/>
            <w:shd w:val="clear" w:color="auto" w:fill="FFFFCC"/>
            <w:vAlign w:val="center"/>
          </w:tcPr>
          <w:p w14:paraId="6E8996BD" w14:textId="77777777" w:rsidR="00F927A2" w:rsidRPr="00593C1E" w:rsidRDefault="00F927A2" w:rsidP="00F927A2">
            <w:pPr>
              <w:jc w:val="left"/>
              <w:rPr>
                <w:b/>
                <w:color w:val="F79646" w:themeColor="accent6"/>
              </w:rPr>
            </w:pPr>
            <w:r w:rsidRPr="00593C1E">
              <w:rPr>
                <w:b/>
                <w:color w:val="F79646" w:themeColor="accent6"/>
              </w:rPr>
              <w:t>Loisirs/sports/culture</w:t>
            </w:r>
          </w:p>
        </w:tc>
        <w:tc>
          <w:tcPr>
            <w:tcW w:w="1250" w:type="pct"/>
            <w:vAlign w:val="center"/>
          </w:tcPr>
          <w:p w14:paraId="2F68D31D" w14:textId="77777777" w:rsidR="00F927A2" w:rsidRPr="00593C1E" w:rsidRDefault="00F927A2" w:rsidP="00F927A2">
            <w:pPr>
              <w:jc w:val="left"/>
            </w:pPr>
            <w:r w:rsidRPr="00593C1E">
              <w:t>Terrains de sports</w:t>
            </w:r>
          </w:p>
          <w:p w14:paraId="6377BC26" w14:textId="4551C73A" w:rsidR="00F927A2" w:rsidRPr="00593C1E" w:rsidRDefault="00F927A2" w:rsidP="00F927A2">
            <w:pPr>
              <w:jc w:val="left"/>
            </w:pPr>
            <w:r w:rsidRPr="00593C1E">
              <w:t>Associations sportives/</w:t>
            </w:r>
            <w:r w:rsidR="006654FA" w:rsidRPr="00593C1E">
              <w:t>culturelles</w:t>
            </w:r>
          </w:p>
          <w:p w14:paraId="0379FBFD" w14:textId="77777777" w:rsidR="00F927A2" w:rsidRDefault="00F927A2" w:rsidP="00F927A2">
            <w:pPr>
              <w:jc w:val="left"/>
            </w:pPr>
            <w:r>
              <w:t>Centres culturels</w:t>
            </w:r>
          </w:p>
          <w:p w14:paraId="79C4C7E3" w14:textId="77777777" w:rsidR="00F927A2" w:rsidRDefault="00F927A2" w:rsidP="00F927A2">
            <w:pPr>
              <w:jc w:val="left"/>
            </w:pPr>
            <w:r>
              <w:t>Espaces publics</w:t>
            </w:r>
          </w:p>
        </w:tc>
        <w:tc>
          <w:tcPr>
            <w:tcW w:w="1250" w:type="pct"/>
            <w:vAlign w:val="center"/>
          </w:tcPr>
          <w:p w14:paraId="0D354B66" w14:textId="77777777" w:rsidR="00F927A2" w:rsidRPr="00593C1E" w:rsidRDefault="00F927A2" w:rsidP="00F927A2">
            <w:pPr>
              <w:jc w:val="left"/>
            </w:pPr>
            <w:r w:rsidRPr="00593C1E">
              <w:t>Associations par terrain de sport</w:t>
            </w:r>
          </w:p>
          <w:p w14:paraId="509A4C50" w14:textId="77777777" w:rsidR="00F927A2" w:rsidRPr="00593C1E" w:rsidRDefault="00F927A2" w:rsidP="00F927A2">
            <w:pPr>
              <w:jc w:val="left"/>
            </w:pPr>
            <w:r w:rsidRPr="00593C1E">
              <w:t>Population par centre culturel/par association culturelle/par association sportive</w:t>
            </w:r>
          </w:p>
        </w:tc>
        <w:tc>
          <w:tcPr>
            <w:tcW w:w="1250" w:type="pct"/>
            <w:vAlign w:val="center"/>
          </w:tcPr>
          <w:p w14:paraId="4A6E851C" w14:textId="77777777" w:rsidR="00F927A2" w:rsidRDefault="00F927A2" w:rsidP="00F927A2">
            <w:pPr>
              <w:jc w:val="left"/>
            </w:pPr>
            <w:r>
              <w:t>Enquêtes ou PDC</w:t>
            </w:r>
          </w:p>
        </w:tc>
      </w:tr>
      <w:tr w:rsidR="00F927A2" w14:paraId="3015AEFF" w14:textId="77777777" w:rsidTr="00F927A2">
        <w:tc>
          <w:tcPr>
            <w:tcW w:w="1250" w:type="pct"/>
            <w:shd w:val="clear" w:color="auto" w:fill="FFFFCC"/>
            <w:vAlign w:val="center"/>
          </w:tcPr>
          <w:p w14:paraId="3B90D2AD" w14:textId="77777777" w:rsidR="00F927A2" w:rsidRPr="00593C1E" w:rsidRDefault="00F927A2" w:rsidP="00F927A2">
            <w:pPr>
              <w:jc w:val="left"/>
              <w:rPr>
                <w:b/>
                <w:color w:val="F79646" w:themeColor="accent6"/>
              </w:rPr>
            </w:pPr>
            <w:r w:rsidRPr="00593C1E">
              <w:rPr>
                <w:b/>
                <w:color w:val="F79646" w:themeColor="accent6"/>
              </w:rPr>
              <w:t xml:space="preserve">Télécoms </w:t>
            </w:r>
          </w:p>
        </w:tc>
        <w:tc>
          <w:tcPr>
            <w:tcW w:w="1250" w:type="pct"/>
            <w:vAlign w:val="center"/>
          </w:tcPr>
          <w:p w14:paraId="3DEF1362" w14:textId="77777777" w:rsidR="00F927A2" w:rsidRDefault="00F927A2" w:rsidP="00F927A2">
            <w:pPr>
              <w:jc w:val="left"/>
            </w:pPr>
            <w:r>
              <w:t>Raccordements</w:t>
            </w:r>
          </w:p>
          <w:p w14:paraId="17C77CF5" w14:textId="77777777" w:rsidR="00F927A2" w:rsidRDefault="00F927A2" w:rsidP="00F927A2">
            <w:pPr>
              <w:jc w:val="left"/>
            </w:pPr>
            <w:r>
              <w:t>Prix</w:t>
            </w:r>
          </w:p>
        </w:tc>
        <w:tc>
          <w:tcPr>
            <w:tcW w:w="1250" w:type="pct"/>
            <w:vAlign w:val="center"/>
          </w:tcPr>
          <w:p w14:paraId="5B117B20" w14:textId="77777777" w:rsidR="00F927A2" w:rsidRPr="00593C1E" w:rsidRDefault="00F927A2" w:rsidP="00F927A2">
            <w:pPr>
              <w:jc w:val="left"/>
            </w:pPr>
            <w:r w:rsidRPr="00593C1E">
              <w:t xml:space="preserve">Prix moyen </w:t>
            </w:r>
          </w:p>
          <w:p w14:paraId="48AD5656" w14:textId="77777777" w:rsidR="00F927A2" w:rsidRPr="00593C1E" w:rsidRDefault="00F927A2" w:rsidP="00F927A2">
            <w:pPr>
              <w:jc w:val="left"/>
            </w:pPr>
            <w:r w:rsidRPr="00593C1E">
              <w:t>Consommation moyenne</w:t>
            </w:r>
          </w:p>
          <w:p w14:paraId="3CD607AB" w14:textId="77777777" w:rsidR="00F927A2" w:rsidRPr="00593C1E" w:rsidRDefault="00F927A2" w:rsidP="00F927A2">
            <w:pPr>
              <w:jc w:val="left"/>
            </w:pPr>
            <w:r w:rsidRPr="00593C1E">
              <w:t>Accès</w:t>
            </w:r>
          </w:p>
        </w:tc>
        <w:tc>
          <w:tcPr>
            <w:tcW w:w="1250" w:type="pct"/>
            <w:vAlign w:val="center"/>
          </w:tcPr>
          <w:p w14:paraId="79F11092" w14:textId="77777777" w:rsidR="00F927A2" w:rsidRDefault="00F927A2" w:rsidP="00F927A2">
            <w:pPr>
              <w:jc w:val="left"/>
            </w:pPr>
            <w:r>
              <w:t>Entreprise de distribution</w:t>
            </w:r>
          </w:p>
        </w:tc>
      </w:tr>
      <w:tr w:rsidR="00F927A2" w14:paraId="39AB35D3" w14:textId="77777777" w:rsidTr="00F927A2">
        <w:tc>
          <w:tcPr>
            <w:tcW w:w="1250" w:type="pct"/>
            <w:shd w:val="clear" w:color="auto" w:fill="FFFFCC"/>
            <w:vAlign w:val="center"/>
          </w:tcPr>
          <w:p w14:paraId="4AE72D26" w14:textId="77777777" w:rsidR="00F927A2" w:rsidRPr="00593C1E" w:rsidRDefault="00F927A2" w:rsidP="00F927A2">
            <w:pPr>
              <w:jc w:val="left"/>
              <w:rPr>
                <w:b/>
                <w:color w:val="F79646" w:themeColor="accent6"/>
              </w:rPr>
            </w:pPr>
            <w:r w:rsidRPr="00593C1E">
              <w:rPr>
                <w:b/>
                <w:color w:val="F79646" w:themeColor="accent6"/>
              </w:rPr>
              <w:t>Logement</w:t>
            </w:r>
          </w:p>
        </w:tc>
        <w:tc>
          <w:tcPr>
            <w:tcW w:w="1250" w:type="pct"/>
            <w:vAlign w:val="center"/>
          </w:tcPr>
          <w:p w14:paraId="21BBF3B5" w14:textId="77777777" w:rsidR="00F927A2" w:rsidRDefault="00F927A2" w:rsidP="00F927A2">
            <w:pPr>
              <w:jc w:val="left"/>
            </w:pPr>
            <w:r>
              <w:t>Type de logement</w:t>
            </w:r>
          </w:p>
        </w:tc>
        <w:tc>
          <w:tcPr>
            <w:tcW w:w="1250" w:type="pct"/>
            <w:vAlign w:val="center"/>
          </w:tcPr>
          <w:p w14:paraId="4281259E" w14:textId="77777777" w:rsidR="00F927A2" w:rsidRPr="00593C1E" w:rsidRDefault="00F927A2" w:rsidP="00F927A2">
            <w:pPr>
              <w:jc w:val="left"/>
            </w:pPr>
            <w:r w:rsidRPr="00593C1E">
              <w:t>Accès à un logement décent</w:t>
            </w:r>
          </w:p>
          <w:p w14:paraId="6F8D0772" w14:textId="77777777" w:rsidR="00F927A2" w:rsidRPr="00593C1E" w:rsidRDefault="00F927A2" w:rsidP="00F927A2">
            <w:pPr>
              <w:jc w:val="left"/>
            </w:pPr>
            <w:r w:rsidRPr="00593C1E">
              <w:t>Housing price/income Ratio</w:t>
            </w:r>
          </w:p>
          <w:p w14:paraId="10639395" w14:textId="77777777" w:rsidR="00F927A2" w:rsidRDefault="00F927A2" w:rsidP="00F927A2">
            <w:pPr>
              <w:jc w:val="left"/>
            </w:pPr>
            <w:r>
              <w:t>Housing rent/income ratio</w:t>
            </w:r>
          </w:p>
        </w:tc>
        <w:tc>
          <w:tcPr>
            <w:tcW w:w="1250" w:type="pct"/>
            <w:vAlign w:val="center"/>
          </w:tcPr>
          <w:p w14:paraId="572175A6" w14:textId="77777777" w:rsidR="00F927A2" w:rsidRDefault="00F927A2" w:rsidP="00F927A2">
            <w:pPr>
              <w:jc w:val="left"/>
            </w:pPr>
            <w:r>
              <w:t>Enquêtes</w:t>
            </w:r>
          </w:p>
        </w:tc>
      </w:tr>
      <w:tr w:rsidR="00F927A2" w:rsidRPr="00615D4B" w14:paraId="27A52BA4" w14:textId="77777777" w:rsidTr="00F927A2">
        <w:tc>
          <w:tcPr>
            <w:tcW w:w="1250" w:type="pct"/>
            <w:shd w:val="clear" w:color="auto" w:fill="FFFFCC"/>
            <w:vAlign w:val="center"/>
          </w:tcPr>
          <w:p w14:paraId="783CB54B" w14:textId="77777777" w:rsidR="00F927A2" w:rsidRPr="00593C1E" w:rsidRDefault="00F927A2" w:rsidP="00F927A2">
            <w:pPr>
              <w:jc w:val="left"/>
              <w:rPr>
                <w:b/>
                <w:color w:val="F79646" w:themeColor="accent6"/>
              </w:rPr>
            </w:pPr>
            <w:r w:rsidRPr="00593C1E">
              <w:rPr>
                <w:b/>
                <w:color w:val="F79646" w:themeColor="accent6"/>
              </w:rPr>
              <w:t>Foncier/occupation des sols</w:t>
            </w:r>
          </w:p>
        </w:tc>
        <w:tc>
          <w:tcPr>
            <w:tcW w:w="1250" w:type="pct"/>
            <w:vAlign w:val="center"/>
          </w:tcPr>
          <w:p w14:paraId="4C03EFB0" w14:textId="77777777" w:rsidR="00F927A2" w:rsidRPr="00593C1E" w:rsidRDefault="00F927A2" w:rsidP="00F927A2">
            <w:pPr>
              <w:jc w:val="left"/>
            </w:pPr>
            <w:r w:rsidRPr="00593C1E">
              <w:t>Affectation du sol</w:t>
            </w:r>
          </w:p>
          <w:p w14:paraId="4E0F0D13" w14:textId="77777777" w:rsidR="00F927A2" w:rsidRPr="00593C1E" w:rsidRDefault="00F927A2" w:rsidP="00F927A2">
            <w:pPr>
              <w:jc w:val="left"/>
            </w:pPr>
            <w:r w:rsidRPr="00593C1E">
              <w:t>Occupation du sol</w:t>
            </w:r>
          </w:p>
          <w:p w14:paraId="32757F73" w14:textId="77777777" w:rsidR="00F927A2" w:rsidRDefault="00F927A2" w:rsidP="00F927A2">
            <w:pPr>
              <w:jc w:val="left"/>
            </w:pPr>
            <w:r>
              <w:t>Lotissements</w:t>
            </w:r>
          </w:p>
        </w:tc>
        <w:tc>
          <w:tcPr>
            <w:tcW w:w="1250" w:type="pct"/>
            <w:vAlign w:val="center"/>
          </w:tcPr>
          <w:p w14:paraId="60A727AE" w14:textId="77777777" w:rsidR="00F927A2" w:rsidRDefault="00F927A2" w:rsidP="00F927A2">
            <w:pPr>
              <w:jc w:val="left"/>
            </w:pPr>
          </w:p>
        </w:tc>
        <w:tc>
          <w:tcPr>
            <w:tcW w:w="1250" w:type="pct"/>
            <w:vAlign w:val="center"/>
          </w:tcPr>
          <w:p w14:paraId="07AA344D" w14:textId="77777777" w:rsidR="00F927A2" w:rsidRPr="00593C1E" w:rsidRDefault="00F927A2" w:rsidP="00F927A2">
            <w:pPr>
              <w:jc w:val="left"/>
            </w:pPr>
            <w:r w:rsidRPr="00593C1E">
              <w:t>Base de données foncières (municipalités ou pouvoir public en charge du foncier)</w:t>
            </w:r>
          </w:p>
        </w:tc>
      </w:tr>
      <w:tr w:rsidR="00F927A2" w:rsidRPr="00615D4B" w14:paraId="3B49EBBF" w14:textId="77777777" w:rsidTr="00F927A2">
        <w:tc>
          <w:tcPr>
            <w:tcW w:w="1250" w:type="pct"/>
            <w:shd w:val="clear" w:color="auto" w:fill="FFFFCC"/>
            <w:vAlign w:val="center"/>
          </w:tcPr>
          <w:p w14:paraId="0687F8DD" w14:textId="77777777" w:rsidR="00F927A2" w:rsidRPr="00593C1E" w:rsidRDefault="00F927A2" w:rsidP="00F927A2">
            <w:pPr>
              <w:jc w:val="left"/>
              <w:rPr>
                <w:b/>
                <w:color w:val="F79646" w:themeColor="accent6"/>
              </w:rPr>
            </w:pPr>
            <w:r w:rsidRPr="00593C1E">
              <w:rPr>
                <w:b/>
                <w:color w:val="F79646" w:themeColor="accent6"/>
              </w:rPr>
              <w:t xml:space="preserve">Adressage </w:t>
            </w:r>
          </w:p>
        </w:tc>
        <w:tc>
          <w:tcPr>
            <w:tcW w:w="1250" w:type="pct"/>
            <w:vAlign w:val="center"/>
          </w:tcPr>
          <w:p w14:paraId="2962F84C" w14:textId="77777777" w:rsidR="00F927A2" w:rsidRDefault="00F927A2" w:rsidP="00F927A2">
            <w:pPr>
              <w:jc w:val="left"/>
            </w:pPr>
            <w:r>
              <w:t>Rues adressées</w:t>
            </w:r>
          </w:p>
        </w:tc>
        <w:tc>
          <w:tcPr>
            <w:tcW w:w="1250" w:type="pct"/>
            <w:vAlign w:val="center"/>
          </w:tcPr>
          <w:p w14:paraId="54DC566C" w14:textId="77777777" w:rsidR="00F927A2" w:rsidRDefault="00F927A2" w:rsidP="00F927A2">
            <w:pPr>
              <w:jc w:val="left"/>
            </w:pPr>
          </w:p>
        </w:tc>
        <w:tc>
          <w:tcPr>
            <w:tcW w:w="1250" w:type="pct"/>
            <w:vAlign w:val="center"/>
          </w:tcPr>
          <w:p w14:paraId="23EC4CC5" w14:textId="77777777" w:rsidR="00F927A2" w:rsidRPr="00593C1E" w:rsidRDefault="00F927A2" w:rsidP="00F927A2">
            <w:pPr>
              <w:jc w:val="left"/>
            </w:pPr>
            <w:r w:rsidRPr="00593C1E">
              <w:t>Base de données foncières (municipalités ou pouvoir public en charge)</w:t>
            </w:r>
          </w:p>
        </w:tc>
      </w:tr>
      <w:tr w:rsidR="00F927A2" w14:paraId="04737637" w14:textId="77777777" w:rsidTr="00F927A2">
        <w:tc>
          <w:tcPr>
            <w:tcW w:w="1250" w:type="pct"/>
            <w:shd w:val="clear" w:color="auto" w:fill="FFFFCC"/>
            <w:vAlign w:val="center"/>
          </w:tcPr>
          <w:p w14:paraId="1DE5D17C" w14:textId="77777777" w:rsidR="00F927A2" w:rsidRPr="00593C1E" w:rsidRDefault="00F927A2" w:rsidP="00F927A2">
            <w:pPr>
              <w:jc w:val="left"/>
              <w:rPr>
                <w:b/>
                <w:color w:val="F79646" w:themeColor="accent6"/>
              </w:rPr>
            </w:pPr>
            <w:r w:rsidRPr="00593C1E">
              <w:rPr>
                <w:b/>
                <w:color w:val="F79646" w:themeColor="accent6"/>
              </w:rPr>
              <w:t>Environnement</w:t>
            </w:r>
          </w:p>
        </w:tc>
        <w:tc>
          <w:tcPr>
            <w:tcW w:w="1250" w:type="pct"/>
            <w:vAlign w:val="center"/>
          </w:tcPr>
          <w:p w14:paraId="14A24662" w14:textId="77777777" w:rsidR="00F927A2" w:rsidRPr="00593C1E" w:rsidRDefault="00F927A2" w:rsidP="00F927A2">
            <w:pPr>
              <w:jc w:val="left"/>
            </w:pPr>
            <w:r w:rsidRPr="00593C1E">
              <w:t>Zones vertes</w:t>
            </w:r>
          </w:p>
          <w:p w14:paraId="3072EA41" w14:textId="77777777" w:rsidR="00F927A2" w:rsidRPr="00593C1E" w:rsidRDefault="00F927A2" w:rsidP="00F927A2">
            <w:pPr>
              <w:jc w:val="left"/>
            </w:pPr>
            <w:r w:rsidRPr="00593C1E">
              <w:t>Sols et érosions</w:t>
            </w:r>
          </w:p>
          <w:p w14:paraId="4391927C" w14:textId="77777777" w:rsidR="00F927A2" w:rsidRPr="00593C1E" w:rsidRDefault="00F927A2" w:rsidP="00F927A2">
            <w:pPr>
              <w:jc w:val="left"/>
            </w:pPr>
            <w:r w:rsidRPr="00593C1E">
              <w:t>Zones inondables</w:t>
            </w:r>
          </w:p>
          <w:p w14:paraId="42AD74D7" w14:textId="77777777" w:rsidR="00F927A2" w:rsidRDefault="00F927A2" w:rsidP="00F927A2">
            <w:pPr>
              <w:jc w:val="left"/>
            </w:pPr>
            <w:r>
              <w:t>Bassins versants</w:t>
            </w:r>
          </w:p>
          <w:p w14:paraId="13683520" w14:textId="77777777" w:rsidR="00F927A2" w:rsidRDefault="00F927A2" w:rsidP="00F927A2">
            <w:pPr>
              <w:jc w:val="left"/>
            </w:pPr>
            <w:r>
              <w:t>Cours d’eau</w:t>
            </w:r>
          </w:p>
        </w:tc>
        <w:tc>
          <w:tcPr>
            <w:tcW w:w="1250" w:type="pct"/>
            <w:vAlign w:val="center"/>
          </w:tcPr>
          <w:p w14:paraId="1FCAB803" w14:textId="77777777" w:rsidR="00F927A2" w:rsidRDefault="00F927A2" w:rsidP="00F927A2">
            <w:pPr>
              <w:jc w:val="left"/>
            </w:pPr>
          </w:p>
        </w:tc>
        <w:tc>
          <w:tcPr>
            <w:tcW w:w="1250" w:type="pct"/>
            <w:vAlign w:val="center"/>
          </w:tcPr>
          <w:p w14:paraId="3F020516" w14:textId="77777777" w:rsidR="00F927A2" w:rsidRDefault="00F927A2" w:rsidP="00F927A2">
            <w:pPr>
              <w:jc w:val="left"/>
            </w:pPr>
            <w:r>
              <w:t>Municipalités</w:t>
            </w:r>
          </w:p>
          <w:p w14:paraId="4B89E719" w14:textId="77777777" w:rsidR="00F927A2" w:rsidRDefault="00F927A2" w:rsidP="00F927A2">
            <w:pPr>
              <w:jc w:val="left"/>
            </w:pPr>
            <w:r>
              <w:t xml:space="preserve">Ministère de l’environnement </w:t>
            </w:r>
          </w:p>
        </w:tc>
      </w:tr>
    </w:tbl>
    <w:p w14:paraId="5C8ABE12" w14:textId="77777777" w:rsidR="00F927A2" w:rsidRDefault="00F927A2" w:rsidP="00F927A2"/>
    <w:p w14:paraId="51AAAB2E" w14:textId="77777777" w:rsidR="00F927A2" w:rsidRDefault="00F927A2" w:rsidP="00F927A2">
      <w:pPr>
        <w:sectPr w:rsidR="00F927A2" w:rsidSect="00F927A2">
          <w:pgSz w:w="16838" w:h="11906" w:orient="landscape"/>
          <w:pgMar w:top="1417" w:right="1417" w:bottom="1417" w:left="1417" w:header="708" w:footer="708" w:gutter="0"/>
          <w:cols w:space="708"/>
          <w:docGrid w:linePitch="360"/>
        </w:sectPr>
      </w:pPr>
    </w:p>
    <w:p w14:paraId="1B75DA1B" w14:textId="77777777" w:rsidR="00F927A2" w:rsidRDefault="00F927A2" w:rsidP="00E53E6F">
      <w:pPr>
        <w:pStyle w:val="Heading2"/>
        <w:numPr>
          <w:ilvl w:val="1"/>
          <w:numId w:val="45"/>
        </w:numPr>
      </w:pPr>
      <w:bookmarkStart w:id="41" w:name="_Toc468189951"/>
      <w:r w:rsidRPr="0037109E">
        <w:t>Niveau 3 : Définition de d’indicateurs clefs pour le développement urbain en Haiti</w:t>
      </w:r>
      <w:bookmarkEnd w:id="41"/>
    </w:p>
    <w:p w14:paraId="133D01D9" w14:textId="77777777" w:rsidR="00F927A2" w:rsidRPr="00805791" w:rsidRDefault="00F927A2" w:rsidP="00E53E6F">
      <w:pPr>
        <w:pStyle w:val="Heading3"/>
        <w:numPr>
          <w:ilvl w:val="2"/>
          <w:numId w:val="45"/>
        </w:numPr>
      </w:pPr>
      <w:bookmarkStart w:id="42" w:name="_Toc468189952"/>
      <w:r>
        <w:t>Des indicateurs montrant l’évolution de la prise en compte du fait urbain en Haiti</w:t>
      </w:r>
      <w:bookmarkEnd w:id="42"/>
    </w:p>
    <w:p w14:paraId="2F1277AE" w14:textId="77777777" w:rsidR="00F927A2" w:rsidRDefault="00F927A2" w:rsidP="00F927A2">
      <w:r>
        <w:t xml:space="preserve">Les discussions avec le ST/CIAT laissent entendre qu’une réflexion plus macro sur la prise en compte du développement urbain en Haiti serait nécessaire. La réflexion du ST/CIAT repose sur le travail actuellement réalisé par cet organe pour le compte du </w:t>
      </w:r>
      <w:r w:rsidRPr="00BC1BA7">
        <w:t>Climate Investment Fund</w:t>
      </w:r>
      <w:r>
        <w:t xml:space="preserve">. Dans le cadre de ce programme le ST/CIAT se doit de remplir périodiquement les indicateurs du SPRC. Ces derniers sont les suivants : </w:t>
      </w:r>
    </w:p>
    <w:p w14:paraId="728627E6" w14:textId="77777777" w:rsidR="00F927A2" w:rsidRDefault="00F927A2" w:rsidP="00F70EF1">
      <w:pPr>
        <w:pStyle w:val="ListParagraph"/>
        <w:numPr>
          <w:ilvl w:val="0"/>
          <w:numId w:val="41"/>
        </w:numPr>
        <w:spacing w:before="0" w:after="200"/>
      </w:pPr>
      <w:r w:rsidRPr="008C42E4">
        <w:rPr>
          <w:b/>
        </w:rPr>
        <w:t>Indicateur 1</w:t>
      </w:r>
      <w:r>
        <w:t> : Degré d’intégration du Changement Climatique dans les documents d’orientation nationale,</w:t>
      </w:r>
    </w:p>
    <w:p w14:paraId="1FB58CA8" w14:textId="77777777" w:rsidR="00F927A2" w:rsidRDefault="00F927A2" w:rsidP="00F70EF1">
      <w:pPr>
        <w:pStyle w:val="ListParagraph"/>
        <w:numPr>
          <w:ilvl w:val="0"/>
          <w:numId w:val="41"/>
        </w:numPr>
        <w:spacing w:before="0" w:after="200"/>
      </w:pPr>
      <w:r w:rsidRPr="008C42E4">
        <w:rPr>
          <w:b/>
        </w:rPr>
        <w:t>Indicateur 2</w:t>
      </w:r>
      <w:r>
        <w:t xml:space="preserve"> : </w:t>
      </w:r>
      <w:r w:rsidRPr="00283CFE">
        <w:t>Preuve de</w:t>
      </w:r>
      <w:r>
        <w:t xml:space="preserve"> la capacité du gouvernement à</w:t>
      </w:r>
      <w:r w:rsidRPr="00283CFE">
        <w:t xml:space="preserve"> renforcer le mécanisme de coordination pour intégrer la résilience climatique</w:t>
      </w:r>
      <w:r>
        <w:t>,</w:t>
      </w:r>
    </w:p>
    <w:p w14:paraId="12E1C44D" w14:textId="7DD5C808" w:rsidR="00F927A2" w:rsidRDefault="00F927A2" w:rsidP="00F927A2">
      <w:r>
        <w:t>Pour chacun de ces 2 indicateurs</w:t>
      </w:r>
      <w:r w:rsidR="006654FA">
        <w:t>,</w:t>
      </w:r>
      <w:r>
        <w:t xml:space="preserve"> des critères sont définis selon 5 thématiques et un court narratif </w:t>
      </w:r>
      <w:r w:rsidR="006654FA">
        <w:t xml:space="preserve">complète </w:t>
      </w:r>
      <w:r>
        <w:t>les calculs.</w:t>
      </w:r>
    </w:p>
    <w:p w14:paraId="7A348B72" w14:textId="77777777" w:rsidR="00F927A2" w:rsidRDefault="00F927A2" w:rsidP="00F70EF1">
      <w:pPr>
        <w:pStyle w:val="ListParagraph"/>
        <w:numPr>
          <w:ilvl w:val="0"/>
          <w:numId w:val="42"/>
        </w:numPr>
        <w:spacing w:before="0" w:after="200"/>
        <w:sectPr w:rsidR="00F927A2" w:rsidSect="00F927A2">
          <w:pgSz w:w="11906" w:h="16838"/>
          <w:pgMar w:top="1417" w:right="1417" w:bottom="1417" w:left="1417" w:header="708" w:footer="708" w:gutter="0"/>
          <w:cols w:space="708"/>
          <w:docGrid w:linePitch="360"/>
        </w:sectPr>
      </w:pPr>
    </w:p>
    <w:p w14:paraId="4CD68D93" w14:textId="77777777" w:rsidR="00F927A2" w:rsidRPr="00B516A7" w:rsidRDefault="00F927A2" w:rsidP="00F70EF1">
      <w:pPr>
        <w:pStyle w:val="ListParagraph"/>
        <w:numPr>
          <w:ilvl w:val="0"/>
          <w:numId w:val="42"/>
        </w:numPr>
        <w:spacing w:before="0" w:after="200"/>
      </w:pPr>
      <w:r w:rsidRPr="00B516A7">
        <w:t xml:space="preserve">Gouvernement </w:t>
      </w:r>
      <w:r w:rsidRPr="003B3A0D">
        <w:t>d’Haïti</w:t>
      </w:r>
    </w:p>
    <w:p w14:paraId="5E020F4D" w14:textId="77777777" w:rsidR="00F927A2" w:rsidRPr="00B516A7" w:rsidRDefault="00F927A2" w:rsidP="00F70EF1">
      <w:pPr>
        <w:pStyle w:val="ListParagraph"/>
        <w:numPr>
          <w:ilvl w:val="0"/>
          <w:numId w:val="42"/>
        </w:numPr>
        <w:spacing w:before="0" w:after="200"/>
      </w:pPr>
      <w:r w:rsidRPr="00B516A7">
        <w:t>Secteur Infrastructure</w:t>
      </w:r>
    </w:p>
    <w:p w14:paraId="1011E115" w14:textId="77777777" w:rsidR="00F927A2" w:rsidRPr="00B516A7" w:rsidRDefault="00F927A2" w:rsidP="00F70EF1">
      <w:pPr>
        <w:pStyle w:val="ListParagraph"/>
        <w:numPr>
          <w:ilvl w:val="0"/>
          <w:numId w:val="42"/>
        </w:numPr>
        <w:spacing w:before="0" w:after="200"/>
      </w:pPr>
      <w:r w:rsidRPr="00B516A7">
        <w:t>Secteur Agriculture</w:t>
      </w:r>
    </w:p>
    <w:p w14:paraId="18F48985" w14:textId="61C9AFE3" w:rsidR="00F927A2" w:rsidRPr="00B516A7" w:rsidRDefault="00F927A2" w:rsidP="00F70EF1">
      <w:pPr>
        <w:pStyle w:val="ListParagraph"/>
        <w:numPr>
          <w:ilvl w:val="0"/>
          <w:numId w:val="42"/>
        </w:numPr>
        <w:spacing w:before="0" w:after="200"/>
      </w:pPr>
      <w:r w:rsidRPr="00B516A7">
        <w:t>Secteur</w:t>
      </w:r>
      <w:r w:rsidR="006654FA">
        <w:t xml:space="preserve"> </w:t>
      </w:r>
      <w:r w:rsidRPr="00B516A7">
        <w:t>Développement Urbain/Côtier</w:t>
      </w:r>
    </w:p>
    <w:p w14:paraId="784C7134" w14:textId="77777777" w:rsidR="00F927A2" w:rsidRPr="00B516A7" w:rsidRDefault="00F927A2" w:rsidP="00F70EF1">
      <w:pPr>
        <w:pStyle w:val="ListParagraph"/>
        <w:numPr>
          <w:ilvl w:val="0"/>
          <w:numId w:val="42"/>
        </w:numPr>
        <w:spacing w:before="0" w:after="200"/>
      </w:pPr>
      <w:r w:rsidRPr="00B516A7">
        <w:t>Service Météo</w:t>
      </w:r>
    </w:p>
    <w:p w14:paraId="279FD972" w14:textId="77777777" w:rsidR="00F927A2" w:rsidRDefault="00F927A2" w:rsidP="00F927A2">
      <w:pPr>
        <w:keepNext/>
        <w:keepLines/>
        <w:sectPr w:rsidR="00F927A2" w:rsidSect="00F927A2">
          <w:type w:val="continuous"/>
          <w:pgSz w:w="11906" w:h="16838"/>
          <w:pgMar w:top="1417" w:right="1417" w:bottom="1417" w:left="1417" w:header="708" w:footer="708" w:gutter="0"/>
          <w:cols w:num="2" w:space="708"/>
          <w:docGrid w:linePitch="360"/>
        </w:sectPr>
      </w:pPr>
    </w:p>
    <w:p w14:paraId="3A65A023" w14:textId="77777777" w:rsidR="00F927A2" w:rsidRDefault="00F927A2" w:rsidP="00F927A2">
      <w:pPr>
        <w:keepNext/>
        <w:keepLines/>
      </w:pPr>
      <w:r>
        <w:t>Les critères sont les suivants :</w:t>
      </w:r>
    </w:p>
    <w:tbl>
      <w:tblPr>
        <w:tblW w:w="0" w:type="auto"/>
        <w:tblLook w:val="04A0" w:firstRow="1" w:lastRow="0" w:firstColumn="1" w:lastColumn="0" w:noHBand="0" w:noVBand="1"/>
      </w:tblPr>
      <w:tblGrid>
        <w:gridCol w:w="4606"/>
        <w:gridCol w:w="4606"/>
      </w:tblGrid>
      <w:tr w:rsidR="00F927A2" w14:paraId="1360D724" w14:textId="77777777" w:rsidTr="00F927A2">
        <w:trPr>
          <w:trHeight w:val="260"/>
          <w:tblHeader/>
        </w:trPr>
        <w:tc>
          <w:tcPr>
            <w:tcW w:w="4606" w:type="dxa"/>
            <w:shd w:val="clear" w:color="auto" w:fill="F79646" w:themeFill="accent6"/>
          </w:tcPr>
          <w:p w14:paraId="67BD419E" w14:textId="77777777" w:rsidR="00F927A2" w:rsidRPr="00B516A7" w:rsidRDefault="00F927A2" w:rsidP="00F927A2">
            <w:pPr>
              <w:keepNext/>
              <w:keepLines/>
              <w:jc w:val="center"/>
              <w:rPr>
                <w:color w:val="FFFFFF" w:themeColor="background1"/>
              </w:rPr>
            </w:pPr>
            <w:r w:rsidRPr="00B516A7">
              <w:rPr>
                <w:color w:val="FFFFFF" w:themeColor="background1"/>
              </w:rPr>
              <w:t>Indicateur 1</w:t>
            </w:r>
          </w:p>
        </w:tc>
        <w:tc>
          <w:tcPr>
            <w:tcW w:w="4606" w:type="dxa"/>
            <w:shd w:val="clear" w:color="auto" w:fill="F79646" w:themeFill="accent6"/>
          </w:tcPr>
          <w:p w14:paraId="628B419C" w14:textId="77777777" w:rsidR="00F927A2" w:rsidRPr="00B516A7" w:rsidRDefault="00F927A2" w:rsidP="00F927A2">
            <w:pPr>
              <w:keepNext/>
              <w:keepLines/>
              <w:jc w:val="center"/>
              <w:rPr>
                <w:color w:val="FFFFFF" w:themeColor="background1"/>
              </w:rPr>
            </w:pPr>
            <w:r w:rsidRPr="00B516A7">
              <w:rPr>
                <w:color w:val="FFFFFF" w:themeColor="background1"/>
              </w:rPr>
              <w:t>Indicateur 2</w:t>
            </w:r>
          </w:p>
        </w:tc>
      </w:tr>
      <w:tr w:rsidR="00F927A2" w:rsidRPr="007F10E5" w14:paraId="13EB3826" w14:textId="77777777" w:rsidTr="00F927A2">
        <w:trPr>
          <w:trHeight w:val="791"/>
        </w:trPr>
        <w:tc>
          <w:tcPr>
            <w:tcW w:w="4606" w:type="dxa"/>
          </w:tcPr>
          <w:p w14:paraId="052A2EEA" w14:textId="77777777" w:rsidR="00F927A2" w:rsidRPr="00B516A7" w:rsidRDefault="00F927A2" w:rsidP="00F927A2">
            <w:pPr>
              <w:keepNext/>
              <w:keepLines/>
              <w:rPr>
                <w:lang w:val="en-IE"/>
              </w:rPr>
            </w:pPr>
            <w:r w:rsidRPr="00B516A7">
              <w:rPr>
                <w:lang w:val="en-IE"/>
              </w:rPr>
              <w:t>Is there an approved climate change plan for the nation/ sector?</w:t>
            </w:r>
          </w:p>
        </w:tc>
        <w:tc>
          <w:tcPr>
            <w:tcW w:w="4606" w:type="dxa"/>
          </w:tcPr>
          <w:p w14:paraId="3E566847" w14:textId="77777777" w:rsidR="00F927A2" w:rsidRPr="00B516A7" w:rsidRDefault="00F927A2" w:rsidP="00F927A2">
            <w:pPr>
              <w:keepNext/>
              <w:keepLines/>
              <w:rPr>
                <w:lang w:val="en-IE"/>
              </w:rPr>
            </w:pPr>
            <w:r w:rsidRPr="00B516A7">
              <w:rPr>
                <w:lang w:val="en-IE"/>
              </w:rPr>
              <w:t>Are information, studies and assessments addressing climate change, variability and resilience available?</w:t>
            </w:r>
          </w:p>
        </w:tc>
      </w:tr>
      <w:tr w:rsidR="00F927A2" w:rsidRPr="007F10E5" w14:paraId="3309C344" w14:textId="77777777" w:rsidTr="00F927A2">
        <w:tc>
          <w:tcPr>
            <w:tcW w:w="4606" w:type="dxa"/>
          </w:tcPr>
          <w:p w14:paraId="41D5C0CD" w14:textId="77777777" w:rsidR="00F927A2" w:rsidRPr="00B516A7" w:rsidRDefault="00F927A2" w:rsidP="00F927A2">
            <w:pPr>
              <w:rPr>
                <w:lang w:val="en-IE"/>
              </w:rPr>
            </w:pPr>
            <w:r w:rsidRPr="00B516A7">
              <w:rPr>
                <w:lang w:val="en-IE"/>
              </w:rPr>
              <w:t>Have climate resilience strategies been embedded in the central government's/ sector's principal planning documents?</w:t>
            </w:r>
          </w:p>
        </w:tc>
        <w:tc>
          <w:tcPr>
            <w:tcW w:w="4606" w:type="dxa"/>
          </w:tcPr>
          <w:p w14:paraId="40525EC0" w14:textId="77777777" w:rsidR="00F927A2" w:rsidRPr="00B516A7" w:rsidRDefault="00F927A2" w:rsidP="00F927A2">
            <w:pPr>
              <w:rPr>
                <w:lang w:val="en-IE"/>
              </w:rPr>
            </w:pPr>
            <w:r w:rsidRPr="00B516A7">
              <w:rPr>
                <w:lang w:val="en-IE"/>
              </w:rPr>
              <w:t>Is the necessary climate change expertise available?</w:t>
            </w:r>
          </w:p>
        </w:tc>
      </w:tr>
      <w:tr w:rsidR="00F927A2" w:rsidRPr="007F10E5" w14:paraId="00F35945" w14:textId="77777777" w:rsidTr="00F927A2">
        <w:tc>
          <w:tcPr>
            <w:tcW w:w="4606" w:type="dxa"/>
          </w:tcPr>
          <w:p w14:paraId="1894E78A" w14:textId="77777777" w:rsidR="00F927A2" w:rsidRPr="00B516A7" w:rsidRDefault="00F927A2" w:rsidP="00F927A2">
            <w:pPr>
              <w:rPr>
                <w:lang w:val="en-IE"/>
              </w:rPr>
            </w:pPr>
            <w:r w:rsidRPr="00B516A7">
              <w:rPr>
                <w:lang w:val="en-IE"/>
              </w:rPr>
              <w:t>Has responsibility been assigned to institutions or persons to integrate climate resilience planning?</w:t>
            </w:r>
          </w:p>
        </w:tc>
        <w:tc>
          <w:tcPr>
            <w:tcW w:w="4606" w:type="dxa"/>
          </w:tcPr>
          <w:p w14:paraId="238358D3" w14:textId="77777777" w:rsidR="00F927A2" w:rsidRPr="00B516A7" w:rsidRDefault="00F927A2" w:rsidP="00F927A2">
            <w:pPr>
              <w:rPr>
                <w:lang w:val="en-IE"/>
              </w:rPr>
            </w:pPr>
            <w:r w:rsidRPr="00B516A7">
              <w:rPr>
                <w:lang w:val="en-IE"/>
              </w:rPr>
              <w:t>Do national/sector incentives and legislative policies expressly address climate change and resilience?</w:t>
            </w:r>
          </w:p>
        </w:tc>
      </w:tr>
      <w:tr w:rsidR="00F927A2" w:rsidRPr="007F10E5" w14:paraId="2C41CAB5" w14:textId="77777777" w:rsidTr="00F927A2">
        <w:tc>
          <w:tcPr>
            <w:tcW w:w="4606" w:type="dxa"/>
          </w:tcPr>
          <w:p w14:paraId="12B44B8A" w14:textId="77777777" w:rsidR="00F927A2" w:rsidRPr="00B516A7" w:rsidRDefault="00F927A2" w:rsidP="00F927A2">
            <w:pPr>
              <w:rPr>
                <w:lang w:val="en-IE"/>
              </w:rPr>
            </w:pPr>
            <w:r w:rsidRPr="00B516A7">
              <w:rPr>
                <w:lang w:val="en-IE"/>
              </w:rPr>
              <w:t>Have specific measures,</w:t>
            </w:r>
            <w:r>
              <w:rPr>
                <w:lang w:val="en-IE"/>
              </w:rPr>
              <w:t xml:space="preserve"> </w:t>
            </w:r>
            <w:r w:rsidRPr="00B516A7">
              <w:rPr>
                <w:lang w:val="en-IE"/>
              </w:rPr>
              <w:t>e.g. investments and programs, to address climate resilience been identified and prioritized?</w:t>
            </w:r>
          </w:p>
        </w:tc>
        <w:tc>
          <w:tcPr>
            <w:tcW w:w="4606" w:type="dxa"/>
          </w:tcPr>
          <w:p w14:paraId="29C2ABB3" w14:textId="77777777" w:rsidR="00F927A2" w:rsidRPr="00B516A7" w:rsidRDefault="00F927A2" w:rsidP="00F927A2">
            <w:pPr>
              <w:rPr>
                <w:lang w:val="en-IE"/>
              </w:rPr>
            </w:pPr>
            <w:r w:rsidRPr="00B516A7">
              <w:rPr>
                <w:lang w:val="en-IE"/>
              </w:rPr>
              <w:t>Does the government/sector participate in the coordination mechanism?</w:t>
            </w:r>
          </w:p>
        </w:tc>
      </w:tr>
      <w:tr w:rsidR="00F927A2" w:rsidRPr="007F10E5" w14:paraId="1796CBD5" w14:textId="77777777" w:rsidTr="00F927A2">
        <w:tc>
          <w:tcPr>
            <w:tcW w:w="4606" w:type="dxa"/>
          </w:tcPr>
          <w:p w14:paraId="730A4752" w14:textId="77777777" w:rsidR="00F927A2" w:rsidRPr="00B516A7" w:rsidRDefault="00F927A2" w:rsidP="00F927A2">
            <w:pPr>
              <w:rPr>
                <w:lang w:val="en-IE"/>
              </w:rPr>
            </w:pPr>
            <w:r w:rsidRPr="00B516A7">
              <w:rPr>
                <w:lang w:val="en-IE"/>
              </w:rPr>
              <w:t>Do all planning processes routinely screen for climate risks?</w:t>
            </w:r>
          </w:p>
        </w:tc>
        <w:tc>
          <w:tcPr>
            <w:tcW w:w="4606" w:type="dxa"/>
          </w:tcPr>
          <w:p w14:paraId="6C5F1ADF" w14:textId="77777777" w:rsidR="00F927A2" w:rsidRPr="00B516A7" w:rsidRDefault="00F927A2" w:rsidP="00F927A2">
            <w:pPr>
              <w:rPr>
                <w:lang w:val="en-IE"/>
              </w:rPr>
            </w:pPr>
          </w:p>
        </w:tc>
      </w:tr>
    </w:tbl>
    <w:p w14:paraId="0F1676BC" w14:textId="77777777" w:rsidR="00F927A2" w:rsidRDefault="00F927A2" w:rsidP="00F927A2">
      <w:r w:rsidRPr="00593C1E">
        <w:t xml:space="preserve">Ce troisième niveau de réflexion et à notre sens </w:t>
      </w:r>
      <w:r>
        <w:t>prématuré à approfondir tant que le travail de définition des concepts n’est pas achevé et que celui de base de données urbaines n’a pas permis de dégager les indicateurs clefs du secteur. Néanmoins et sur le modèle des indicateurs proposés par Haiti pour le suivi du changement climatique, nous pourrions proposer de travailler, dans le champ de l’urbain sur les indicateurs suivants :</w:t>
      </w:r>
    </w:p>
    <w:p w14:paraId="6BD5C14B" w14:textId="77777777" w:rsidR="00F927A2" w:rsidRPr="004B33E3" w:rsidRDefault="00F927A2" w:rsidP="00F70EF1">
      <w:pPr>
        <w:pStyle w:val="ListParagraph"/>
        <w:numPr>
          <w:ilvl w:val="0"/>
          <w:numId w:val="41"/>
        </w:numPr>
        <w:spacing w:before="0" w:after="200"/>
      </w:pPr>
      <w:r>
        <w:rPr>
          <w:b/>
        </w:rPr>
        <w:t>Indicateur 1</w:t>
      </w:r>
      <w:r>
        <w:t xml:space="preserve"> : Capacité </w:t>
      </w:r>
      <w:r w:rsidRPr="003B3A0D">
        <w:t xml:space="preserve">du dispositif de gouvernance </w:t>
      </w:r>
      <w:r>
        <w:t>à</w:t>
      </w:r>
      <w:r w:rsidRPr="00283CFE">
        <w:t xml:space="preserve"> </w:t>
      </w:r>
      <w:r>
        <w:t>construire une vision consensuelle du fait urbain,</w:t>
      </w:r>
    </w:p>
    <w:p w14:paraId="02654087" w14:textId="77777777" w:rsidR="00F927A2" w:rsidRDefault="00F927A2" w:rsidP="00F70EF1">
      <w:pPr>
        <w:pStyle w:val="ListParagraph"/>
        <w:numPr>
          <w:ilvl w:val="0"/>
          <w:numId w:val="41"/>
        </w:numPr>
        <w:spacing w:before="0" w:after="200"/>
      </w:pPr>
      <w:r w:rsidRPr="008C42E4">
        <w:rPr>
          <w:b/>
        </w:rPr>
        <w:t xml:space="preserve">Indicateur </w:t>
      </w:r>
      <w:r>
        <w:rPr>
          <w:b/>
        </w:rPr>
        <w:t>2</w:t>
      </w:r>
      <w:r>
        <w:t> : Degré d’intégration du développement urbain dans les documents d’orientation nationale,</w:t>
      </w:r>
    </w:p>
    <w:p w14:paraId="01692C46" w14:textId="77777777" w:rsidR="00F927A2" w:rsidRDefault="00F927A2" w:rsidP="00F70EF1">
      <w:pPr>
        <w:pStyle w:val="ListParagraph"/>
        <w:numPr>
          <w:ilvl w:val="0"/>
          <w:numId w:val="41"/>
        </w:numPr>
        <w:spacing w:before="0" w:after="200"/>
        <w:jc w:val="left"/>
      </w:pPr>
      <w:r>
        <w:rPr>
          <w:b/>
        </w:rPr>
        <w:t>Indicateur 3 </w:t>
      </w:r>
      <w:r w:rsidRPr="004B33E3">
        <w:t>:</w:t>
      </w:r>
      <w:r>
        <w:t xml:space="preserve"> Capacité </w:t>
      </w:r>
      <w:r w:rsidRPr="003B3A0D">
        <w:t xml:space="preserve">des institutions </w:t>
      </w:r>
      <w:r>
        <w:t>à encadrer la production d’études et la mise en œuvre de projets urbains,</w:t>
      </w:r>
    </w:p>
    <w:p w14:paraId="3AD439DF" w14:textId="77777777" w:rsidR="00F927A2" w:rsidRDefault="00F927A2" w:rsidP="00F70EF1">
      <w:pPr>
        <w:pStyle w:val="ListParagraph"/>
        <w:numPr>
          <w:ilvl w:val="0"/>
          <w:numId w:val="41"/>
        </w:numPr>
        <w:spacing w:before="0" w:after="200"/>
        <w:jc w:val="left"/>
        <w:sectPr w:rsidR="00F927A2" w:rsidSect="00F927A2">
          <w:type w:val="continuous"/>
          <w:pgSz w:w="11906" w:h="16838"/>
          <w:pgMar w:top="1417" w:right="1417" w:bottom="1417" w:left="1417" w:header="708" w:footer="708" w:gutter="0"/>
          <w:cols w:space="708"/>
          <w:docGrid w:linePitch="360"/>
        </w:sectPr>
      </w:pPr>
    </w:p>
    <w:tbl>
      <w:tblPr>
        <w:tblW w:w="0" w:type="auto"/>
        <w:tblLook w:val="04A0" w:firstRow="1" w:lastRow="0" w:firstColumn="1" w:lastColumn="0" w:noHBand="0" w:noVBand="1"/>
      </w:tblPr>
      <w:tblGrid>
        <w:gridCol w:w="4606"/>
        <w:gridCol w:w="4606"/>
        <w:gridCol w:w="4606"/>
      </w:tblGrid>
      <w:tr w:rsidR="00F927A2" w:rsidRPr="00615D4B" w14:paraId="398CF90D" w14:textId="77777777" w:rsidTr="00F927A2">
        <w:trPr>
          <w:tblHeader/>
        </w:trPr>
        <w:tc>
          <w:tcPr>
            <w:tcW w:w="4606" w:type="dxa"/>
            <w:shd w:val="clear" w:color="auto" w:fill="F79646" w:themeFill="accent6"/>
          </w:tcPr>
          <w:p w14:paraId="7ABCF293" w14:textId="77777777" w:rsidR="00F927A2" w:rsidRDefault="00F927A2" w:rsidP="00F927A2">
            <w:pPr>
              <w:keepNext/>
              <w:keepLines/>
              <w:jc w:val="center"/>
              <w:rPr>
                <w:b/>
                <w:color w:val="FFFFFF" w:themeColor="background1"/>
              </w:rPr>
            </w:pPr>
            <w:r w:rsidRPr="004B33E3">
              <w:rPr>
                <w:b/>
                <w:color w:val="FFFFFF" w:themeColor="background1"/>
              </w:rPr>
              <w:t>Indicateur 1</w:t>
            </w:r>
            <w:r>
              <w:rPr>
                <w:b/>
                <w:color w:val="FFFFFF" w:themeColor="background1"/>
              </w:rPr>
              <w:t xml:space="preserve"> - Stratégie</w:t>
            </w:r>
          </w:p>
          <w:p w14:paraId="3DB2E4F1" w14:textId="77777777" w:rsidR="00F927A2" w:rsidRPr="004B33E3" w:rsidRDefault="00F927A2" w:rsidP="00F927A2">
            <w:pPr>
              <w:keepNext/>
              <w:keepLines/>
              <w:jc w:val="center"/>
              <w:rPr>
                <w:b/>
                <w:i/>
                <w:color w:val="FFFFFF" w:themeColor="background1"/>
              </w:rPr>
            </w:pPr>
            <w:r w:rsidRPr="004B33E3">
              <w:rPr>
                <w:i/>
                <w:sz w:val="20"/>
              </w:rPr>
              <w:t>Capacité du gouvernement à construire une vision consensuelle du fait urbain</w:t>
            </w:r>
          </w:p>
        </w:tc>
        <w:tc>
          <w:tcPr>
            <w:tcW w:w="4606" w:type="dxa"/>
            <w:shd w:val="clear" w:color="auto" w:fill="F79646" w:themeFill="accent6"/>
          </w:tcPr>
          <w:p w14:paraId="1305CEFD" w14:textId="77777777" w:rsidR="00F927A2" w:rsidRDefault="00F927A2" w:rsidP="00F927A2">
            <w:pPr>
              <w:keepNext/>
              <w:keepLines/>
              <w:jc w:val="center"/>
              <w:rPr>
                <w:b/>
                <w:color w:val="FFFFFF" w:themeColor="background1"/>
              </w:rPr>
            </w:pPr>
            <w:r w:rsidRPr="004B33E3">
              <w:rPr>
                <w:b/>
                <w:color w:val="FFFFFF" w:themeColor="background1"/>
              </w:rPr>
              <w:t>Indicateur 2</w:t>
            </w:r>
            <w:r>
              <w:rPr>
                <w:b/>
                <w:color w:val="FFFFFF" w:themeColor="background1"/>
              </w:rPr>
              <w:t xml:space="preserve"> - planification</w:t>
            </w:r>
          </w:p>
          <w:p w14:paraId="60E286CA" w14:textId="77777777" w:rsidR="00F927A2" w:rsidRPr="004B33E3" w:rsidRDefault="00F927A2" w:rsidP="00F927A2">
            <w:pPr>
              <w:keepNext/>
              <w:keepLines/>
              <w:jc w:val="center"/>
              <w:rPr>
                <w:b/>
                <w:i/>
                <w:color w:val="FFFFFF" w:themeColor="background1"/>
              </w:rPr>
            </w:pPr>
            <w:r w:rsidRPr="004B33E3">
              <w:rPr>
                <w:i/>
                <w:sz w:val="20"/>
              </w:rPr>
              <w:t>Degré d’intégration du développement urbain dans les documents d’orientation nationale</w:t>
            </w:r>
          </w:p>
        </w:tc>
        <w:tc>
          <w:tcPr>
            <w:tcW w:w="4606" w:type="dxa"/>
            <w:shd w:val="clear" w:color="auto" w:fill="F79646" w:themeFill="accent6"/>
          </w:tcPr>
          <w:p w14:paraId="6D59ED24" w14:textId="77777777" w:rsidR="00F927A2" w:rsidRDefault="00F927A2" w:rsidP="00F927A2">
            <w:pPr>
              <w:keepNext/>
              <w:keepLines/>
              <w:jc w:val="center"/>
              <w:rPr>
                <w:b/>
                <w:color w:val="FFFFFF" w:themeColor="background1"/>
              </w:rPr>
            </w:pPr>
            <w:r w:rsidRPr="004B33E3">
              <w:rPr>
                <w:b/>
                <w:color w:val="FFFFFF" w:themeColor="background1"/>
              </w:rPr>
              <w:t>Indicateur 3</w:t>
            </w:r>
            <w:r>
              <w:rPr>
                <w:b/>
                <w:color w:val="FFFFFF" w:themeColor="background1"/>
              </w:rPr>
              <w:t xml:space="preserve"> – mise en oeuvre</w:t>
            </w:r>
          </w:p>
          <w:p w14:paraId="2DEB5E4A" w14:textId="77777777" w:rsidR="00F927A2" w:rsidRPr="004B33E3" w:rsidRDefault="00F927A2" w:rsidP="00F927A2">
            <w:pPr>
              <w:keepNext/>
              <w:keepLines/>
              <w:jc w:val="center"/>
              <w:rPr>
                <w:b/>
                <w:i/>
                <w:color w:val="FFFFFF" w:themeColor="background1"/>
              </w:rPr>
            </w:pPr>
            <w:r w:rsidRPr="004B33E3">
              <w:rPr>
                <w:i/>
                <w:sz w:val="20"/>
              </w:rPr>
              <w:t>Capacité du gouvernement à encadrer la production d’études et la mise en œuvre de projets urbains</w:t>
            </w:r>
          </w:p>
        </w:tc>
      </w:tr>
      <w:tr w:rsidR="00F927A2" w:rsidRPr="00615D4B" w14:paraId="2B7E047C" w14:textId="77777777" w:rsidTr="00F927A2">
        <w:tc>
          <w:tcPr>
            <w:tcW w:w="4606" w:type="dxa"/>
          </w:tcPr>
          <w:p w14:paraId="703B3C17" w14:textId="77777777" w:rsidR="00F927A2" w:rsidRPr="004B33E3" w:rsidRDefault="00F927A2" w:rsidP="00F927A2">
            <w:pPr>
              <w:keepNext/>
              <w:keepLines/>
            </w:pPr>
            <w:r>
              <w:t>Organisation de séance de travail permettant de poser les bases d’une définition concertée des différents concepts intervenant dans l’urbain</w:t>
            </w:r>
          </w:p>
        </w:tc>
        <w:tc>
          <w:tcPr>
            <w:tcW w:w="4606" w:type="dxa"/>
          </w:tcPr>
          <w:p w14:paraId="2B7D2C6D" w14:textId="77777777" w:rsidR="00F927A2" w:rsidRPr="004B33E3" w:rsidRDefault="00F927A2" w:rsidP="00F927A2">
            <w:pPr>
              <w:keepNext/>
              <w:keepLines/>
            </w:pPr>
            <w:r w:rsidRPr="00FA1556">
              <w:t>Proportion des études réalisées (exemple SNAT) et portées devant la commission en charge de l’Aménagement du territoire</w:t>
            </w:r>
            <w:r>
              <w:t xml:space="preserve"> par rapport au nombre d’étude lancée </w:t>
            </w:r>
          </w:p>
        </w:tc>
        <w:tc>
          <w:tcPr>
            <w:tcW w:w="4606" w:type="dxa"/>
          </w:tcPr>
          <w:p w14:paraId="7C1E24FD" w14:textId="77777777" w:rsidR="00F927A2" w:rsidRPr="004B33E3" w:rsidRDefault="00F927A2" w:rsidP="00F927A2">
            <w:pPr>
              <w:keepNext/>
              <w:keepLines/>
            </w:pPr>
            <w:r>
              <w:t>Le SPU a connaissance de l’ensemble des études visant à la planification des territoires urbains (PCD, schéma d’aménagement urbain)</w:t>
            </w:r>
          </w:p>
        </w:tc>
      </w:tr>
      <w:tr w:rsidR="00F927A2" w:rsidRPr="00615D4B" w14:paraId="4647B8E6" w14:textId="77777777" w:rsidTr="00F927A2">
        <w:tc>
          <w:tcPr>
            <w:tcW w:w="4606" w:type="dxa"/>
          </w:tcPr>
          <w:p w14:paraId="1C7EC537" w14:textId="77777777" w:rsidR="00F927A2" w:rsidRPr="004B33E3" w:rsidRDefault="00F927A2" w:rsidP="00F927A2">
            <w:r>
              <w:t>Etablissement d’un glossaire de l’urbain en Haiti</w:t>
            </w:r>
          </w:p>
        </w:tc>
        <w:tc>
          <w:tcPr>
            <w:tcW w:w="4606" w:type="dxa"/>
          </w:tcPr>
          <w:p w14:paraId="4660A35A" w14:textId="77777777" w:rsidR="00F927A2" w:rsidRPr="0037109E" w:rsidRDefault="00F927A2" w:rsidP="00F927A2">
            <w:r w:rsidRPr="00500FB5">
              <w:t>Proportion de schéma, documents de planification et d’urbanisme opérationnels produits selon les directives par rapport au nombre de document produits</w:t>
            </w:r>
          </w:p>
          <w:p w14:paraId="04677B68" w14:textId="77777777" w:rsidR="00F927A2" w:rsidRPr="004B33E3" w:rsidRDefault="00F927A2" w:rsidP="00F927A2"/>
        </w:tc>
        <w:tc>
          <w:tcPr>
            <w:tcW w:w="4606" w:type="dxa"/>
          </w:tcPr>
          <w:p w14:paraId="10F5F1BE" w14:textId="77777777" w:rsidR="00F927A2" w:rsidRPr="004B33E3" w:rsidRDefault="00F927A2" w:rsidP="00F927A2">
            <w:r>
              <w:t>Nombre de cadre de l’administration formé à la question urbaine (formation continue ou initiale reconnue)</w:t>
            </w:r>
          </w:p>
        </w:tc>
      </w:tr>
      <w:tr w:rsidR="00F927A2" w:rsidRPr="00615D4B" w14:paraId="177E8540" w14:textId="77777777" w:rsidTr="00F927A2">
        <w:tc>
          <w:tcPr>
            <w:tcW w:w="4606" w:type="dxa"/>
          </w:tcPr>
          <w:p w14:paraId="488D3635" w14:textId="77777777" w:rsidR="00F927A2" w:rsidRPr="004B33E3" w:rsidRDefault="00F927A2" w:rsidP="00F927A2">
            <w:r>
              <w:t>Mesure de l’utilisation de ces définitions dans les appels d’offre lancés auprès des opérateurs</w:t>
            </w:r>
          </w:p>
        </w:tc>
        <w:tc>
          <w:tcPr>
            <w:tcW w:w="4606" w:type="dxa"/>
          </w:tcPr>
          <w:p w14:paraId="6C65633F" w14:textId="77777777" w:rsidR="00F927A2" w:rsidRPr="004B33E3" w:rsidRDefault="00F927A2" w:rsidP="00F927A2"/>
        </w:tc>
        <w:tc>
          <w:tcPr>
            <w:tcW w:w="4606" w:type="dxa"/>
          </w:tcPr>
          <w:p w14:paraId="089D597B" w14:textId="77777777" w:rsidR="00F927A2" w:rsidRPr="004B33E3" w:rsidRDefault="00F927A2" w:rsidP="00F927A2">
            <w:r>
              <w:t xml:space="preserve">Proportion des documents relatifs à la planification urbaine archivés dans la base de données documentaire </w:t>
            </w:r>
            <w:r w:rsidRPr="00500FB5">
              <w:t>par rapport au nombre de document produits</w:t>
            </w:r>
          </w:p>
        </w:tc>
      </w:tr>
      <w:tr w:rsidR="00F927A2" w:rsidRPr="00615D4B" w14:paraId="60461F69" w14:textId="77777777" w:rsidTr="00F927A2">
        <w:tc>
          <w:tcPr>
            <w:tcW w:w="4606" w:type="dxa"/>
          </w:tcPr>
          <w:p w14:paraId="6BCA9940" w14:textId="77777777" w:rsidR="00F927A2" w:rsidRPr="004B33E3" w:rsidRDefault="00F927A2" w:rsidP="00F927A2">
            <w:r>
              <w:t>La redéfinition des rôles de chaque institution en charge du secteur est entamée et une institution assure clairement le lead du secteur</w:t>
            </w:r>
          </w:p>
        </w:tc>
        <w:tc>
          <w:tcPr>
            <w:tcW w:w="4606" w:type="dxa"/>
          </w:tcPr>
          <w:p w14:paraId="56662482" w14:textId="77777777" w:rsidR="00F927A2" w:rsidRPr="004B33E3" w:rsidRDefault="00F927A2" w:rsidP="00F927A2"/>
        </w:tc>
        <w:tc>
          <w:tcPr>
            <w:tcW w:w="4606" w:type="dxa"/>
          </w:tcPr>
          <w:p w14:paraId="27937D99" w14:textId="77777777" w:rsidR="00F927A2" w:rsidRPr="004B33E3" w:rsidRDefault="00F927A2" w:rsidP="00F927A2">
            <w:r>
              <w:t>Proportion des mairies qui ont fait la demande d’une Assistance technique au SPU pour l’élaboration ou l’actualisation de leur PCD</w:t>
            </w:r>
            <w:r>
              <w:rPr>
                <w:rStyle w:val="FootnoteReference"/>
              </w:rPr>
              <w:footnoteReference w:id="42"/>
            </w:r>
          </w:p>
        </w:tc>
      </w:tr>
    </w:tbl>
    <w:p w14:paraId="7D2FEE43" w14:textId="77777777" w:rsidR="00F927A2" w:rsidRDefault="00F927A2" w:rsidP="00F927A2"/>
    <w:p w14:paraId="32D4687E" w14:textId="77777777" w:rsidR="00F927A2" w:rsidRPr="004B33E3" w:rsidRDefault="00F927A2" w:rsidP="00F927A2"/>
    <w:p w14:paraId="19B96FD6" w14:textId="77777777" w:rsidR="00F927A2" w:rsidRPr="004B33E3" w:rsidRDefault="00F927A2" w:rsidP="00F927A2">
      <w:pPr>
        <w:sectPr w:rsidR="00F927A2" w:rsidRPr="004B33E3" w:rsidSect="00F927A2">
          <w:pgSz w:w="16838" w:h="11906" w:orient="landscape"/>
          <w:pgMar w:top="1417" w:right="1417" w:bottom="1417" w:left="1417" w:header="708" w:footer="708" w:gutter="0"/>
          <w:cols w:space="708"/>
          <w:docGrid w:linePitch="360"/>
        </w:sectPr>
      </w:pPr>
    </w:p>
    <w:p w14:paraId="7A0411D9" w14:textId="77777777" w:rsidR="00F927A2" w:rsidRDefault="00F927A2" w:rsidP="00E53E6F">
      <w:pPr>
        <w:pStyle w:val="Heading3"/>
        <w:numPr>
          <w:ilvl w:val="2"/>
          <w:numId w:val="45"/>
        </w:numPr>
      </w:pPr>
      <w:bookmarkStart w:id="43" w:name="_Toc468189953"/>
      <w:r>
        <w:t>Des indicateurs montrant l’évolution du fait urbain : les indicateurs de qualité de vie</w:t>
      </w:r>
      <w:bookmarkEnd w:id="43"/>
    </w:p>
    <w:p w14:paraId="092D9903" w14:textId="77777777" w:rsidR="00F927A2" w:rsidRDefault="00F927A2" w:rsidP="00F927A2">
      <w:r>
        <w:t xml:space="preserve">Dans le cadre de la mise en place d’un observatoire sur l’urbain, il peut aussi être réfléchi à mesurer la qualité de la vie urbaine au travers de sondage réalisé dans plusieurs types de ville en Haiti (et quartier). </w:t>
      </w:r>
      <w:r w:rsidRPr="00FF7AB5">
        <w:t xml:space="preserve">La qualité de vie des individus recouvre de multiples dimensions ayant trait au développement humain (santé, éducation, vie sociale), aux conditions socio-économiques (qualité de l’emploi, niveau de revenus) et au cadre de vie (environnement, accès aux services). D’autres facteurs peuvent nuire à la qualité de vie même s’ils ne concernent directement que certaines catégories de population : inégalité entre les femmes et les hommes, difficultés d’insertion professionnelle pour les jeunes, solitude des personnes âgées. </w:t>
      </w:r>
    </w:p>
    <w:p w14:paraId="3123CA39" w14:textId="77777777" w:rsidR="00F927A2" w:rsidRPr="00FF7AB5" w:rsidRDefault="00F927A2" w:rsidP="00F927A2"/>
    <w:p w14:paraId="5464BB31" w14:textId="77777777" w:rsidR="00F927A2" w:rsidRPr="009523F8" w:rsidRDefault="00F927A2" w:rsidP="00E53E6F">
      <w:pPr>
        <w:pStyle w:val="Heading4"/>
        <w:numPr>
          <w:ilvl w:val="3"/>
          <w:numId w:val="45"/>
        </w:numPr>
      </w:pPr>
      <w:r>
        <w:t>Les études de l’observatoire urbain de Roumanie : Une étude subjective de la qualité de vie</w:t>
      </w:r>
      <w:r w:rsidRPr="009523F8">
        <w:t xml:space="preserve"> </w:t>
      </w:r>
    </w:p>
    <w:p w14:paraId="376E31A6" w14:textId="77777777" w:rsidR="00F927A2" w:rsidRDefault="00F927A2" w:rsidP="00F927A2">
      <w:r w:rsidRPr="00F0698F">
        <w:t xml:space="preserve">Citons ici l’exemple de l’observatoire urbain de Roumanie qui en 2010 a lancé une étude sur plus de 1 000 </w:t>
      </w:r>
      <w:r>
        <w:t xml:space="preserve">personnes </w:t>
      </w:r>
      <w:r w:rsidRPr="00F0698F">
        <w:t>afin de recueillir les résultats à 12 indicateurs subjectifs traitant de la qualité de vie des habitants. Les données collectées et traitées permettent de décrire l'état actuel de la communauté urbaine selon les indicateurs de la qualité de vie sélectionnés pour a construction d'une gestion efficace d  l'administration locale. Le but des données obtenues se traduit par une bonne gouvernance de la communauté aux fins de son développement et de coparticipation des citoyens à la vie communautaire.</w:t>
      </w:r>
    </w:p>
    <w:p w14:paraId="197387E5" w14:textId="77777777" w:rsidR="00F927A2" w:rsidRPr="00E628F2" w:rsidRDefault="00F927A2" w:rsidP="00F927A2">
      <w:pPr>
        <w:jc w:val="center"/>
      </w:pPr>
      <w:r>
        <w:rPr>
          <w:noProof/>
        </w:rPr>
        <w:drawing>
          <wp:inline distT="0" distB="0" distL="0" distR="0" wp14:anchorId="3BC13769" wp14:editId="7E77969A">
            <wp:extent cx="4133864" cy="1287475"/>
            <wp:effectExtent l="19050" t="19050" r="19050" b="273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l="21597" t="31391" r="20087" b="36307"/>
                    <a:stretch/>
                  </pic:blipFill>
                  <pic:spPr bwMode="auto">
                    <a:xfrm>
                      <a:off x="0" y="0"/>
                      <a:ext cx="4159027" cy="129531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03126D3" w14:textId="77777777" w:rsidR="00F927A2" w:rsidRDefault="00F927A2" w:rsidP="00F927A2">
      <w:r>
        <w:t xml:space="preserve">L'étude a été construit autour d’un ensemble d'indicateurs de la qualité </w:t>
      </w:r>
      <w:r w:rsidRPr="00E628F2">
        <w:t xml:space="preserve">de </w:t>
      </w:r>
      <w:r>
        <w:t>vie, à savoir: la satisfaction</w:t>
      </w:r>
      <w:r w:rsidRPr="00E628F2">
        <w:t xml:space="preserve"> </w:t>
      </w:r>
      <w:r>
        <w:t>de vie,</w:t>
      </w:r>
      <w:r w:rsidRPr="00E628F2">
        <w:t xml:space="preserve"> </w:t>
      </w:r>
      <w:r>
        <w:t xml:space="preserve">les conditions de logement, l'accès </w:t>
      </w:r>
      <w:r w:rsidRPr="00E628F2">
        <w:t xml:space="preserve">aux </w:t>
      </w:r>
      <w:r>
        <w:t xml:space="preserve">services publics, la satisfaction à </w:t>
      </w:r>
      <w:r w:rsidRPr="00E628F2">
        <w:t>l'</w:t>
      </w:r>
      <w:r>
        <w:t xml:space="preserve">égard des services publics, le degré </w:t>
      </w:r>
      <w:r w:rsidRPr="00E628F2">
        <w:t>de</w:t>
      </w:r>
      <w:r>
        <w:t xml:space="preserve"> </w:t>
      </w:r>
      <w:r w:rsidRPr="00E628F2">
        <w:t>la part</w:t>
      </w:r>
      <w:r>
        <w:t>icipation sociale, les perceptions sur le</w:t>
      </w:r>
      <w:r w:rsidRPr="00E628F2">
        <w:t xml:space="preserve"> nive</w:t>
      </w:r>
      <w:r>
        <w:t xml:space="preserve">au de l'ordre public / la </w:t>
      </w:r>
      <w:r w:rsidRPr="00E628F2">
        <w:t xml:space="preserve">sécurité </w:t>
      </w:r>
      <w:r>
        <w:t xml:space="preserve">publique, la participation à </w:t>
      </w:r>
      <w:r w:rsidRPr="00E628F2">
        <w:t xml:space="preserve">la culture, </w:t>
      </w:r>
      <w:r>
        <w:t>le sport, les loisirs, l'éducation,</w:t>
      </w:r>
      <w:r w:rsidRPr="00E628F2">
        <w:t xml:space="preserve"> la</w:t>
      </w:r>
      <w:r>
        <w:t xml:space="preserve"> </w:t>
      </w:r>
      <w:r w:rsidRPr="00E628F2">
        <w:t>satisfaction avec le gouvernement local, les perceptions et les points de vue sur les taxes et les taxes locales.</w:t>
      </w:r>
      <w:r>
        <w:t xml:space="preserve"> </w:t>
      </w:r>
    </w:p>
    <w:p w14:paraId="78AB1CD4" w14:textId="77777777" w:rsidR="00F927A2" w:rsidRDefault="00F927A2" w:rsidP="00F927A2"/>
    <w:p w14:paraId="577DE95A" w14:textId="77777777" w:rsidR="00F927A2" w:rsidRPr="009523F8" w:rsidRDefault="00F927A2" w:rsidP="00E53E6F">
      <w:pPr>
        <w:pStyle w:val="Heading4"/>
        <w:numPr>
          <w:ilvl w:val="3"/>
          <w:numId w:val="45"/>
        </w:numPr>
      </w:pPr>
      <w:r>
        <w:t xml:space="preserve">Les études de l’INSEE : </w:t>
      </w:r>
      <w:r w:rsidRPr="009523F8">
        <w:t xml:space="preserve">Des indicateurs de la qualité de vie dans les territoires </w:t>
      </w:r>
    </w:p>
    <w:p w14:paraId="146DFEFC" w14:textId="77777777" w:rsidR="00F927A2" w:rsidRDefault="00F927A2" w:rsidP="00F927A2">
      <w:r w:rsidRPr="00FF7AB5">
        <w:t>Dans cette étude, la qualité de vie est abordée à travers 27 indicateurs recouvrant les dimensions suivantes : accessibilité aux équipements, culture-sports-loisirs-vie associative, éducation, égalité femmes-hommes, emploi-travail, environnement, équilibre travail-vie privée, logement, relations sociales, revenus, sa</w:t>
      </w:r>
      <w:r>
        <w:t>nté, transports, vie citoyenne.</w:t>
      </w:r>
    </w:p>
    <w:p w14:paraId="5ADBC27E" w14:textId="77777777" w:rsidR="00F927A2" w:rsidRDefault="00F927A2" w:rsidP="00F927A2">
      <w:r w:rsidRPr="00FF7AB5">
        <w:t xml:space="preserve">Le choix des indicateurs a été effectué au regard de deux critères : pertinence pour éclairer la qualité de vie dans la dimension retenue et disponibilité des données statistiques à un niveau géographique fin. </w:t>
      </w:r>
    </w:p>
    <w:p w14:paraId="477D41D2" w14:textId="77777777" w:rsidR="00F927A2" w:rsidRDefault="00F927A2" w:rsidP="00F927A2">
      <w:pPr>
        <w:pStyle w:val="Heading2"/>
        <w:numPr>
          <w:ilvl w:val="0"/>
          <w:numId w:val="0"/>
        </w:numPr>
        <w:ind w:left="851" w:hanging="851"/>
      </w:pPr>
      <w:bookmarkStart w:id="44" w:name="_Toc468189954"/>
      <w:r>
        <w:t>Annexes</w:t>
      </w:r>
      <w:bookmarkEnd w:id="44"/>
    </w:p>
    <w:p w14:paraId="2B52DF2C" w14:textId="77777777" w:rsidR="00F927A2" w:rsidRDefault="00F927A2" w:rsidP="00F927A2">
      <w:pPr>
        <w:pStyle w:val="Heading3"/>
        <w:numPr>
          <w:ilvl w:val="0"/>
          <w:numId w:val="0"/>
        </w:numPr>
        <w:ind w:left="851" w:hanging="851"/>
      </w:pPr>
      <w:bookmarkStart w:id="45" w:name="_Toc468189955"/>
      <w:r>
        <w:t>Annexe 1 : Listing des documents d’urbanisme disponibles</w:t>
      </w:r>
      <w:bookmarkEnd w:id="45"/>
    </w:p>
    <w:p w14:paraId="25485235" w14:textId="77777777" w:rsidR="00F927A2" w:rsidRPr="00B45F91" w:rsidRDefault="00F927A2" w:rsidP="00F927A2">
      <w:pPr>
        <w:pStyle w:val="Caption"/>
      </w:pPr>
      <w:r>
        <w:t xml:space="preserve">Figure </w:t>
      </w:r>
      <w:fldSimple w:instr=" SEQ Figure \* ARABIC ">
        <w:r w:rsidR="00995EB5">
          <w:rPr>
            <w:noProof/>
          </w:rPr>
          <w:t>16</w:t>
        </w:r>
      </w:fldSimple>
      <w:r>
        <w:t> : Listing des documents d’urbanisme et statut – Source préparation du 11</w:t>
      </w:r>
      <w:r w:rsidRPr="00B45F91">
        <w:rPr>
          <w:vertAlign w:val="superscript"/>
        </w:rPr>
        <w:t>ème</w:t>
      </w:r>
      <w:r>
        <w:t xml:space="preserve"> FED - Mars 2016</w:t>
      </w:r>
    </w:p>
    <w:tbl>
      <w:tblPr>
        <w:tblW w:w="5000" w:type="pct"/>
        <w:tblLayout w:type="fixed"/>
        <w:tblCellMar>
          <w:left w:w="70" w:type="dxa"/>
          <w:right w:w="70" w:type="dxa"/>
        </w:tblCellMar>
        <w:tblLook w:val="04A0" w:firstRow="1" w:lastRow="0" w:firstColumn="1" w:lastColumn="0" w:noHBand="0" w:noVBand="1"/>
      </w:tblPr>
      <w:tblGrid>
        <w:gridCol w:w="870"/>
        <w:gridCol w:w="1266"/>
        <w:gridCol w:w="1223"/>
        <w:gridCol w:w="1222"/>
        <w:gridCol w:w="1223"/>
        <w:gridCol w:w="1222"/>
        <w:gridCol w:w="1376"/>
        <w:gridCol w:w="1370"/>
      </w:tblGrid>
      <w:tr w:rsidR="00F927A2" w:rsidRPr="00645A24" w14:paraId="4F82A411" w14:textId="77777777" w:rsidTr="00F927A2">
        <w:trPr>
          <w:trHeight w:val="315"/>
          <w:tblHeader/>
        </w:trPr>
        <w:tc>
          <w:tcPr>
            <w:tcW w:w="445" w:type="pct"/>
            <w:vMerge w:val="restart"/>
            <w:tcBorders>
              <w:top w:val="single" w:sz="4" w:space="0" w:color="auto"/>
              <w:left w:val="single" w:sz="4" w:space="0" w:color="auto"/>
              <w:bottom w:val="single" w:sz="4" w:space="0" w:color="auto"/>
              <w:right w:val="single" w:sz="4" w:space="0" w:color="auto"/>
            </w:tcBorders>
            <w:shd w:val="clear" w:color="000000" w:fill="E7E6E6"/>
            <w:hideMark/>
          </w:tcPr>
          <w:p w14:paraId="62869012" w14:textId="77777777" w:rsidR="00F927A2" w:rsidRPr="00645A24" w:rsidRDefault="00F927A2" w:rsidP="00F927A2">
            <w:pPr>
              <w:jc w:val="center"/>
              <w:rPr>
                <w:rFonts w:ascii="Calibri" w:hAnsi="Calibri"/>
                <w:b/>
                <w:bCs/>
                <w:sz w:val="20"/>
              </w:rPr>
            </w:pPr>
            <w:r w:rsidRPr="00645A24">
              <w:rPr>
                <w:rFonts w:ascii="Calibri" w:hAnsi="Calibri"/>
                <w:b/>
                <w:bCs/>
                <w:sz w:val="20"/>
              </w:rPr>
              <w:t>Département</w:t>
            </w:r>
          </w:p>
        </w:tc>
        <w:tc>
          <w:tcPr>
            <w:tcW w:w="648" w:type="pct"/>
            <w:vMerge w:val="restart"/>
            <w:tcBorders>
              <w:top w:val="single" w:sz="4" w:space="0" w:color="auto"/>
              <w:left w:val="single" w:sz="4" w:space="0" w:color="auto"/>
              <w:bottom w:val="single" w:sz="4" w:space="0" w:color="auto"/>
              <w:right w:val="single" w:sz="4" w:space="0" w:color="auto"/>
            </w:tcBorders>
            <w:shd w:val="clear" w:color="000000" w:fill="E7E6E6"/>
            <w:hideMark/>
          </w:tcPr>
          <w:p w14:paraId="5F51F40E" w14:textId="77777777" w:rsidR="00F927A2" w:rsidRPr="00645A24" w:rsidRDefault="00F927A2" w:rsidP="00F927A2">
            <w:pPr>
              <w:jc w:val="center"/>
              <w:rPr>
                <w:rFonts w:ascii="Calibri" w:hAnsi="Calibri"/>
                <w:b/>
                <w:bCs/>
                <w:sz w:val="20"/>
              </w:rPr>
            </w:pPr>
            <w:r w:rsidRPr="00645A24">
              <w:rPr>
                <w:rFonts w:ascii="Calibri" w:hAnsi="Calibri"/>
                <w:b/>
                <w:bCs/>
                <w:sz w:val="20"/>
              </w:rPr>
              <w:t>Arrondissement</w:t>
            </w:r>
          </w:p>
        </w:tc>
        <w:tc>
          <w:tcPr>
            <w:tcW w:w="626" w:type="pct"/>
            <w:vMerge w:val="restart"/>
            <w:tcBorders>
              <w:top w:val="single" w:sz="4" w:space="0" w:color="auto"/>
              <w:left w:val="single" w:sz="4" w:space="0" w:color="auto"/>
              <w:bottom w:val="single" w:sz="4" w:space="0" w:color="auto"/>
              <w:right w:val="single" w:sz="4" w:space="0" w:color="auto"/>
            </w:tcBorders>
            <w:shd w:val="clear" w:color="000000" w:fill="E7E6E6"/>
            <w:hideMark/>
          </w:tcPr>
          <w:p w14:paraId="660C9E0B" w14:textId="77777777" w:rsidR="00F927A2" w:rsidRPr="00645A24" w:rsidRDefault="00F927A2" w:rsidP="00F927A2">
            <w:pPr>
              <w:jc w:val="center"/>
              <w:rPr>
                <w:rFonts w:ascii="Calibri" w:hAnsi="Calibri"/>
                <w:b/>
                <w:bCs/>
                <w:sz w:val="20"/>
              </w:rPr>
            </w:pPr>
            <w:r w:rsidRPr="00645A24">
              <w:rPr>
                <w:rFonts w:ascii="Calibri" w:hAnsi="Calibri"/>
                <w:b/>
                <w:bCs/>
                <w:sz w:val="20"/>
              </w:rPr>
              <w:t>Commune</w:t>
            </w:r>
          </w:p>
        </w:tc>
        <w:tc>
          <w:tcPr>
            <w:tcW w:w="625" w:type="pct"/>
            <w:vMerge w:val="restart"/>
            <w:tcBorders>
              <w:top w:val="single" w:sz="4" w:space="0" w:color="auto"/>
              <w:left w:val="single" w:sz="4" w:space="0" w:color="auto"/>
              <w:bottom w:val="single" w:sz="4" w:space="0" w:color="auto"/>
              <w:right w:val="single" w:sz="4" w:space="0" w:color="auto"/>
            </w:tcBorders>
            <w:shd w:val="clear" w:color="000000" w:fill="E7E6E6"/>
            <w:hideMark/>
          </w:tcPr>
          <w:p w14:paraId="0D17E77D" w14:textId="77777777" w:rsidR="00F927A2" w:rsidRPr="00645A24" w:rsidRDefault="00F927A2" w:rsidP="00F927A2">
            <w:pPr>
              <w:jc w:val="center"/>
              <w:rPr>
                <w:rFonts w:ascii="Calibri" w:hAnsi="Calibri"/>
                <w:b/>
                <w:bCs/>
                <w:color w:val="000000"/>
                <w:sz w:val="20"/>
              </w:rPr>
            </w:pPr>
            <w:r w:rsidRPr="00645A24">
              <w:rPr>
                <w:rFonts w:ascii="Calibri" w:hAnsi="Calibri"/>
                <w:b/>
                <w:bCs/>
                <w:color w:val="000000"/>
                <w:sz w:val="20"/>
              </w:rPr>
              <w:t>Titre</w:t>
            </w:r>
          </w:p>
        </w:tc>
        <w:tc>
          <w:tcPr>
            <w:tcW w:w="626" w:type="pct"/>
            <w:vMerge w:val="restart"/>
            <w:tcBorders>
              <w:top w:val="single" w:sz="4" w:space="0" w:color="auto"/>
              <w:left w:val="single" w:sz="4" w:space="0" w:color="auto"/>
              <w:bottom w:val="single" w:sz="4" w:space="0" w:color="auto"/>
              <w:right w:val="single" w:sz="4" w:space="0" w:color="auto"/>
            </w:tcBorders>
            <w:shd w:val="clear" w:color="000000" w:fill="E7E6E6"/>
            <w:hideMark/>
          </w:tcPr>
          <w:p w14:paraId="69185191" w14:textId="77777777" w:rsidR="00F927A2" w:rsidRPr="00645A24" w:rsidRDefault="00F927A2" w:rsidP="00F927A2">
            <w:pPr>
              <w:jc w:val="center"/>
              <w:rPr>
                <w:rFonts w:ascii="Calibri" w:hAnsi="Calibri"/>
                <w:b/>
                <w:bCs/>
                <w:color w:val="000000"/>
                <w:sz w:val="20"/>
              </w:rPr>
            </w:pPr>
            <w:r w:rsidRPr="00645A24">
              <w:rPr>
                <w:rFonts w:ascii="Calibri" w:hAnsi="Calibri"/>
                <w:b/>
                <w:bCs/>
                <w:color w:val="000000"/>
                <w:sz w:val="20"/>
              </w:rPr>
              <w:t>Statut</w:t>
            </w:r>
          </w:p>
        </w:tc>
        <w:tc>
          <w:tcPr>
            <w:tcW w:w="625" w:type="pct"/>
            <w:vMerge w:val="restart"/>
            <w:tcBorders>
              <w:top w:val="single" w:sz="4" w:space="0" w:color="auto"/>
              <w:left w:val="single" w:sz="4" w:space="0" w:color="auto"/>
              <w:bottom w:val="single" w:sz="4" w:space="0" w:color="auto"/>
              <w:right w:val="single" w:sz="4" w:space="0" w:color="auto"/>
            </w:tcBorders>
            <w:shd w:val="clear" w:color="000000" w:fill="E7E6E6"/>
            <w:hideMark/>
          </w:tcPr>
          <w:p w14:paraId="64FE197D" w14:textId="77777777" w:rsidR="00F927A2" w:rsidRPr="00645A24" w:rsidRDefault="00F927A2" w:rsidP="00F927A2">
            <w:pPr>
              <w:jc w:val="center"/>
              <w:rPr>
                <w:rFonts w:ascii="Calibri" w:hAnsi="Calibri"/>
                <w:b/>
                <w:bCs/>
                <w:color w:val="000000"/>
                <w:sz w:val="20"/>
              </w:rPr>
            </w:pPr>
            <w:r w:rsidRPr="00645A24">
              <w:rPr>
                <w:rFonts w:ascii="Calibri" w:hAnsi="Calibri"/>
                <w:b/>
                <w:bCs/>
                <w:color w:val="000000"/>
                <w:sz w:val="20"/>
              </w:rPr>
              <w:t>Date (considérer après 2010)</w:t>
            </w:r>
          </w:p>
        </w:tc>
        <w:tc>
          <w:tcPr>
            <w:tcW w:w="704" w:type="pct"/>
            <w:vMerge w:val="restart"/>
            <w:tcBorders>
              <w:top w:val="single" w:sz="4" w:space="0" w:color="auto"/>
              <w:left w:val="single" w:sz="4" w:space="0" w:color="auto"/>
              <w:bottom w:val="single" w:sz="4" w:space="0" w:color="auto"/>
              <w:right w:val="single" w:sz="4" w:space="0" w:color="auto"/>
            </w:tcBorders>
            <w:shd w:val="clear" w:color="000000" w:fill="E7E6E6"/>
            <w:hideMark/>
          </w:tcPr>
          <w:p w14:paraId="0324CD3F" w14:textId="77777777" w:rsidR="00F927A2" w:rsidRPr="00645A24" w:rsidRDefault="00F927A2" w:rsidP="00F927A2">
            <w:pPr>
              <w:jc w:val="center"/>
              <w:rPr>
                <w:rFonts w:ascii="Calibri" w:hAnsi="Calibri"/>
                <w:b/>
                <w:bCs/>
                <w:color w:val="000000"/>
                <w:sz w:val="20"/>
              </w:rPr>
            </w:pPr>
            <w:r w:rsidRPr="00645A24">
              <w:rPr>
                <w:rFonts w:ascii="Calibri" w:hAnsi="Calibri"/>
                <w:b/>
                <w:bCs/>
                <w:color w:val="000000"/>
                <w:sz w:val="20"/>
              </w:rPr>
              <w:t>Auteur (opérateur)</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E7E6E6"/>
            <w:hideMark/>
          </w:tcPr>
          <w:p w14:paraId="35E28E87" w14:textId="77777777" w:rsidR="00F927A2" w:rsidRPr="00645A24" w:rsidRDefault="00F927A2" w:rsidP="00F927A2">
            <w:pPr>
              <w:jc w:val="center"/>
              <w:rPr>
                <w:rFonts w:ascii="Calibri" w:hAnsi="Calibri"/>
                <w:b/>
                <w:bCs/>
                <w:color w:val="000000"/>
                <w:sz w:val="20"/>
              </w:rPr>
            </w:pPr>
            <w:r w:rsidRPr="00645A24">
              <w:rPr>
                <w:rFonts w:ascii="Calibri" w:hAnsi="Calibri"/>
                <w:b/>
                <w:bCs/>
                <w:color w:val="000000"/>
                <w:sz w:val="20"/>
              </w:rPr>
              <w:t>Financement</w:t>
            </w:r>
          </w:p>
        </w:tc>
      </w:tr>
      <w:tr w:rsidR="00F927A2" w:rsidRPr="00645A24" w14:paraId="687EB111" w14:textId="77777777" w:rsidTr="00F927A2">
        <w:trPr>
          <w:trHeight w:val="509"/>
          <w:tblHeader/>
        </w:trPr>
        <w:tc>
          <w:tcPr>
            <w:tcW w:w="445" w:type="pct"/>
            <w:vMerge/>
            <w:tcBorders>
              <w:top w:val="single" w:sz="4" w:space="0" w:color="auto"/>
              <w:left w:val="single" w:sz="4" w:space="0" w:color="auto"/>
              <w:bottom w:val="single" w:sz="4" w:space="0" w:color="auto"/>
              <w:right w:val="single" w:sz="4" w:space="0" w:color="auto"/>
            </w:tcBorders>
            <w:vAlign w:val="center"/>
            <w:hideMark/>
          </w:tcPr>
          <w:p w14:paraId="61DCF48B" w14:textId="77777777" w:rsidR="00F927A2" w:rsidRPr="00645A24" w:rsidRDefault="00F927A2" w:rsidP="00F927A2">
            <w:pPr>
              <w:jc w:val="left"/>
              <w:rPr>
                <w:rFonts w:ascii="Calibri" w:hAnsi="Calibri"/>
                <w:b/>
                <w:bCs/>
                <w:sz w:val="20"/>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14:paraId="749E6690" w14:textId="77777777" w:rsidR="00F927A2" w:rsidRPr="00645A24" w:rsidRDefault="00F927A2" w:rsidP="00F927A2">
            <w:pPr>
              <w:jc w:val="left"/>
              <w:rPr>
                <w:rFonts w:ascii="Calibri" w:hAnsi="Calibri"/>
                <w:b/>
                <w:bCs/>
                <w:sz w:val="20"/>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14:paraId="7BD19BFE" w14:textId="77777777" w:rsidR="00F927A2" w:rsidRPr="00645A24" w:rsidRDefault="00F927A2" w:rsidP="00F927A2">
            <w:pPr>
              <w:jc w:val="left"/>
              <w:rPr>
                <w:rFonts w:ascii="Calibri" w:hAnsi="Calibri"/>
                <w:b/>
                <w:bCs/>
                <w:sz w:val="20"/>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335A5EE1" w14:textId="77777777" w:rsidR="00F927A2" w:rsidRPr="00645A24" w:rsidRDefault="00F927A2" w:rsidP="00F927A2">
            <w:pPr>
              <w:rPr>
                <w:rFonts w:ascii="Calibri" w:hAnsi="Calibri"/>
                <w:b/>
                <w:bCs/>
                <w:color w:val="000000"/>
                <w:sz w:val="20"/>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14:paraId="2CF69E1A" w14:textId="77777777" w:rsidR="00F927A2" w:rsidRPr="00645A24" w:rsidRDefault="00F927A2" w:rsidP="00F927A2">
            <w:pPr>
              <w:jc w:val="left"/>
              <w:rPr>
                <w:rFonts w:ascii="Calibri" w:hAnsi="Calibri"/>
                <w:b/>
                <w:bCs/>
                <w:color w:val="000000"/>
                <w:sz w:val="20"/>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0C1C2669" w14:textId="77777777" w:rsidR="00F927A2" w:rsidRPr="00645A24" w:rsidRDefault="00F927A2" w:rsidP="00F927A2">
            <w:pPr>
              <w:jc w:val="left"/>
              <w:rPr>
                <w:rFonts w:ascii="Calibri" w:hAnsi="Calibri"/>
                <w:b/>
                <w:bCs/>
                <w:color w:val="000000"/>
                <w:sz w:val="20"/>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14:paraId="2EFA5141" w14:textId="77777777" w:rsidR="00F927A2" w:rsidRPr="00645A24" w:rsidRDefault="00F927A2" w:rsidP="00F927A2">
            <w:pPr>
              <w:jc w:val="left"/>
              <w:rPr>
                <w:rFonts w:ascii="Calibri" w:hAnsi="Calibri"/>
                <w:b/>
                <w:bCs/>
                <w:color w:val="000000"/>
                <w:sz w:val="20"/>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540BEC8D" w14:textId="77777777" w:rsidR="00F927A2" w:rsidRPr="00645A24" w:rsidRDefault="00F927A2" w:rsidP="00F927A2">
            <w:pPr>
              <w:jc w:val="left"/>
              <w:rPr>
                <w:rFonts w:ascii="Calibri" w:hAnsi="Calibri"/>
                <w:b/>
                <w:bCs/>
                <w:color w:val="000000"/>
                <w:sz w:val="20"/>
              </w:rPr>
            </w:pPr>
          </w:p>
        </w:tc>
      </w:tr>
      <w:tr w:rsidR="00F927A2" w:rsidRPr="00645A24" w14:paraId="183381C3" w14:textId="77777777" w:rsidTr="00F927A2">
        <w:trPr>
          <w:trHeight w:val="1185"/>
        </w:trPr>
        <w:tc>
          <w:tcPr>
            <w:tcW w:w="445" w:type="pct"/>
            <w:vMerge w:val="restart"/>
            <w:tcBorders>
              <w:top w:val="nil"/>
              <w:left w:val="single" w:sz="8" w:space="0" w:color="auto"/>
              <w:bottom w:val="single" w:sz="4" w:space="0" w:color="000000"/>
              <w:right w:val="single" w:sz="4" w:space="0" w:color="auto"/>
            </w:tcBorders>
            <w:shd w:val="clear" w:color="000000" w:fill="FFFFFF"/>
            <w:vAlign w:val="center"/>
            <w:hideMark/>
          </w:tcPr>
          <w:p w14:paraId="5F5BBCD4" w14:textId="77777777" w:rsidR="00F927A2" w:rsidRPr="00645A24" w:rsidRDefault="00F927A2" w:rsidP="00F927A2">
            <w:pPr>
              <w:jc w:val="center"/>
              <w:rPr>
                <w:rFonts w:ascii="Calibri" w:hAnsi="Calibri"/>
                <w:sz w:val="20"/>
              </w:rPr>
            </w:pPr>
            <w:r w:rsidRPr="00645A24">
              <w:rPr>
                <w:rFonts w:ascii="Calibri" w:hAnsi="Calibri"/>
                <w:sz w:val="20"/>
              </w:rPr>
              <w:t>Ouest</w:t>
            </w:r>
          </w:p>
        </w:tc>
        <w:tc>
          <w:tcPr>
            <w:tcW w:w="1899" w:type="pct"/>
            <w:gridSpan w:val="3"/>
            <w:tcBorders>
              <w:top w:val="single" w:sz="4" w:space="0" w:color="auto"/>
              <w:left w:val="nil"/>
              <w:bottom w:val="single" w:sz="4" w:space="0" w:color="auto"/>
              <w:right w:val="single" w:sz="4" w:space="0" w:color="000000"/>
            </w:tcBorders>
            <w:shd w:val="clear" w:color="auto" w:fill="auto"/>
            <w:vAlign w:val="center"/>
            <w:hideMark/>
          </w:tcPr>
          <w:p w14:paraId="5D68012F" w14:textId="77777777" w:rsidR="00F927A2" w:rsidRPr="00645A24" w:rsidRDefault="00F927A2" w:rsidP="00F927A2">
            <w:pPr>
              <w:rPr>
                <w:rFonts w:ascii="Calibri" w:hAnsi="Calibri"/>
                <w:color w:val="000000"/>
                <w:sz w:val="20"/>
              </w:rPr>
            </w:pPr>
            <w:r w:rsidRPr="00645A24">
              <w:rPr>
                <w:rFonts w:ascii="Calibri" w:hAnsi="Calibri"/>
                <w:color w:val="000000"/>
                <w:sz w:val="20"/>
              </w:rPr>
              <w:t>Esquisse de schéma d'aménagement pour la zone métropolitaine de Port-au-Prince (ce territoire comprend les 15 communes situées dans les 3 arrondissements de Port-au-Prince, Croix-des-Bouquets et de l’Arcahaie)</w:t>
            </w:r>
          </w:p>
        </w:tc>
        <w:tc>
          <w:tcPr>
            <w:tcW w:w="626" w:type="pct"/>
            <w:tcBorders>
              <w:top w:val="nil"/>
              <w:left w:val="nil"/>
              <w:bottom w:val="single" w:sz="4" w:space="0" w:color="auto"/>
              <w:right w:val="single" w:sz="4" w:space="0" w:color="auto"/>
            </w:tcBorders>
            <w:shd w:val="clear" w:color="auto" w:fill="auto"/>
            <w:vAlign w:val="center"/>
            <w:hideMark/>
          </w:tcPr>
          <w:p w14:paraId="7A023EB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En attente de validation</w:t>
            </w:r>
          </w:p>
        </w:tc>
        <w:tc>
          <w:tcPr>
            <w:tcW w:w="625" w:type="pct"/>
            <w:tcBorders>
              <w:top w:val="nil"/>
              <w:left w:val="nil"/>
              <w:bottom w:val="single" w:sz="4" w:space="0" w:color="auto"/>
              <w:right w:val="single" w:sz="4" w:space="0" w:color="auto"/>
            </w:tcBorders>
            <w:shd w:val="clear" w:color="auto" w:fill="auto"/>
            <w:vAlign w:val="center"/>
            <w:hideMark/>
          </w:tcPr>
          <w:p w14:paraId="432BE53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0606466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39C6BC5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FRH (PARLOQ)</w:t>
            </w:r>
          </w:p>
        </w:tc>
      </w:tr>
      <w:tr w:rsidR="00F927A2" w:rsidRPr="00645A24" w14:paraId="4A851C69" w14:textId="77777777" w:rsidTr="00F927A2">
        <w:trPr>
          <w:trHeight w:val="1620"/>
        </w:trPr>
        <w:tc>
          <w:tcPr>
            <w:tcW w:w="445" w:type="pct"/>
            <w:vMerge/>
            <w:tcBorders>
              <w:top w:val="nil"/>
              <w:left w:val="single" w:sz="8" w:space="0" w:color="auto"/>
              <w:bottom w:val="single" w:sz="4" w:space="0" w:color="000000"/>
              <w:right w:val="single" w:sz="4" w:space="0" w:color="auto"/>
            </w:tcBorders>
            <w:vAlign w:val="center"/>
            <w:hideMark/>
          </w:tcPr>
          <w:p w14:paraId="0B05E5DE" w14:textId="77777777" w:rsidR="00F927A2" w:rsidRPr="00645A24" w:rsidRDefault="00F927A2" w:rsidP="00F927A2">
            <w:pPr>
              <w:jc w:val="left"/>
              <w:rPr>
                <w:rFonts w:ascii="Calibri" w:hAnsi="Calibri"/>
                <w:sz w:val="20"/>
              </w:rPr>
            </w:pPr>
          </w:p>
        </w:tc>
        <w:tc>
          <w:tcPr>
            <w:tcW w:w="1899" w:type="pct"/>
            <w:gridSpan w:val="3"/>
            <w:tcBorders>
              <w:top w:val="single" w:sz="4" w:space="0" w:color="auto"/>
              <w:left w:val="nil"/>
              <w:bottom w:val="single" w:sz="4" w:space="0" w:color="auto"/>
              <w:right w:val="single" w:sz="4" w:space="0" w:color="000000"/>
            </w:tcBorders>
            <w:shd w:val="clear" w:color="auto" w:fill="auto"/>
            <w:vAlign w:val="center"/>
            <w:hideMark/>
          </w:tcPr>
          <w:p w14:paraId="7C5028D2" w14:textId="77777777" w:rsidR="00F927A2" w:rsidRPr="00645A24" w:rsidRDefault="00F927A2" w:rsidP="00F927A2">
            <w:pPr>
              <w:rPr>
                <w:rFonts w:ascii="Calibri" w:hAnsi="Calibri"/>
                <w:color w:val="000000"/>
                <w:sz w:val="20"/>
              </w:rPr>
            </w:pPr>
            <w:r w:rsidRPr="00645A24">
              <w:rPr>
                <w:rFonts w:ascii="Calibri" w:hAnsi="Calibri"/>
                <w:color w:val="000000"/>
                <w:sz w:val="20"/>
              </w:rPr>
              <w:t>Esquisse de plan d'urbanisme pour l'agglomération urbaine (zone urbanisée de l’ensemble métropolitain constitué par les pôles métropolitains (Pôle centre, Pôle aéroport / Tabarre, Pôle Delmas, Pôle Pétion-Ville, Pôle Carrefour et Pôle Croix-des-Bouquets) et inclut également la zone d’expansion au nord de la capitale)</w:t>
            </w:r>
          </w:p>
        </w:tc>
        <w:tc>
          <w:tcPr>
            <w:tcW w:w="626" w:type="pct"/>
            <w:tcBorders>
              <w:top w:val="nil"/>
              <w:left w:val="nil"/>
              <w:bottom w:val="single" w:sz="4" w:space="0" w:color="auto"/>
              <w:right w:val="single" w:sz="4" w:space="0" w:color="auto"/>
            </w:tcBorders>
            <w:shd w:val="clear" w:color="auto" w:fill="auto"/>
            <w:vAlign w:val="center"/>
            <w:hideMark/>
          </w:tcPr>
          <w:p w14:paraId="2A3B02D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34E7CF9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3C13882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545B382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FRH (PARLOQ)</w:t>
            </w:r>
          </w:p>
        </w:tc>
      </w:tr>
      <w:tr w:rsidR="00F927A2" w:rsidRPr="00645A24" w14:paraId="60EDCF2C" w14:textId="77777777" w:rsidTr="00F927A2">
        <w:trPr>
          <w:trHeight w:val="900"/>
        </w:trPr>
        <w:tc>
          <w:tcPr>
            <w:tcW w:w="445" w:type="pct"/>
            <w:vMerge/>
            <w:tcBorders>
              <w:top w:val="nil"/>
              <w:left w:val="single" w:sz="8" w:space="0" w:color="auto"/>
              <w:bottom w:val="single" w:sz="4" w:space="0" w:color="000000"/>
              <w:right w:val="single" w:sz="4" w:space="0" w:color="auto"/>
            </w:tcBorders>
            <w:vAlign w:val="center"/>
            <w:hideMark/>
          </w:tcPr>
          <w:p w14:paraId="6F9FBA7D"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000000"/>
              <w:right w:val="single" w:sz="4" w:space="0" w:color="auto"/>
            </w:tcBorders>
            <w:shd w:val="clear" w:color="auto" w:fill="auto"/>
            <w:vAlign w:val="center"/>
            <w:hideMark/>
          </w:tcPr>
          <w:p w14:paraId="5DC23F26" w14:textId="77777777" w:rsidR="00F927A2" w:rsidRPr="00645A24" w:rsidRDefault="00F927A2" w:rsidP="00F927A2">
            <w:pPr>
              <w:jc w:val="center"/>
              <w:rPr>
                <w:rFonts w:ascii="Calibri" w:hAnsi="Calibri"/>
                <w:sz w:val="20"/>
              </w:rPr>
            </w:pPr>
            <w:r w:rsidRPr="00645A24">
              <w:rPr>
                <w:rFonts w:ascii="Calibri" w:hAnsi="Calibri"/>
                <w:sz w:val="20"/>
              </w:rPr>
              <w:t>Port-au-Prince</w:t>
            </w:r>
          </w:p>
        </w:tc>
        <w:tc>
          <w:tcPr>
            <w:tcW w:w="626" w:type="pct"/>
            <w:vMerge w:val="restart"/>
            <w:tcBorders>
              <w:top w:val="nil"/>
              <w:left w:val="single" w:sz="4" w:space="0" w:color="auto"/>
              <w:bottom w:val="single" w:sz="4" w:space="0" w:color="000000"/>
              <w:right w:val="single" w:sz="4" w:space="0" w:color="auto"/>
            </w:tcBorders>
            <w:shd w:val="clear" w:color="auto" w:fill="auto"/>
            <w:vAlign w:val="center"/>
            <w:hideMark/>
          </w:tcPr>
          <w:p w14:paraId="7FFD8AD0" w14:textId="77777777" w:rsidR="00F927A2" w:rsidRPr="00645A24" w:rsidRDefault="00F927A2" w:rsidP="00F927A2">
            <w:pPr>
              <w:jc w:val="center"/>
              <w:rPr>
                <w:rFonts w:ascii="Calibri" w:hAnsi="Calibri"/>
                <w:sz w:val="20"/>
              </w:rPr>
            </w:pPr>
            <w:r w:rsidRPr="00645A24">
              <w:rPr>
                <w:rFonts w:ascii="Calibri" w:hAnsi="Calibri"/>
                <w:sz w:val="20"/>
              </w:rPr>
              <w:t>Port-au-Prince</w:t>
            </w:r>
          </w:p>
        </w:tc>
        <w:tc>
          <w:tcPr>
            <w:tcW w:w="625" w:type="pct"/>
            <w:tcBorders>
              <w:top w:val="nil"/>
              <w:left w:val="nil"/>
              <w:bottom w:val="single" w:sz="4" w:space="0" w:color="auto"/>
              <w:right w:val="single" w:sz="4" w:space="0" w:color="auto"/>
            </w:tcBorders>
            <w:shd w:val="clear" w:color="auto" w:fill="auto"/>
            <w:vAlign w:val="center"/>
            <w:hideMark/>
          </w:tcPr>
          <w:p w14:paraId="3CC350FD"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2C06C47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Pas encore de validation municipale</w:t>
            </w:r>
          </w:p>
        </w:tc>
        <w:tc>
          <w:tcPr>
            <w:tcW w:w="625" w:type="pct"/>
            <w:tcBorders>
              <w:top w:val="nil"/>
              <w:left w:val="nil"/>
              <w:bottom w:val="single" w:sz="4" w:space="0" w:color="auto"/>
              <w:right w:val="single" w:sz="4" w:space="0" w:color="auto"/>
            </w:tcBorders>
            <w:shd w:val="clear" w:color="auto" w:fill="auto"/>
            <w:vAlign w:val="center"/>
            <w:hideMark/>
          </w:tcPr>
          <w:p w14:paraId="1AABD8C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2015</w:t>
            </w:r>
          </w:p>
        </w:tc>
        <w:tc>
          <w:tcPr>
            <w:tcW w:w="704" w:type="pct"/>
            <w:tcBorders>
              <w:top w:val="nil"/>
              <w:left w:val="nil"/>
              <w:bottom w:val="single" w:sz="4" w:space="0" w:color="auto"/>
              <w:right w:val="single" w:sz="4" w:space="0" w:color="auto"/>
            </w:tcBorders>
            <w:shd w:val="clear" w:color="auto" w:fill="auto"/>
            <w:vAlign w:val="center"/>
            <w:hideMark/>
          </w:tcPr>
          <w:p w14:paraId="4DA92CE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ATL/Groupe Trame</w:t>
            </w:r>
          </w:p>
        </w:tc>
        <w:tc>
          <w:tcPr>
            <w:tcW w:w="701" w:type="pct"/>
            <w:tcBorders>
              <w:top w:val="nil"/>
              <w:left w:val="nil"/>
              <w:bottom w:val="single" w:sz="4" w:space="0" w:color="auto"/>
              <w:right w:val="single" w:sz="4" w:space="0" w:color="auto"/>
            </w:tcBorders>
            <w:shd w:val="clear" w:color="auto" w:fill="auto"/>
            <w:vAlign w:val="center"/>
            <w:hideMark/>
          </w:tcPr>
          <w:p w14:paraId="6E2D74F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PARLOQ</w:t>
            </w:r>
          </w:p>
        </w:tc>
      </w:tr>
      <w:tr w:rsidR="00F927A2" w:rsidRPr="00645A24" w14:paraId="3847AA32" w14:textId="77777777" w:rsidTr="00F927A2">
        <w:trPr>
          <w:trHeight w:val="1200"/>
        </w:trPr>
        <w:tc>
          <w:tcPr>
            <w:tcW w:w="445" w:type="pct"/>
            <w:vMerge/>
            <w:tcBorders>
              <w:top w:val="nil"/>
              <w:left w:val="single" w:sz="8" w:space="0" w:color="auto"/>
              <w:bottom w:val="single" w:sz="4" w:space="0" w:color="000000"/>
              <w:right w:val="single" w:sz="4" w:space="0" w:color="auto"/>
            </w:tcBorders>
            <w:vAlign w:val="center"/>
            <w:hideMark/>
          </w:tcPr>
          <w:p w14:paraId="1E31ACEB"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72C3765B"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4FA069BC"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580521B2" w14:textId="77777777" w:rsidR="00F927A2" w:rsidRPr="00645A24" w:rsidRDefault="00F927A2" w:rsidP="00F927A2">
            <w:pPr>
              <w:rPr>
                <w:rFonts w:ascii="Calibri" w:hAnsi="Calibri"/>
                <w:color w:val="000000"/>
                <w:sz w:val="20"/>
              </w:rPr>
            </w:pPr>
            <w:r w:rsidRPr="00645A24">
              <w:rPr>
                <w:rFonts w:ascii="Calibri" w:hAnsi="Calibri"/>
                <w:color w:val="000000"/>
                <w:sz w:val="20"/>
              </w:rPr>
              <w:t>Schéma d'aménagement de la ZAC de Martissant</w:t>
            </w:r>
          </w:p>
        </w:tc>
        <w:tc>
          <w:tcPr>
            <w:tcW w:w="626" w:type="pct"/>
            <w:tcBorders>
              <w:top w:val="nil"/>
              <w:left w:val="nil"/>
              <w:bottom w:val="single" w:sz="4" w:space="0" w:color="auto"/>
              <w:right w:val="single" w:sz="4" w:space="0" w:color="auto"/>
            </w:tcBorders>
            <w:shd w:val="clear" w:color="auto" w:fill="auto"/>
            <w:vAlign w:val="center"/>
            <w:hideMark/>
          </w:tcPr>
          <w:p w14:paraId="57EA7FA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 CoPil programme</w:t>
            </w:r>
          </w:p>
        </w:tc>
        <w:tc>
          <w:tcPr>
            <w:tcW w:w="625" w:type="pct"/>
            <w:tcBorders>
              <w:top w:val="nil"/>
              <w:left w:val="nil"/>
              <w:bottom w:val="single" w:sz="4" w:space="0" w:color="auto"/>
              <w:right w:val="single" w:sz="4" w:space="0" w:color="auto"/>
            </w:tcBorders>
            <w:shd w:val="clear" w:color="auto" w:fill="auto"/>
            <w:vAlign w:val="center"/>
            <w:hideMark/>
          </w:tcPr>
          <w:p w14:paraId="5A31242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2012</w:t>
            </w:r>
          </w:p>
        </w:tc>
        <w:tc>
          <w:tcPr>
            <w:tcW w:w="704" w:type="pct"/>
            <w:tcBorders>
              <w:top w:val="nil"/>
              <w:left w:val="nil"/>
              <w:bottom w:val="single" w:sz="4" w:space="0" w:color="auto"/>
              <w:right w:val="single" w:sz="4" w:space="0" w:color="auto"/>
            </w:tcBorders>
            <w:shd w:val="clear" w:color="auto" w:fill="auto"/>
            <w:vAlign w:val="center"/>
            <w:hideMark/>
          </w:tcPr>
          <w:p w14:paraId="2A43F1B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FOKAL/ACT Consultants (France) / LGL (Haïti)</w:t>
            </w:r>
          </w:p>
        </w:tc>
        <w:tc>
          <w:tcPr>
            <w:tcW w:w="701" w:type="pct"/>
            <w:tcBorders>
              <w:top w:val="nil"/>
              <w:left w:val="nil"/>
              <w:bottom w:val="single" w:sz="4" w:space="0" w:color="auto"/>
              <w:right w:val="single" w:sz="4" w:space="0" w:color="auto"/>
            </w:tcBorders>
            <w:shd w:val="clear" w:color="auto" w:fill="auto"/>
            <w:vAlign w:val="center"/>
            <w:hideMark/>
          </w:tcPr>
          <w:p w14:paraId="0B9D9AC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AFD (AIQIP) / UE (PARAQ)</w:t>
            </w:r>
          </w:p>
        </w:tc>
      </w:tr>
      <w:tr w:rsidR="00F927A2" w:rsidRPr="00645A24" w14:paraId="332C6AD3" w14:textId="77777777" w:rsidTr="00F927A2">
        <w:trPr>
          <w:trHeight w:val="1200"/>
        </w:trPr>
        <w:tc>
          <w:tcPr>
            <w:tcW w:w="445" w:type="pct"/>
            <w:vMerge/>
            <w:tcBorders>
              <w:top w:val="nil"/>
              <w:left w:val="single" w:sz="8" w:space="0" w:color="auto"/>
              <w:bottom w:val="single" w:sz="4" w:space="0" w:color="000000"/>
              <w:right w:val="single" w:sz="4" w:space="0" w:color="auto"/>
            </w:tcBorders>
            <w:vAlign w:val="center"/>
            <w:hideMark/>
          </w:tcPr>
          <w:p w14:paraId="30591B34"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657567F7"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642252E8"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13D388DE" w14:textId="77777777" w:rsidR="00F927A2" w:rsidRPr="00645A24" w:rsidRDefault="00F927A2" w:rsidP="00F927A2">
            <w:pPr>
              <w:rPr>
                <w:rFonts w:ascii="Calibri" w:hAnsi="Calibri"/>
                <w:color w:val="000000"/>
                <w:sz w:val="20"/>
              </w:rPr>
            </w:pPr>
            <w:r w:rsidRPr="00645A24">
              <w:rPr>
                <w:rFonts w:ascii="Calibri" w:hAnsi="Calibri"/>
                <w:color w:val="000000"/>
                <w:sz w:val="20"/>
              </w:rPr>
              <w:t>Schéma d'aménagement du quartier de Baillergeau</w:t>
            </w:r>
          </w:p>
        </w:tc>
        <w:tc>
          <w:tcPr>
            <w:tcW w:w="626" w:type="pct"/>
            <w:tcBorders>
              <w:top w:val="nil"/>
              <w:left w:val="nil"/>
              <w:bottom w:val="single" w:sz="4" w:space="0" w:color="auto"/>
              <w:right w:val="single" w:sz="4" w:space="0" w:color="auto"/>
            </w:tcBorders>
            <w:shd w:val="clear" w:color="auto" w:fill="auto"/>
            <w:vAlign w:val="center"/>
            <w:hideMark/>
          </w:tcPr>
          <w:p w14:paraId="3536666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 CoPil programme</w:t>
            </w:r>
          </w:p>
        </w:tc>
        <w:tc>
          <w:tcPr>
            <w:tcW w:w="625" w:type="pct"/>
            <w:tcBorders>
              <w:top w:val="nil"/>
              <w:left w:val="nil"/>
              <w:bottom w:val="single" w:sz="4" w:space="0" w:color="auto"/>
              <w:right w:val="single" w:sz="4" w:space="0" w:color="auto"/>
            </w:tcBorders>
            <w:shd w:val="clear" w:color="auto" w:fill="auto"/>
            <w:vAlign w:val="center"/>
            <w:hideMark/>
          </w:tcPr>
          <w:p w14:paraId="0303F27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2012</w:t>
            </w:r>
          </w:p>
        </w:tc>
        <w:tc>
          <w:tcPr>
            <w:tcW w:w="704" w:type="pct"/>
            <w:tcBorders>
              <w:top w:val="nil"/>
              <w:left w:val="nil"/>
              <w:bottom w:val="single" w:sz="4" w:space="0" w:color="auto"/>
              <w:right w:val="single" w:sz="4" w:space="0" w:color="auto"/>
            </w:tcBorders>
            <w:shd w:val="clear" w:color="auto" w:fill="auto"/>
            <w:vAlign w:val="center"/>
            <w:hideMark/>
          </w:tcPr>
          <w:p w14:paraId="497864D0" w14:textId="77777777" w:rsidR="00F927A2" w:rsidRPr="00645A24" w:rsidRDefault="00F927A2" w:rsidP="00F927A2">
            <w:pPr>
              <w:jc w:val="center"/>
              <w:rPr>
                <w:rFonts w:ascii="Calibri" w:hAnsi="Calibri"/>
                <w:color w:val="000000"/>
                <w:sz w:val="20"/>
                <w:lang w:val="en-IE"/>
              </w:rPr>
            </w:pPr>
            <w:r w:rsidRPr="00645A24">
              <w:rPr>
                <w:rFonts w:ascii="Calibri" w:hAnsi="Calibri"/>
                <w:color w:val="000000"/>
                <w:sz w:val="20"/>
                <w:lang w:val="en-IE"/>
              </w:rPr>
              <w:t>FOKAL/GRET/ACT Consultants (France) / LGL (Haïti)</w:t>
            </w:r>
          </w:p>
        </w:tc>
        <w:tc>
          <w:tcPr>
            <w:tcW w:w="701" w:type="pct"/>
            <w:tcBorders>
              <w:top w:val="nil"/>
              <w:left w:val="nil"/>
              <w:bottom w:val="single" w:sz="4" w:space="0" w:color="auto"/>
              <w:right w:val="single" w:sz="4" w:space="0" w:color="auto"/>
            </w:tcBorders>
            <w:shd w:val="clear" w:color="auto" w:fill="auto"/>
            <w:vAlign w:val="center"/>
            <w:hideMark/>
          </w:tcPr>
          <w:p w14:paraId="2AC06D4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AFD (AIQIP) / UE (PARAQ)</w:t>
            </w:r>
          </w:p>
        </w:tc>
      </w:tr>
      <w:tr w:rsidR="00F927A2" w:rsidRPr="00645A24" w14:paraId="03BB1019" w14:textId="77777777" w:rsidTr="00F927A2">
        <w:trPr>
          <w:trHeight w:val="1200"/>
        </w:trPr>
        <w:tc>
          <w:tcPr>
            <w:tcW w:w="445" w:type="pct"/>
            <w:vMerge/>
            <w:tcBorders>
              <w:top w:val="nil"/>
              <w:left w:val="single" w:sz="8" w:space="0" w:color="auto"/>
              <w:bottom w:val="single" w:sz="4" w:space="0" w:color="000000"/>
              <w:right w:val="single" w:sz="4" w:space="0" w:color="auto"/>
            </w:tcBorders>
            <w:vAlign w:val="center"/>
            <w:hideMark/>
          </w:tcPr>
          <w:p w14:paraId="4A0ADF11"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1E1C74C8"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44B8DBD2"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02D5E5DA" w14:textId="77777777" w:rsidR="00F927A2" w:rsidRPr="00645A24" w:rsidRDefault="00F927A2" w:rsidP="00F927A2">
            <w:pPr>
              <w:rPr>
                <w:rFonts w:ascii="Calibri" w:hAnsi="Calibri"/>
                <w:color w:val="000000"/>
                <w:sz w:val="20"/>
              </w:rPr>
            </w:pPr>
            <w:r w:rsidRPr="00645A24">
              <w:rPr>
                <w:rFonts w:ascii="Calibri" w:hAnsi="Calibri"/>
                <w:color w:val="000000"/>
                <w:sz w:val="20"/>
              </w:rPr>
              <w:t>Schéma d'aménagement de Campèche</w:t>
            </w:r>
          </w:p>
        </w:tc>
        <w:tc>
          <w:tcPr>
            <w:tcW w:w="626" w:type="pct"/>
            <w:tcBorders>
              <w:top w:val="nil"/>
              <w:left w:val="nil"/>
              <w:bottom w:val="single" w:sz="4" w:space="0" w:color="auto"/>
              <w:right w:val="single" w:sz="4" w:space="0" w:color="auto"/>
            </w:tcBorders>
            <w:shd w:val="clear" w:color="auto" w:fill="auto"/>
            <w:vAlign w:val="center"/>
            <w:hideMark/>
          </w:tcPr>
          <w:p w14:paraId="62DF988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 Copil puis Comité Technique Interministériel</w:t>
            </w:r>
          </w:p>
        </w:tc>
        <w:tc>
          <w:tcPr>
            <w:tcW w:w="625" w:type="pct"/>
            <w:tcBorders>
              <w:top w:val="nil"/>
              <w:left w:val="nil"/>
              <w:bottom w:val="single" w:sz="4" w:space="0" w:color="auto"/>
              <w:right w:val="single" w:sz="4" w:space="0" w:color="auto"/>
            </w:tcBorders>
            <w:shd w:val="clear" w:color="auto" w:fill="auto"/>
            <w:vAlign w:val="center"/>
            <w:hideMark/>
          </w:tcPr>
          <w:p w14:paraId="36EABBE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66373D0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ACT/LGL puis WE(Espagne)/SPORA(Espagne)/LGL</w:t>
            </w:r>
          </w:p>
        </w:tc>
        <w:tc>
          <w:tcPr>
            <w:tcW w:w="701" w:type="pct"/>
            <w:tcBorders>
              <w:top w:val="nil"/>
              <w:left w:val="nil"/>
              <w:bottom w:val="single" w:sz="4" w:space="0" w:color="auto"/>
              <w:right w:val="single" w:sz="4" w:space="0" w:color="auto"/>
            </w:tcBorders>
            <w:shd w:val="clear" w:color="auto" w:fill="auto"/>
            <w:vAlign w:val="center"/>
            <w:hideMark/>
          </w:tcPr>
          <w:p w14:paraId="702CDA2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Croix Rouge Américaine (LAMIKA)</w:t>
            </w:r>
          </w:p>
        </w:tc>
      </w:tr>
      <w:tr w:rsidR="00F927A2" w:rsidRPr="00645A24" w14:paraId="790C9973" w14:textId="77777777" w:rsidTr="00F927A2">
        <w:trPr>
          <w:trHeight w:val="1500"/>
        </w:trPr>
        <w:tc>
          <w:tcPr>
            <w:tcW w:w="445" w:type="pct"/>
            <w:vMerge/>
            <w:tcBorders>
              <w:top w:val="nil"/>
              <w:left w:val="single" w:sz="8" w:space="0" w:color="auto"/>
              <w:bottom w:val="single" w:sz="4" w:space="0" w:color="000000"/>
              <w:right w:val="single" w:sz="4" w:space="0" w:color="auto"/>
            </w:tcBorders>
            <w:vAlign w:val="center"/>
            <w:hideMark/>
          </w:tcPr>
          <w:p w14:paraId="3A654C73"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5B32A88C"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4178FBB8"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595D9B28" w14:textId="77777777" w:rsidR="00F927A2" w:rsidRPr="00645A24" w:rsidRDefault="00F927A2" w:rsidP="00F927A2">
            <w:pPr>
              <w:rPr>
                <w:rFonts w:ascii="Calibri" w:hAnsi="Calibri"/>
                <w:color w:val="000000"/>
                <w:sz w:val="20"/>
              </w:rPr>
            </w:pPr>
            <w:r w:rsidRPr="00645A24">
              <w:rPr>
                <w:rFonts w:ascii="Calibri" w:hAnsi="Calibri"/>
                <w:color w:val="000000"/>
                <w:sz w:val="20"/>
              </w:rPr>
              <w:t>Schéma d'aménagement de Carrefour Feuille</w:t>
            </w:r>
          </w:p>
        </w:tc>
        <w:tc>
          <w:tcPr>
            <w:tcW w:w="626" w:type="pct"/>
            <w:tcBorders>
              <w:top w:val="nil"/>
              <w:left w:val="nil"/>
              <w:bottom w:val="single" w:sz="4" w:space="0" w:color="auto"/>
              <w:right w:val="single" w:sz="4" w:space="0" w:color="auto"/>
            </w:tcBorders>
            <w:shd w:val="clear" w:color="auto" w:fill="auto"/>
            <w:vAlign w:val="center"/>
            <w:hideMark/>
          </w:tcPr>
          <w:p w14:paraId="77163B2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processus validation géré par BM-PAD (pas d'acceptation du produit final)</w:t>
            </w:r>
          </w:p>
        </w:tc>
        <w:tc>
          <w:tcPr>
            <w:tcW w:w="625" w:type="pct"/>
            <w:tcBorders>
              <w:top w:val="nil"/>
              <w:left w:val="nil"/>
              <w:bottom w:val="single" w:sz="4" w:space="0" w:color="auto"/>
              <w:right w:val="single" w:sz="4" w:space="0" w:color="auto"/>
            </w:tcBorders>
            <w:shd w:val="clear" w:color="auto" w:fill="auto"/>
            <w:vAlign w:val="center"/>
            <w:hideMark/>
          </w:tcPr>
          <w:p w14:paraId="2AE8170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24C8CCC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WE/SPORA/LGL</w:t>
            </w:r>
          </w:p>
        </w:tc>
        <w:tc>
          <w:tcPr>
            <w:tcW w:w="701" w:type="pct"/>
            <w:tcBorders>
              <w:top w:val="nil"/>
              <w:left w:val="nil"/>
              <w:bottom w:val="single" w:sz="4" w:space="0" w:color="auto"/>
              <w:right w:val="single" w:sz="4" w:space="0" w:color="auto"/>
            </w:tcBorders>
            <w:shd w:val="clear" w:color="auto" w:fill="auto"/>
            <w:vAlign w:val="center"/>
            <w:hideMark/>
          </w:tcPr>
          <w:p w14:paraId="4663ADB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Banque Mondiale (PRODEPUR-Habitat)</w:t>
            </w:r>
          </w:p>
        </w:tc>
      </w:tr>
      <w:tr w:rsidR="00F927A2" w:rsidRPr="00645A24" w14:paraId="28A341B2" w14:textId="77777777" w:rsidTr="00F927A2">
        <w:trPr>
          <w:trHeight w:val="1470"/>
        </w:trPr>
        <w:tc>
          <w:tcPr>
            <w:tcW w:w="445" w:type="pct"/>
            <w:vMerge/>
            <w:tcBorders>
              <w:top w:val="nil"/>
              <w:left w:val="single" w:sz="8" w:space="0" w:color="auto"/>
              <w:bottom w:val="single" w:sz="4" w:space="0" w:color="000000"/>
              <w:right w:val="single" w:sz="4" w:space="0" w:color="auto"/>
            </w:tcBorders>
            <w:vAlign w:val="center"/>
            <w:hideMark/>
          </w:tcPr>
          <w:p w14:paraId="7367CBA8"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6FFCE809"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545E92C9"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4B320A0D" w14:textId="77777777" w:rsidR="00F927A2" w:rsidRPr="00645A24" w:rsidRDefault="00F927A2" w:rsidP="00F927A2">
            <w:pPr>
              <w:rPr>
                <w:rFonts w:ascii="Calibri" w:hAnsi="Calibri"/>
                <w:color w:val="000000"/>
                <w:sz w:val="20"/>
              </w:rPr>
            </w:pPr>
            <w:r w:rsidRPr="00645A24">
              <w:rPr>
                <w:rFonts w:ascii="Calibri" w:hAnsi="Calibri"/>
                <w:color w:val="000000"/>
                <w:sz w:val="20"/>
              </w:rPr>
              <w:t>Schéma d'aménagement du quartier de Christ-Roi</w:t>
            </w:r>
          </w:p>
        </w:tc>
        <w:tc>
          <w:tcPr>
            <w:tcW w:w="626" w:type="pct"/>
            <w:tcBorders>
              <w:top w:val="nil"/>
              <w:left w:val="nil"/>
              <w:bottom w:val="single" w:sz="4" w:space="0" w:color="auto"/>
              <w:right w:val="single" w:sz="4" w:space="0" w:color="auto"/>
            </w:tcBorders>
            <w:shd w:val="clear" w:color="auto" w:fill="auto"/>
            <w:vAlign w:val="center"/>
            <w:hideMark/>
          </w:tcPr>
          <w:p w14:paraId="59B8772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 Comité Technique Interministériel</w:t>
            </w:r>
          </w:p>
        </w:tc>
        <w:tc>
          <w:tcPr>
            <w:tcW w:w="625" w:type="pct"/>
            <w:tcBorders>
              <w:top w:val="nil"/>
              <w:left w:val="nil"/>
              <w:bottom w:val="single" w:sz="4" w:space="0" w:color="auto"/>
              <w:right w:val="single" w:sz="4" w:space="0" w:color="auto"/>
            </w:tcBorders>
            <w:shd w:val="clear" w:color="auto" w:fill="auto"/>
            <w:vAlign w:val="center"/>
            <w:hideMark/>
          </w:tcPr>
          <w:p w14:paraId="14C0ED1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48553D5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Solidarités International/ Fondation Architectes de l'Urgence</w:t>
            </w:r>
          </w:p>
        </w:tc>
        <w:tc>
          <w:tcPr>
            <w:tcW w:w="701" w:type="pct"/>
            <w:tcBorders>
              <w:top w:val="nil"/>
              <w:left w:val="nil"/>
              <w:bottom w:val="single" w:sz="4" w:space="0" w:color="auto"/>
              <w:right w:val="single" w:sz="4" w:space="0" w:color="auto"/>
            </w:tcBorders>
            <w:shd w:val="clear" w:color="auto" w:fill="auto"/>
            <w:vAlign w:val="center"/>
            <w:hideMark/>
          </w:tcPr>
          <w:p w14:paraId="091FEBB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UE (PARAQ)</w:t>
            </w:r>
          </w:p>
        </w:tc>
      </w:tr>
      <w:tr w:rsidR="00F927A2" w:rsidRPr="00645A24" w14:paraId="469A91C4" w14:textId="77777777" w:rsidTr="00F927A2">
        <w:trPr>
          <w:trHeight w:val="900"/>
        </w:trPr>
        <w:tc>
          <w:tcPr>
            <w:tcW w:w="445" w:type="pct"/>
            <w:vMerge/>
            <w:tcBorders>
              <w:top w:val="nil"/>
              <w:left w:val="single" w:sz="8" w:space="0" w:color="auto"/>
              <w:bottom w:val="single" w:sz="4" w:space="0" w:color="000000"/>
              <w:right w:val="single" w:sz="4" w:space="0" w:color="auto"/>
            </w:tcBorders>
            <w:vAlign w:val="center"/>
            <w:hideMark/>
          </w:tcPr>
          <w:p w14:paraId="1A1C1E8F"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43CD2612"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303A5D60"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4A1D07BD" w14:textId="77777777" w:rsidR="00F927A2" w:rsidRPr="00645A24" w:rsidRDefault="00F927A2" w:rsidP="00F927A2">
            <w:pPr>
              <w:rPr>
                <w:rFonts w:ascii="Calibri" w:hAnsi="Calibri"/>
                <w:color w:val="000000"/>
                <w:sz w:val="20"/>
              </w:rPr>
            </w:pPr>
            <w:r w:rsidRPr="00645A24">
              <w:rPr>
                <w:rFonts w:ascii="Calibri" w:hAnsi="Calibri"/>
                <w:color w:val="000000"/>
                <w:sz w:val="20"/>
              </w:rPr>
              <w:t>Schéma d'aménagement du quartier de Grand Ravine</w:t>
            </w:r>
          </w:p>
        </w:tc>
        <w:tc>
          <w:tcPr>
            <w:tcW w:w="626" w:type="pct"/>
            <w:tcBorders>
              <w:top w:val="nil"/>
              <w:left w:val="nil"/>
              <w:bottom w:val="single" w:sz="4" w:space="0" w:color="auto"/>
              <w:right w:val="single" w:sz="4" w:space="0" w:color="auto"/>
            </w:tcBorders>
            <w:shd w:val="clear" w:color="auto" w:fill="auto"/>
            <w:vAlign w:val="center"/>
            <w:hideMark/>
          </w:tcPr>
          <w:p w14:paraId="56BEABA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 Comité Technique Interministériel</w:t>
            </w:r>
          </w:p>
        </w:tc>
        <w:tc>
          <w:tcPr>
            <w:tcW w:w="625" w:type="pct"/>
            <w:tcBorders>
              <w:top w:val="nil"/>
              <w:left w:val="nil"/>
              <w:bottom w:val="single" w:sz="4" w:space="0" w:color="auto"/>
              <w:right w:val="single" w:sz="4" w:space="0" w:color="auto"/>
            </w:tcBorders>
            <w:shd w:val="clear" w:color="auto" w:fill="auto"/>
            <w:vAlign w:val="center"/>
            <w:hideMark/>
          </w:tcPr>
          <w:p w14:paraId="6BCC4F9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2014</w:t>
            </w:r>
          </w:p>
        </w:tc>
        <w:tc>
          <w:tcPr>
            <w:tcW w:w="704" w:type="pct"/>
            <w:tcBorders>
              <w:top w:val="nil"/>
              <w:left w:val="nil"/>
              <w:bottom w:val="single" w:sz="4" w:space="0" w:color="auto"/>
              <w:right w:val="single" w:sz="4" w:space="0" w:color="auto"/>
            </w:tcBorders>
            <w:shd w:val="clear" w:color="auto" w:fill="auto"/>
            <w:vAlign w:val="center"/>
            <w:hideMark/>
          </w:tcPr>
          <w:p w14:paraId="1816C5A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xml:space="preserve">Concern/ Architecture for Humanity </w:t>
            </w:r>
          </w:p>
        </w:tc>
        <w:tc>
          <w:tcPr>
            <w:tcW w:w="701" w:type="pct"/>
            <w:tcBorders>
              <w:top w:val="nil"/>
              <w:left w:val="nil"/>
              <w:bottom w:val="single" w:sz="4" w:space="0" w:color="auto"/>
              <w:right w:val="single" w:sz="4" w:space="0" w:color="auto"/>
            </w:tcBorders>
            <w:shd w:val="clear" w:color="auto" w:fill="auto"/>
            <w:vAlign w:val="center"/>
            <w:hideMark/>
          </w:tcPr>
          <w:p w14:paraId="3CA9512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UE (PARAQ)</w:t>
            </w:r>
          </w:p>
        </w:tc>
      </w:tr>
      <w:tr w:rsidR="00F927A2" w:rsidRPr="00645A24" w14:paraId="106FAF8F" w14:textId="77777777" w:rsidTr="00F927A2">
        <w:trPr>
          <w:trHeight w:val="600"/>
        </w:trPr>
        <w:tc>
          <w:tcPr>
            <w:tcW w:w="445" w:type="pct"/>
            <w:vMerge/>
            <w:tcBorders>
              <w:top w:val="nil"/>
              <w:left w:val="single" w:sz="8" w:space="0" w:color="auto"/>
              <w:bottom w:val="single" w:sz="4" w:space="0" w:color="000000"/>
              <w:right w:val="single" w:sz="4" w:space="0" w:color="auto"/>
            </w:tcBorders>
            <w:vAlign w:val="center"/>
            <w:hideMark/>
          </w:tcPr>
          <w:p w14:paraId="32D6F52E"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7B88AB8A" w14:textId="77777777" w:rsidR="00F927A2" w:rsidRPr="00645A24" w:rsidRDefault="00F927A2" w:rsidP="00F927A2">
            <w:pPr>
              <w:jc w:val="left"/>
              <w:rPr>
                <w:rFonts w:ascii="Calibri" w:hAnsi="Calibri"/>
                <w:sz w:val="20"/>
              </w:rPr>
            </w:pPr>
          </w:p>
        </w:tc>
        <w:tc>
          <w:tcPr>
            <w:tcW w:w="62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529D86D" w14:textId="77777777" w:rsidR="00F927A2" w:rsidRPr="00645A24" w:rsidRDefault="00F927A2" w:rsidP="00F927A2">
            <w:pPr>
              <w:jc w:val="center"/>
              <w:rPr>
                <w:rFonts w:ascii="Calibri" w:hAnsi="Calibri"/>
                <w:sz w:val="20"/>
              </w:rPr>
            </w:pPr>
            <w:r w:rsidRPr="00645A24">
              <w:rPr>
                <w:rFonts w:ascii="Calibri" w:hAnsi="Calibri"/>
                <w:sz w:val="20"/>
              </w:rPr>
              <w:t>Carrefour</w:t>
            </w:r>
          </w:p>
        </w:tc>
        <w:tc>
          <w:tcPr>
            <w:tcW w:w="625" w:type="pct"/>
            <w:tcBorders>
              <w:top w:val="nil"/>
              <w:left w:val="nil"/>
              <w:bottom w:val="single" w:sz="4" w:space="0" w:color="auto"/>
              <w:right w:val="single" w:sz="4" w:space="0" w:color="auto"/>
            </w:tcBorders>
            <w:shd w:val="clear" w:color="auto" w:fill="auto"/>
            <w:vAlign w:val="center"/>
            <w:hideMark/>
          </w:tcPr>
          <w:p w14:paraId="71609AD9"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 + Plan d'Investissement Municipal</w:t>
            </w:r>
          </w:p>
        </w:tc>
        <w:tc>
          <w:tcPr>
            <w:tcW w:w="626" w:type="pct"/>
            <w:tcBorders>
              <w:top w:val="nil"/>
              <w:left w:val="nil"/>
              <w:bottom w:val="single" w:sz="4" w:space="0" w:color="auto"/>
              <w:right w:val="single" w:sz="4" w:space="0" w:color="auto"/>
            </w:tcBorders>
            <w:shd w:val="clear" w:color="auto" w:fill="auto"/>
            <w:vAlign w:val="center"/>
            <w:hideMark/>
          </w:tcPr>
          <w:p w14:paraId="22215B1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74B0365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2011</w:t>
            </w:r>
          </w:p>
        </w:tc>
        <w:tc>
          <w:tcPr>
            <w:tcW w:w="704" w:type="pct"/>
            <w:tcBorders>
              <w:top w:val="nil"/>
              <w:left w:val="nil"/>
              <w:bottom w:val="single" w:sz="4" w:space="0" w:color="auto"/>
              <w:right w:val="single" w:sz="4" w:space="0" w:color="auto"/>
            </w:tcBorders>
            <w:shd w:val="clear" w:color="auto" w:fill="auto"/>
            <w:vAlign w:val="center"/>
            <w:hideMark/>
          </w:tcPr>
          <w:p w14:paraId="27211E7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LOKAL (TetraTech)</w:t>
            </w:r>
          </w:p>
        </w:tc>
        <w:tc>
          <w:tcPr>
            <w:tcW w:w="701" w:type="pct"/>
            <w:tcBorders>
              <w:top w:val="nil"/>
              <w:left w:val="nil"/>
              <w:bottom w:val="single" w:sz="4" w:space="0" w:color="auto"/>
              <w:right w:val="single" w:sz="4" w:space="0" w:color="auto"/>
            </w:tcBorders>
            <w:shd w:val="clear" w:color="auto" w:fill="auto"/>
            <w:vAlign w:val="center"/>
            <w:hideMark/>
          </w:tcPr>
          <w:p w14:paraId="3C9A8F1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5C94F7A2" w14:textId="77777777" w:rsidTr="00F927A2">
        <w:trPr>
          <w:trHeight w:val="1200"/>
        </w:trPr>
        <w:tc>
          <w:tcPr>
            <w:tcW w:w="445" w:type="pct"/>
            <w:vMerge/>
            <w:tcBorders>
              <w:top w:val="nil"/>
              <w:left w:val="single" w:sz="8" w:space="0" w:color="auto"/>
              <w:bottom w:val="single" w:sz="4" w:space="0" w:color="000000"/>
              <w:right w:val="single" w:sz="4" w:space="0" w:color="auto"/>
            </w:tcBorders>
            <w:vAlign w:val="center"/>
            <w:hideMark/>
          </w:tcPr>
          <w:p w14:paraId="27AECAC1"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77A524BA"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157EF2E0"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4238463B" w14:textId="77777777" w:rsidR="00F927A2" w:rsidRPr="00645A24" w:rsidRDefault="00F927A2" w:rsidP="00F927A2">
            <w:pPr>
              <w:rPr>
                <w:rFonts w:ascii="Calibri" w:hAnsi="Calibri"/>
                <w:color w:val="000000"/>
                <w:sz w:val="20"/>
              </w:rPr>
            </w:pPr>
            <w:r w:rsidRPr="00645A24">
              <w:rPr>
                <w:rFonts w:ascii="Calibri" w:hAnsi="Calibri"/>
                <w:color w:val="000000"/>
                <w:sz w:val="20"/>
              </w:rPr>
              <w:t>Plan de Financement des Services Publics Communaux (PFC)</w:t>
            </w:r>
          </w:p>
        </w:tc>
        <w:tc>
          <w:tcPr>
            <w:tcW w:w="626" w:type="pct"/>
            <w:tcBorders>
              <w:top w:val="nil"/>
              <w:left w:val="nil"/>
              <w:bottom w:val="single" w:sz="4" w:space="0" w:color="auto"/>
              <w:right w:val="single" w:sz="4" w:space="0" w:color="auto"/>
            </w:tcBorders>
            <w:shd w:val="clear" w:color="auto" w:fill="auto"/>
            <w:vAlign w:val="center"/>
            <w:hideMark/>
          </w:tcPr>
          <w:p w14:paraId="03EB0A8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6AFF55E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2015</w:t>
            </w:r>
          </w:p>
        </w:tc>
        <w:tc>
          <w:tcPr>
            <w:tcW w:w="704" w:type="pct"/>
            <w:tcBorders>
              <w:top w:val="nil"/>
              <w:left w:val="nil"/>
              <w:bottom w:val="single" w:sz="4" w:space="0" w:color="auto"/>
              <w:right w:val="single" w:sz="4" w:space="0" w:color="auto"/>
            </w:tcBorders>
            <w:shd w:val="clear" w:color="auto" w:fill="auto"/>
            <w:vAlign w:val="center"/>
            <w:hideMark/>
          </w:tcPr>
          <w:p w14:paraId="6090351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LOKAL+ (TetraTech) + Group InterConsult</w:t>
            </w:r>
          </w:p>
        </w:tc>
        <w:tc>
          <w:tcPr>
            <w:tcW w:w="701" w:type="pct"/>
            <w:tcBorders>
              <w:top w:val="nil"/>
              <w:left w:val="nil"/>
              <w:bottom w:val="single" w:sz="4" w:space="0" w:color="auto"/>
              <w:right w:val="single" w:sz="4" w:space="0" w:color="auto"/>
            </w:tcBorders>
            <w:shd w:val="clear" w:color="auto" w:fill="auto"/>
            <w:vAlign w:val="center"/>
            <w:hideMark/>
          </w:tcPr>
          <w:p w14:paraId="1752BFC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4AF5A275" w14:textId="77777777" w:rsidTr="00F927A2">
        <w:trPr>
          <w:trHeight w:val="900"/>
        </w:trPr>
        <w:tc>
          <w:tcPr>
            <w:tcW w:w="445" w:type="pct"/>
            <w:vMerge/>
            <w:tcBorders>
              <w:top w:val="nil"/>
              <w:left w:val="single" w:sz="8" w:space="0" w:color="auto"/>
              <w:bottom w:val="single" w:sz="4" w:space="0" w:color="000000"/>
              <w:right w:val="single" w:sz="4" w:space="0" w:color="auto"/>
            </w:tcBorders>
            <w:vAlign w:val="center"/>
            <w:hideMark/>
          </w:tcPr>
          <w:p w14:paraId="59ECEBB9"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711C0B4B"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5BEA3C72"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441DD986"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482ECA0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Pas encore de validation municipale</w:t>
            </w:r>
          </w:p>
        </w:tc>
        <w:tc>
          <w:tcPr>
            <w:tcW w:w="625" w:type="pct"/>
            <w:tcBorders>
              <w:top w:val="nil"/>
              <w:left w:val="nil"/>
              <w:bottom w:val="single" w:sz="4" w:space="0" w:color="auto"/>
              <w:right w:val="single" w:sz="4" w:space="0" w:color="auto"/>
            </w:tcBorders>
            <w:shd w:val="clear" w:color="auto" w:fill="auto"/>
            <w:vAlign w:val="center"/>
            <w:hideMark/>
          </w:tcPr>
          <w:p w14:paraId="4609ABB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2015</w:t>
            </w:r>
          </w:p>
        </w:tc>
        <w:tc>
          <w:tcPr>
            <w:tcW w:w="704" w:type="pct"/>
            <w:tcBorders>
              <w:top w:val="nil"/>
              <w:left w:val="nil"/>
              <w:bottom w:val="single" w:sz="4" w:space="0" w:color="auto"/>
              <w:right w:val="single" w:sz="4" w:space="0" w:color="auto"/>
            </w:tcBorders>
            <w:shd w:val="clear" w:color="auto" w:fill="auto"/>
            <w:vAlign w:val="center"/>
            <w:hideMark/>
          </w:tcPr>
          <w:p w14:paraId="7C0E3DC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ATL/IFOS</w:t>
            </w:r>
          </w:p>
        </w:tc>
        <w:tc>
          <w:tcPr>
            <w:tcW w:w="701" w:type="pct"/>
            <w:tcBorders>
              <w:top w:val="nil"/>
              <w:left w:val="nil"/>
              <w:bottom w:val="single" w:sz="4" w:space="0" w:color="auto"/>
              <w:right w:val="single" w:sz="4" w:space="0" w:color="auto"/>
            </w:tcBorders>
            <w:shd w:val="clear" w:color="auto" w:fill="auto"/>
            <w:vAlign w:val="center"/>
            <w:hideMark/>
          </w:tcPr>
          <w:p w14:paraId="496536D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PARLOQ</w:t>
            </w:r>
          </w:p>
        </w:tc>
      </w:tr>
      <w:tr w:rsidR="00F927A2" w:rsidRPr="00645A24" w14:paraId="58E72844" w14:textId="77777777" w:rsidTr="00F927A2">
        <w:trPr>
          <w:trHeight w:val="1290"/>
        </w:trPr>
        <w:tc>
          <w:tcPr>
            <w:tcW w:w="445" w:type="pct"/>
            <w:vMerge/>
            <w:tcBorders>
              <w:top w:val="nil"/>
              <w:left w:val="single" w:sz="8" w:space="0" w:color="auto"/>
              <w:bottom w:val="single" w:sz="4" w:space="0" w:color="000000"/>
              <w:right w:val="single" w:sz="4" w:space="0" w:color="auto"/>
            </w:tcBorders>
            <w:vAlign w:val="center"/>
            <w:hideMark/>
          </w:tcPr>
          <w:p w14:paraId="4C663FDD"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09ACE791"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493C56D4"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2ADBE2DA" w14:textId="77777777" w:rsidR="00F927A2" w:rsidRPr="00645A24" w:rsidRDefault="00F927A2" w:rsidP="00F927A2">
            <w:pPr>
              <w:rPr>
                <w:rFonts w:ascii="Calibri" w:hAnsi="Calibri"/>
                <w:color w:val="000000"/>
                <w:sz w:val="20"/>
              </w:rPr>
            </w:pPr>
            <w:r w:rsidRPr="00645A24">
              <w:rPr>
                <w:rFonts w:ascii="Calibri" w:hAnsi="Calibri"/>
                <w:color w:val="000000"/>
                <w:sz w:val="20"/>
              </w:rPr>
              <w:t>Schéma d'aménagement des quartiers de Ti-Sous, La Grenade et Sapotille</w:t>
            </w:r>
          </w:p>
        </w:tc>
        <w:tc>
          <w:tcPr>
            <w:tcW w:w="626" w:type="pct"/>
            <w:tcBorders>
              <w:top w:val="nil"/>
              <w:left w:val="nil"/>
              <w:bottom w:val="single" w:sz="4" w:space="0" w:color="auto"/>
              <w:right w:val="single" w:sz="4" w:space="0" w:color="auto"/>
            </w:tcBorders>
            <w:shd w:val="clear" w:color="auto" w:fill="auto"/>
            <w:vAlign w:val="center"/>
            <w:hideMark/>
          </w:tcPr>
          <w:p w14:paraId="509A84E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 Comité Technique Interministériel</w:t>
            </w:r>
          </w:p>
        </w:tc>
        <w:tc>
          <w:tcPr>
            <w:tcW w:w="625" w:type="pct"/>
            <w:tcBorders>
              <w:top w:val="nil"/>
              <w:left w:val="nil"/>
              <w:bottom w:val="single" w:sz="4" w:space="0" w:color="auto"/>
              <w:right w:val="single" w:sz="4" w:space="0" w:color="auto"/>
            </w:tcBorders>
            <w:shd w:val="clear" w:color="auto" w:fill="auto"/>
            <w:vAlign w:val="center"/>
            <w:hideMark/>
          </w:tcPr>
          <w:p w14:paraId="52E8BB1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2014</w:t>
            </w:r>
          </w:p>
        </w:tc>
        <w:tc>
          <w:tcPr>
            <w:tcW w:w="704" w:type="pct"/>
            <w:tcBorders>
              <w:top w:val="nil"/>
              <w:left w:val="nil"/>
              <w:bottom w:val="single" w:sz="4" w:space="0" w:color="auto"/>
              <w:right w:val="single" w:sz="4" w:space="0" w:color="auto"/>
            </w:tcBorders>
            <w:shd w:val="clear" w:color="auto" w:fill="auto"/>
            <w:vAlign w:val="center"/>
            <w:hideMark/>
          </w:tcPr>
          <w:p w14:paraId="455DB41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Concern/ Fondation Architectes de l'Urgence</w:t>
            </w:r>
          </w:p>
        </w:tc>
        <w:tc>
          <w:tcPr>
            <w:tcW w:w="701" w:type="pct"/>
            <w:tcBorders>
              <w:top w:val="nil"/>
              <w:left w:val="nil"/>
              <w:bottom w:val="single" w:sz="4" w:space="0" w:color="auto"/>
              <w:right w:val="single" w:sz="4" w:space="0" w:color="auto"/>
            </w:tcBorders>
            <w:shd w:val="clear" w:color="auto" w:fill="auto"/>
            <w:vAlign w:val="center"/>
            <w:hideMark/>
          </w:tcPr>
          <w:p w14:paraId="36D3080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UE (PARAQ)</w:t>
            </w:r>
          </w:p>
        </w:tc>
      </w:tr>
      <w:tr w:rsidR="00F927A2" w:rsidRPr="00645A24" w14:paraId="2910808B" w14:textId="77777777" w:rsidTr="00F927A2">
        <w:trPr>
          <w:trHeight w:val="1200"/>
        </w:trPr>
        <w:tc>
          <w:tcPr>
            <w:tcW w:w="445" w:type="pct"/>
            <w:vMerge/>
            <w:tcBorders>
              <w:top w:val="nil"/>
              <w:left w:val="single" w:sz="8" w:space="0" w:color="auto"/>
              <w:bottom w:val="single" w:sz="4" w:space="0" w:color="000000"/>
              <w:right w:val="single" w:sz="4" w:space="0" w:color="auto"/>
            </w:tcBorders>
            <w:vAlign w:val="center"/>
            <w:hideMark/>
          </w:tcPr>
          <w:p w14:paraId="370095FD"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2C86EA38" w14:textId="77777777" w:rsidR="00F927A2" w:rsidRPr="00645A24" w:rsidRDefault="00F927A2" w:rsidP="00F927A2">
            <w:pPr>
              <w:jc w:val="left"/>
              <w:rPr>
                <w:rFonts w:ascii="Calibri" w:hAnsi="Calibri"/>
                <w:sz w:val="20"/>
              </w:rPr>
            </w:pPr>
          </w:p>
        </w:tc>
        <w:tc>
          <w:tcPr>
            <w:tcW w:w="62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ED441FB" w14:textId="77777777" w:rsidR="00F927A2" w:rsidRPr="00645A24" w:rsidRDefault="00F927A2" w:rsidP="00F927A2">
            <w:pPr>
              <w:jc w:val="center"/>
              <w:rPr>
                <w:rFonts w:ascii="Calibri" w:hAnsi="Calibri"/>
                <w:sz w:val="20"/>
              </w:rPr>
            </w:pPr>
            <w:r w:rsidRPr="00645A24">
              <w:rPr>
                <w:rFonts w:ascii="Calibri" w:hAnsi="Calibri"/>
                <w:sz w:val="20"/>
              </w:rPr>
              <w:t>Delmas</w:t>
            </w:r>
          </w:p>
        </w:tc>
        <w:tc>
          <w:tcPr>
            <w:tcW w:w="625" w:type="pct"/>
            <w:tcBorders>
              <w:top w:val="nil"/>
              <w:left w:val="nil"/>
              <w:bottom w:val="single" w:sz="4" w:space="0" w:color="auto"/>
              <w:right w:val="single" w:sz="4" w:space="0" w:color="auto"/>
            </w:tcBorders>
            <w:shd w:val="clear" w:color="auto" w:fill="auto"/>
            <w:vAlign w:val="center"/>
            <w:hideMark/>
          </w:tcPr>
          <w:p w14:paraId="3FF419A4" w14:textId="77777777" w:rsidR="00F927A2" w:rsidRPr="00645A24" w:rsidRDefault="00F927A2" w:rsidP="00F927A2">
            <w:pPr>
              <w:rPr>
                <w:rFonts w:ascii="Calibri" w:hAnsi="Calibri"/>
                <w:color w:val="000000"/>
                <w:sz w:val="20"/>
              </w:rPr>
            </w:pPr>
            <w:r w:rsidRPr="00645A24">
              <w:rPr>
                <w:rFonts w:ascii="Calibri" w:hAnsi="Calibri"/>
                <w:color w:val="000000"/>
                <w:sz w:val="20"/>
              </w:rPr>
              <w:t>Plan de Financement des Services Publics Communaux (PFC)</w:t>
            </w:r>
          </w:p>
        </w:tc>
        <w:tc>
          <w:tcPr>
            <w:tcW w:w="626" w:type="pct"/>
            <w:tcBorders>
              <w:top w:val="nil"/>
              <w:left w:val="nil"/>
              <w:bottom w:val="single" w:sz="4" w:space="0" w:color="auto"/>
              <w:right w:val="single" w:sz="4" w:space="0" w:color="auto"/>
            </w:tcBorders>
            <w:shd w:val="clear" w:color="auto" w:fill="auto"/>
            <w:vAlign w:val="center"/>
            <w:hideMark/>
          </w:tcPr>
          <w:p w14:paraId="1288922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1C5BB96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2014</w:t>
            </w:r>
          </w:p>
        </w:tc>
        <w:tc>
          <w:tcPr>
            <w:tcW w:w="704" w:type="pct"/>
            <w:tcBorders>
              <w:top w:val="nil"/>
              <w:left w:val="nil"/>
              <w:bottom w:val="single" w:sz="4" w:space="0" w:color="auto"/>
              <w:right w:val="single" w:sz="4" w:space="0" w:color="auto"/>
            </w:tcBorders>
            <w:shd w:val="clear" w:color="auto" w:fill="auto"/>
            <w:vAlign w:val="center"/>
            <w:hideMark/>
          </w:tcPr>
          <w:p w14:paraId="05E3CEE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LOKAL+ (TetraTech) + Group InterConsult</w:t>
            </w:r>
          </w:p>
        </w:tc>
        <w:tc>
          <w:tcPr>
            <w:tcW w:w="701" w:type="pct"/>
            <w:tcBorders>
              <w:top w:val="nil"/>
              <w:left w:val="nil"/>
              <w:bottom w:val="single" w:sz="4" w:space="0" w:color="auto"/>
              <w:right w:val="single" w:sz="4" w:space="0" w:color="auto"/>
            </w:tcBorders>
            <w:shd w:val="clear" w:color="auto" w:fill="auto"/>
            <w:vAlign w:val="center"/>
            <w:hideMark/>
          </w:tcPr>
          <w:p w14:paraId="0F862A4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3EB04EA3" w14:textId="77777777" w:rsidTr="00F927A2">
        <w:trPr>
          <w:trHeight w:val="900"/>
        </w:trPr>
        <w:tc>
          <w:tcPr>
            <w:tcW w:w="445" w:type="pct"/>
            <w:vMerge/>
            <w:tcBorders>
              <w:top w:val="nil"/>
              <w:left w:val="single" w:sz="8" w:space="0" w:color="auto"/>
              <w:bottom w:val="single" w:sz="4" w:space="0" w:color="000000"/>
              <w:right w:val="single" w:sz="4" w:space="0" w:color="auto"/>
            </w:tcBorders>
            <w:vAlign w:val="center"/>
            <w:hideMark/>
          </w:tcPr>
          <w:p w14:paraId="7920286A"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61BB5521"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6ABDBF1C"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0C597323"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5EA2B0A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Pas encore de validation municipale</w:t>
            </w:r>
          </w:p>
        </w:tc>
        <w:tc>
          <w:tcPr>
            <w:tcW w:w="625" w:type="pct"/>
            <w:tcBorders>
              <w:top w:val="nil"/>
              <w:left w:val="nil"/>
              <w:bottom w:val="single" w:sz="4" w:space="0" w:color="auto"/>
              <w:right w:val="single" w:sz="4" w:space="0" w:color="auto"/>
            </w:tcBorders>
            <w:shd w:val="clear" w:color="auto" w:fill="auto"/>
            <w:vAlign w:val="center"/>
            <w:hideMark/>
          </w:tcPr>
          <w:p w14:paraId="225FAD3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2015</w:t>
            </w:r>
          </w:p>
        </w:tc>
        <w:tc>
          <w:tcPr>
            <w:tcW w:w="704" w:type="pct"/>
            <w:tcBorders>
              <w:top w:val="nil"/>
              <w:left w:val="nil"/>
              <w:bottom w:val="single" w:sz="4" w:space="0" w:color="auto"/>
              <w:right w:val="single" w:sz="4" w:space="0" w:color="auto"/>
            </w:tcBorders>
            <w:shd w:val="clear" w:color="auto" w:fill="auto"/>
            <w:vAlign w:val="center"/>
            <w:hideMark/>
          </w:tcPr>
          <w:p w14:paraId="4B84F9C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ATL/Groupe Trame</w:t>
            </w:r>
          </w:p>
        </w:tc>
        <w:tc>
          <w:tcPr>
            <w:tcW w:w="701" w:type="pct"/>
            <w:tcBorders>
              <w:top w:val="nil"/>
              <w:left w:val="nil"/>
              <w:bottom w:val="single" w:sz="4" w:space="0" w:color="auto"/>
              <w:right w:val="single" w:sz="4" w:space="0" w:color="auto"/>
            </w:tcBorders>
            <w:shd w:val="clear" w:color="auto" w:fill="auto"/>
            <w:vAlign w:val="center"/>
            <w:hideMark/>
          </w:tcPr>
          <w:p w14:paraId="47706A7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PARLOQ</w:t>
            </w:r>
          </w:p>
        </w:tc>
      </w:tr>
      <w:tr w:rsidR="00F927A2" w:rsidRPr="00645A24" w14:paraId="1E6435C7" w14:textId="77777777" w:rsidTr="00F927A2">
        <w:trPr>
          <w:trHeight w:val="1200"/>
        </w:trPr>
        <w:tc>
          <w:tcPr>
            <w:tcW w:w="445" w:type="pct"/>
            <w:vMerge/>
            <w:tcBorders>
              <w:top w:val="nil"/>
              <w:left w:val="single" w:sz="8" w:space="0" w:color="auto"/>
              <w:bottom w:val="single" w:sz="4" w:space="0" w:color="000000"/>
              <w:right w:val="single" w:sz="4" w:space="0" w:color="auto"/>
            </w:tcBorders>
            <w:vAlign w:val="center"/>
            <w:hideMark/>
          </w:tcPr>
          <w:p w14:paraId="0CC5980A"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13665C6D"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58F47C31"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364D3F4A" w14:textId="77777777" w:rsidR="00F927A2" w:rsidRPr="00645A24" w:rsidRDefault="00F927A2" w:rsidP="00F927A2">
            <w:pPr>
              <w:rPr>
                <w:rFonts w:ascii="Calibri" w:hAnsi="Calibri"/>
                <w:color w:val="000000"/>
                <w:sz w:val="20"/>
              </w:rPr>
            </w:pPr>
            <w:r w:rsidRPr="00645A24">
              <w:rPr>
                <w:rFonts w:ascii="Calibri" w:hAnsi="Calibri"/>
                <w:color w:val="000000"/>
                <w:sz w:val="20"/>
              </w:rPr>
              <w:t>Plan d’Urbanisme Opérationnel pour Delmas 32</w:t>
            </w:r>
          </w:p>
        </w:tc>
        <w:tc>
          <w:tcPr>
            <w:tcW w:w="626" w:type="pct"/>
            <w:tcBorders>
              <w:top w:val="nil"/>
              <w:left w:val="nil"/>
              <w:bottom w:val="single" w:sz="4" w:space="0" w:color="auto"/>
              <w:right w:val="single" w:sz="4" w:space="0" w:color="auto"/>
            </w:tcBorders>
            <w:shd w:val="clear" w:color="auto" w:fill="auto"/>
            <w:vAlign w:val="center"/>
            <w:hideMark/>
          </w:tcPr>
          <w:p w14:paraId="4C81CB6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625" w:type="pct"/>
            <w:tcBorders>
              <w:top w:val="nil"/>
              <w:left w:val="nil"/>
              <w:bottom w:val="single" w:sz="4" w:space="0" w:color="auto"/>
              <w:right w:val="single" w:sz="4" w:space="0" w:color="auto"/>
            </w:tcBorders>
            <w:shd w:val="clear" w:color="auto" w:fill="auto"/>
            <w:vAlign w:val="center"/>
            <w:hideMark/>
          </w:tcPr>
          <w:p w14:paraId="2A65203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2012</w:t>
            </w:r>
          </w:p>
        </w:tc>
        <w:tc>
          <w:tcPr>
            <w:tcW w:w="704" w:type="pct"/>
            <w:tcBorders>
              <w:top w:val="nil"/>
              <w:left w:val="nil"/>
              <w:bottom w:val="single" w:sz="4" w:space="0" w:color="auto"/>
              <w:right w:val="single" w:sz="4" w:space="0" w:color="auto"/>
            </w:tcBorders>
            <w:shd w:val="clear" w:color="auto" w:fill="auto"/>
            <w:vAlign w:val="center"/>
            <w:hideMark/>
          </w:tcPr>
          <w:p w14:paraId="0492744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Sodade (Haïti) puis révision par Architecture et développement</w:t>
            </w:r>
          </w:p>
        </w:tc>
        <w:tc>
          <w:tcPr>
            <w:tcW w:w="701" w:type="pct"/>
            <w:tcBorders>
              <w:top w:val="nil"/>
              <w:left w:val="nil"/>
              <w:bottom w:val="single" w:sz="4" w:space="0" w:color="auto"/>
              <w:right w:val="single" w:sz="4" w:space="0" w:color="auto"/>
            </w:tcBorders>
            <w:shd w:val="clear" w:color="auto" w:fill="auto"/>
            <w:vAlign w:val="center"/>
            <w:hideMark/>
          </w:tcPr>
          <w:p w14:paraId="01831FB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Banque Mondiale (PRODEPUR)</w:t>
            </w:r>
          </w:p>
        </w:tc>
      </w:tr>
      <w:tr w:rsidR="00F927A2" w:rsidRPr="00645A24" w14:paraId="39337662" w14:textId="77777777" w:rsidTr="00F927A2">
        <w:trPr>
          <w:trHeight w:val="1500"/>
        </w:trPr>
        <w:tc>
          <w:tcPr>
            <w:tcW w:w="445" w:type="pct"/>
            <w:vMerge/>
            <w:tcBorders>
              <w:top w:val="nil"/>
              <w:left w:val="single" w:sz="8" w:space="0" w:color="auto"/>
              <w:bottom w:val="single" w:sz="4" w:space="0" w:color="000000"/>
              <w:right w:val="single" w:sz="4" w:space="0" w:color="auto"/>
            </w:tcBorders>
            <w:vAlign w:val="center"/>
            <w:hideMark/>
          </w:tcPr>
          <w:p w14:paraId="056FD0AA"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2DA4BFAC"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2459E445"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2796DE6E" w14:textId="77777777" w:rsidR="00F927A2" w:rsidRPr="00645A24" w:rsidRDefault="00F927A2" w:rsidP="00F927A2">
            <w:pPr>
              <w:rPr>
                <w:rFonts w:ascii="Calibri" w:hAnsi="Calibri"/>
                <w:color w:val="000000"/>
                <w:sz w:val="20"/>
              </w:rPr>
            </w:pPr>
            <w:r w:rsidRPr="00645A24">
              <w:rPr>
                <w:rFonts w:ascii="Calibri" w:hAnsi="Calibri"/>
                <w:color w:val="000000"/>
                <w:sz w:val="20"/>
              </w:rPr>
              <w:t>Schéma d'aménagement des quartiers de Delmas 7, 9, 11 et 13</w:t>
            </w:r>
          </w:p>
        </w:tc>
        <w:tc>
          <w:tcPr>
            <w:tcW w:w="626" w:type="pct"/>
            <w:tcBorders>
              <w:top w:val="nil"/>
              <w:left w:val="nil"/>
              <w:bottom w:val="single" w:sz="4" w:space="0" w:color="auto"/>
              <w:right w:val="single" w:sz="4" w:space="0" w:color="auto"/>
            </w:tcBorders>
            <w:shd w:val="clear" w:color="auto" w:fill="auto"/>
            <w:vAlign w:val="center"/>
            <w:hideMark/>
          </w:tcPr>
          <w:p w14:paraId="61DFFC5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 sous réserves par le Comité Technique Interministériel</w:t>
            </w:r>
          </w:p>
        </w:tc>
        <w:tc>
          <w:tcPr>
            <w:tcW w:w="625" w:type="pct"/>
            <w:tcBorders>
              <w:top w:val="nil"/>
              <w:left w:val="nil"/>
              <w:bottom w:val="single" w:sz="4" w:space="0" w:color="auto"/>
              <w:right w:val="single" w:sz="4" w:space="0" w:color="auto"/>
            </w:tcBorders>
            <w:shd w:val="clear" w:color="auto" w:fill="auto"/>
            <w:vAlign w:val="center"/>
            <w:hideMark/>
          </w:tcPr>
          <w:p w14:paraId="68E1482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2014</w:t>
            </w:r>
          </w:p>
        </w:tc>
        <w:tc>
          <w:tcPr>
            <w:tcW w:w="704" w:type="pct"/>
            <w:tcBorders>
              <w:top w:val="nil"/>
              <w:left w:val="nil"/>
              <w:bottom w:val="single" w:sz="4" w:space="0" w:color="auto"/>
              <w:right w:val="single" w:sz="4" w:space="0" w:color="auto"/>
            </w:tcBorders>
            <w:shd w:val="clear" w:color="auto" w:fill="auto"/>
            <w:vAlign w:val="center"/>
            <w:hideMark/>
          </w:tcPr>
          <w:p w14:paraId="259AB3F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Croix Rouge Française/ Croix Rouge Haïtienne</w:t>
            </w:r>
          </w:p>
        </w:tc>
        <w:tc>
          <w:tcPr>
            <w:tcW w:w="701" w:type="pct"/>
            <w:tcBorders>
              <w:top w:val="nil"/>
              <w:left w:val="nil"/>
              <w:bottom w:val="single" w:sz="4" w:space="0" w:color="auto"/>
              <w:right w:val="single" w:sz="4" w:space="0" w:color="auto"/>
            </w:tcBorders>
            <w:shd w:val="clear" w:color="auto" w:fill="auto"/>
            <w:vAlign w:val="center"/>
            <w:hideMark/>
          </w:tcPr>
          <w:p w14:paraId="3AF7383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UE (PARAQ)</w:t>
            </w:r>
          </w:p>
        </w:tc>
      </w:tr>
      <w:tr w:rsidR="00F927A2" w:rsidRPr="00645A24" w14:paraId="27CBE67B" w14:textId="77777777" w:rsidTr="00F927A2">
        <w:trPr>
          <w:trHeight w:val="900"/>
        </w:trPr>
        <w:tc>
          <w:tcPr>
            <w:tcW w:w="445" w:type="pct"/>
            <w:vMerge/>
            <w:tcBorders>
              <w:top w:val="nil"/>
              <w:left w:val="single" w:sz="8" w:space="0" w:color="auto"/>
              <w:bottom w:val="single" w:sz="4" w:space="0" w:color="000000"/>
              <w:right w:val="single" w:sz="4" w:space="0" w:color="auto"/>
            </w:tcBorders>
            <w:vAlign w:val="center"/>
            <w:hideMark/>
          </w:tcPr>
          <w:p w14:paraId="06516B7E"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7C9564BC"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0A4687B2" w14:textId="77777777" w:rsidR="00F927A2" w:rsidRPr="00645A24" w:rsidRDefault="00F927A2" w:rsidP="00F927A2">
            <w:pPr>
              <w:jc w:val="center"/>
              <w:rPr>
                <w:rFonts w:ascii="Calibri" w:hAnsi="Calibri"/>
                <w:sz w:val="20"/>
              </w:rPr>
            </w:pPr>
            <w:r w:rsidRPr="00645A24">
              <w:rPr>
                <w:rFonts w:ascii="Calibri" w:hAnsi="Calibri"/>
                <w:sz w:val="20"/>
              </w:rPr>
              <w:t>Pétionville</w:t>
            </w:r>
          </w:p>
        </w:tc>
        <w:tc>
          <w:tcPr>
            <w:tcW w:w="625" w:type="pct"/>
            <w:tcBorders>
              <w:top w:val="nil"/>
              <w:left w:val="nil"/>
              <w:bottom w:val="single" w:sz="4" w:space="0" w:color="auto"/>
              <w:right w:val="single" w:sz="4" w:space="0" w:color="auto"/>
            </w:tcBorders>
            <w:shd w:val="clear" w:color="auto" w:fill="auto"/>
            <w:vAlign w:val="center"/>
            <w:hideMark/>
          </w:tcPr>
          <w:p w14:paraId="4ED073D5"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2DF886C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Pas encore de validation municipale</w:t>
            </w:r>
          </w:p>
        </w:tc>
        <w:tc>
          <w:tcPr>
            <w:tcW w:w="625" w:type="pct"/>
            <w:tcBorders>
              <w:top w:val="nil"/>
              <w:left w:val="nil"/>
              <w:bottom w:val="single" w:sz="4" w:space="0" w:color="auto"/>
              <w:right w:val="single" w:sz="4" w:space="0" w:color="auto"/>
            </w:tcBorders>
            <w:shd w:val="clear" w:color="auto" w:fill="auto"/>
            <w:vAlign w:val="center"/>
            <w:hideMark/>
          </w:tcPr>
          <w:p w14:paraId="32563B7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2015</w:t>
            </w:r>
          </w:p>
        </w:tc>
        <w:tc>
          <w:tcPr>
            <w:tcW w:w="704" w:type="pct"/>
            <w:tcBorders>
              <w:top w:val="nil"/>
              <w:left w:val="nil"/>
              <w:bottom w:val="single" w:sz="4" w:space="0" w:color="auto"/>
              <w:right w:val="single" w:sz="4" w:space="0" w:color="auto"/>
            </w:tcBorders>
            <w:shd w:val="clear" w:color="auto" w:fill="auto"/>
            <w:vAlign w:val="center"/>
            <w:hideMark/>
          </w:tcPr>
          <w:p w14:paraId="3133CAD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ATL/Groupe Trame</w:t>
            </w:r>
          </w:p>
        </w:tc>
        <w:tc>
          <w:tcPr>
            <w:tcW w:w="701" w:type="pct"/>
            <w:tcBorders>
              <w:top w:val="nil"/>
              <w:left w:val="nil"/>
              <w:bottom w:val="single" w:sz="4" w:space="0" w:color="auto"/>
              <w:right w:val="single" w:sz="4" w:space="0" w:color="auto"/>
            </w:tcBorders>
            <w:shd w:val="clear" w:color="auto" w:fill="auto"/>
            <w:vAlign w:val="center"/>
            <w:hideMark/>
          </w:tcPr>
          <w:p w14:paraId="2AF8D9E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PARLOQ</w:t>
            </w:r>
          </w:p>
        </w:tc>
      </w:tr>
      <w:tr w:rsidR="00F927A2" w:rsidRPr="00645A24" w14:paraId="1656D4BF"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5455D0AD"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7B336E70" w14:textId="77777777" w:rsidR="00F927A2" w:rsidRPr="00645A24" w:rsidRDefault="00F927A2" w:rsidP="00F927A2">
            <w:pPr>
              <w:jc w:val="left"/>
              <w:rPr>
                <w:rFonts w:ascii="Calibri" w:hAnsi="Calibri"/>
                <w:sz w:val="20"/>
              </w:rPr>
            </w:pPr>
          </w:p>
        </w:tc>
        <w:tc>
          <w:tcPr>
            <w:tcW w:w="62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F20A69C" w14:textId="77777777" w:rsidR="00F927A2" w:rsidRPr="00645A24" w:rsidRDefault="00F927A2" w:rsidP="00F927A2">
            <w:pPr>
              <w:jc w:val="center"/>
              <w:rPr>
                <w:rFonts w:ascii="Calibri" w:hAnsi="Calibri"/>
                <w:sz w:val="20"/>
              </w:rPr>
            </w:pPr>
            <w:r w:rsidRPr="00645A24">
              <w:rPr>
                <w:rFonts w:ascii="Calibri" w:hAnsi="Calibri"/>
                <w:sz w:val="20"/>
              </w:rPr>
              <w:t>Kenscoff</w:t>
            </w:r>
          </w:p>
        </w:tc>
        <w:tc>
          <w:tcPr>
            <w:tcW w:w="625" w:type="pct"/>
            <w:tcBorders>
              <w:top w:val="nil"/>
              <w:left w:val="nil"/>
              <w:bottom w:val="single" w:sz="4" w:space="0" w:color="auto"/>
              <w:right w:val="single" w:sz="4" w:space="0" w:color="auto"/>
            </w:tcBorders>
            <w:shd w:val="clear" w:color="auto" w:fill="auto"/>
            <w:vAlign w:val="center"/>
            <w:hideMark/>
          </w:tcPr>
          <w:p w14:paraId="22A4AC7B"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22799D4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2E92DE1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anté 2012</w:t>
            </w:r>
          </w:p>
        </w:tc>
        <w:tc>
          <w:tcPr>
            <w:tcW w:w="704" w:type="pct"/>
            <w:tcBorders>
              <w:top w:val="nil"/>
              <w:left w:val="nil"/>
              <w:bottom w:val="single" w:sz="4" w:space="0" w:color="auto"/>
              <w:right w:val="single" w:sz="4" w:space="0" w:color="auto"/>
            </w:tcBorders>
            <w:shd w:val="clear" w:color="auto" w:fill="auto"/>
            <w:vAlign w:val="center"/>
            <w:hideMark/>
          </w:tcPr>
          <w:p w14:paraId="5360096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GAFE</w:t>
            </w:r>
          </w:p>
        </w:tc>
        <w:tc>
          <w:tcPr>
            <w:tcW w:w="701" w:type="pct"/>
            <w:tcBorders>
              <w:top w:val="nil"/>
              <w:left w:val="nil"/>
              <w:bottom w:val="single" w:sz="4" w:space="0" w:color="auto"/>
              <w:right w:val="single" w:sz="4" w:space="0" w:color="auto"/>
            </w:tcBorders>
            <w:shd w:val="clear" w:color="auto" w:fill="auto"/>
            <w:vAlign w:val="center"/>
            <w:hideMark/>
          </w:tcPr>
          <w:p w14:paraId="265497F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UE</w:t>
            </w:r>
          </w:p>
        </w:tc>
      </w:tr>
      <w:tr w:rsidR="00F927A2" w:rsidRPr="00645A24" w14:paraId="1CA776B9" w14:textId="77777777" w:rsidTr="00F927A2">
        <w:trPr>
          <w:trHeight w:val="1200"/>
        </w:trPr>
        <w:tc>
          <w:tcPr>
            <w:tcW w:w="445" w:type="pct"/>
            <w:vMerge/>
            <w:tcBorders>
              <w:top w:val="nil"/>
              <w:left w:val="single" w:sz="8" w:space="0" w:color="auto"/>
              <w:bottom w:val="single" w:sz="4" w:space="0" w:color="000000"/>
              <w:right w:val="single" w:sz="4" w:space="0" w:color="auto"/>
            </w:tcBorders>
            <w:vAlign w:val="center"/>
            <w:hideMark/>
          </w:tcPr>
          <w:p w14:paraId="1C2C5A16"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6C88C865"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567CB2B1"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08E00EA4" w14:textId="77777777" w:rsidR="00F927A2" w:rsidRPr="00645A24" w:rsidRDefault="00F927A2" w:rsidP="00F927A2">
            <w:pPr>
              <w:rPr>
                <w:rFonts w:ascii="Calibri" w:hAnsi="Calibri"/>
                <w:color w:val="000000"/>
                <w:sz w:val="20"/>
              </w:rPr>
            </w:pPr>
            <w:r w:rsidRPr="00645A24">
              <w:rPr>
                <w:rFonts w:ascii="Calibri" w:hAnsi="Calibri"/>
                <w:color w:val="000000"/>
                <w:sz w:val="20"/>
              </w:rPr>
              <w:t>Plan de Financement des Services Publics Communaux (PFC)</w:t>
            </w:r>
          </w:p>
        </w:tc>
        <w:tc>
          <w:tcPr>
            <w:tcW w:w="626" w:type="pct"/>
            <w:tcBorders>
              <w:top w:val="nil"/>
              <w:left w:val="nil"/>
              <w:bottom w:val="single" w:sz="4" w:space="0" w:color="auto"/>
              <w:right w:val="single" w:sz="4" w:space="0" w:color="auto"/>
            </w:tcBorders>
            <w:shd w:val="clear" w:color="auto" w:fill="auto"/>
            <w:vAlign w:val="center"/>
            <w:hideMark/>
          </w:tcPr>
          <w:p w14:paraId="169E50F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5295E89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2015</w:t>
            </w:r>
          </w:p>
        </w:tc>
        <w:tc>
          <w:tcPr>
            <w:tcW w:w="704" w:type="pct"/>
            <w:tcBorders>
              <w:top w:val="nil"/>
              <w:left w:val="nil"/>
              <w:bottom w:val="single" w:sz="4" w:space="0" w:color="auto"/>
              <w:right w:val="single" w:sz="4" w:space="0" w:color="auto"/>
            </w:tcBorders>
            <w:shd w:val="clear" w:color="auto" w:fill="auto"/>
            <w:vAlign w:val="center"/>
            <w:hideMark/>
          </w:tcPr>
          <w:p w14:paraId="5C085A7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LOKAL+ (TetraTech) + Group InterConsult</w:t>
            </w:r>
          </w:p>
        </w:tc>
        <w:tc>
          <w:tcPr>
            <w:tcW w:w="701" w:type="pct"/>
            <w:tcBorders>
              <w:top w:val="nil"/>
              <w:left w:val="nil"/>
              <w:bottom w:val="single" w:sz="4" w:space="0" w:color="auto"/>
              <w:right w:val="single" w:sz="4" w:space="0" w:color="auto"/>
            </w:tcBorders>
            <w:shd w:val="clear" w:color="auto" w:fill="auto"/>
            <w:vAlign w:val="center"/>
            <w:hideMark/>
          </w:tcPr>
          <w:p w14:paraId="47838C3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1E2EC509" w14:textId="77777777" w:rsidTr="00F927A2">
        <w:trPr>
          <w:trHeight w:val="900"/>
        </w:trPr>
        <w:tc>
          <w:tcPr>
            <w:tcW w:w="445" w:type="pct"/>
            <w:vMerge/>
            <w:tcBorders>
              <w:top w:val="nil"/>
              <w:left w:val="single" w:sz="8" w:space="0" w:color="auto"/>
              <w:bottom w:val="single" w:sz="4" w:space="0" w:color="000000"/>
              <w:right w:val="single" w:sz="4" w:space="0" w:color="auto"/>
            </w:tcBorders>
            <w:vAlign w:val="center"/>
            <w:hideMark/>
          </w:tcPr>
          <w:p w14:paraId="5F824F07"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251EA5BF"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23C960F0" w14:textId="77777777" w:rsidR="00F927A2" w:rsidRPr="00645A24" w:rsidRDefault="00F927A2" w:rsidP="00F927A2">
            <w:pPr>
              <w:jc w:val="center"/>
              <w:rPr>
                <w:rFonts w:ascii="Calibri" w:hAnsi="Calibri"/>
                <w:sz w:val="20"/>
              </w:rPr>
            </w:pPr>
            <w:r w:rsidRPr="00645A24">
              <w:rPr>
                <w:rFonts w:ascii="Calibri" w:hAnsi="Calibri"/>
                <w:sz w:val="20"/>
              </w:rPr>
              <w:t>Cité Soleil</w:t>
            </w:r>
          </w:p>
        </w:tc>
        <w:tc>
          <w:tcPr>
            <w:tcW w:w="625" w:type="pct"/>
            <w:tcBorders>
              <w:top w:val="nil"/>
              <w:left w:val="nil"/>
              <w:bottom w:val="single" w:sz="4" w:space="0" w:color="auto"/>
              <w:right w:val="single" w:sz="4" w:space="0" w:color="auto"/>
            </w:tcBorders>
            <w:shd w:val="clear" w:color="auto" w:fill="auto"/>
            <w:vAlign w:val="center"/>
            <w:hideMark/>
          </w:tcPr>
          <w:p w14:paraId="7F9894C6"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1B907BF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Pas encore de validation municipale</w:t>
            </w:r>
          </w:p>
        </w:tc>
        <w:tc>
          <w:tcPr>
            <w:tcW w:w="625" w:type="pct"/>
            <w:tcBorders>
              <w:top w:val="nil"/>
              <w:left w:val="nil"/>
              <w:bottom w:val="single" w:sz="4" w:space="0" w:color="auto"/>
              <w:right w:val="single" w:sz="4" w:space="0" w:color="auto"/>
            </w:tcBorders>
            <w:shd w:val="clear" w:color="auto" w:fill="auto"/>
            <w:vAlign w:val="center"/>
            <w:hideMark/>
          </w:tcPr>
          <w:p w14:paraId="10F0C5A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2015</w:t>
            </w:r>
          </w:p>
        </w:tc>
        <w:tc>
          <w:tcPr>
            <w:tcW w:w="704" w:type="pct"/>
            <w:tcBorders>
              <w:top w:val="nil"/>
              <w:left w:val="nil"/>
              <w:bottom w:val="single" w:sz="4" w:space="0" w:color="auto"/>
              <w:right w:val="single" w:sz="4" w:space="0" w:color="auto"/>
            </w:tcBorders>
            <w:shd w:val="clear" w:color="auto" w:fill="auto"/>
            <w:vAlign w:val="center"/>
            <w:hideMark/>
          </w:tcPr>
          <w:p w14:paraId="7FDBEC2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ATL/CHERGODD</w:t>
            </w:r>
          </w:p>
        </w:tc>
        <w:tc>
          <w:tcPr>
            <w:tcW w:w="701" w:type="pct"/>
            <w:tcBorders>
              <w:top w:val="nil"/>
              <w:left w:val="nil"/>
              <w:bottom w:val="single" w:sz="4" w:space="0" w:color="auto"/>
              <w:right w:val="single" w:sz="4" w:space="0" w:color="auto"/>
            </w:tcBorders>
            <w:shd w:val="clear" w:color="auto" w:fill="auto"/>
            <w:vAlign w:val="center"/>
            <w:hideMark/>
          </w:tcPr>
          <w:p w14:paraId="32FFE63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PARLOQ</w:t>
            </w:r>
          </w:p>
        </w:tc>
      </w:tr>
      <w:tr w:rsidR="00F927A2" w:rsidRPr="00645A24" w14:paraId="103B0644" w14:textId="77777777" w:rsidTr="00F927A2">
        <w:trPr>
          <w:trHeight w:val="1800"/>
        </w:trPr>
        <w:tc>
          <w:tcPr>
            <w:tcW w:w="445" w:type="pct"/>
            <w:vMerge/>
            <w:tcBorders>
              <w:top w:val="nil"/>
              <w:left w:val="single" w:sz="8" w:space="0" w:color="auto"/>
              <w:bottom w:val="single" w:sz="4" w:space="0" w:color="000000"/>
              <w:right w:val="single" w:sz="4" w:space="0" w:color="auto"/>
            </w:tcBorders>
            <w:vAlign w:val="center"/>
            <w:hideMark/>
          </w:tcPr>
          <w:p w14:paraId="0349BEF1"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3F2EE0C4"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0471A869" w14:textId="77777777" w:rsidR="00F927A2" w:rsidRPr="00645A24" w:rsidRDefault="00F927A2" w:rsidP="00F927A2">
            <w:pPr>
              <w:jc w:val="center"/>
              <w:rPr>
                <w:rFonts w:ascii="Calibri" w:hAnsi="Calibri"/>
                <w:sz w:val="20"/>
              </w:rPr>
            </w:pPr>
            <w:r w:rsidRPr="00645A24">
              <w:rPr>
                <w:rFonts w:ascii="Calibri" w:hAnsi="Calibri"/>
                <w:sz w:val="20"/>
              </w:rPr>
              <w:t>Gressier</w:t>
            </w:r>
          </w:p>
        </w:tc>
        <w:tc>
          <w:tcPr>
            <w:tcW w:w="625" w:type="pct"/>
            <w:tcBorders>
              <w:top w:val="nil"/>
              <w:left w:val="nil"/>
              <w:bottom w:val="single" w:sz="4" w:space="0" w:color="auto"/>
              <w:right w:val="single" w:sz="4" w:space="0" w:color="auto"/>
            </w:tcBorders>
            <w:shd w:val="clear" w:color="auto" w:fill="auto"/>
            <w:vAlign w:val="center"/>
            <w:hideMark/>
          </w:tcPr>
          <w:p w14:paraId="17566929" w14:textId="77777777" w:rsidR="00F927A2" w:rsidRPr="00645A24" w:rsidRDefault="00F927A2" w:rsidP="00F927A2">
            <w:pPr>
              <w:rPr>
                <w:rFonts w:ascii="Calibri" w:hAnsi="Calibri"/>
                <w:color w:val="000000"/>
                <w:sz w:val="20"/>
              </w:rPr>
            </w:pPr>
            <w:r w:rsidRPr="00645A24">
              <w:rPr>
                <w:rFonts w:ascii="Calibri" w:hAnsi="Calibri"/>
                <w:color w:val="000000"/>
                <w:sz w:val="20"/>
              </w:rPr>
              <w:t>Plan d'urbanisme sommaire (PUS) + Plan d'investissement associé</w:t>
            </w:r>
          </w:p>
        </w:tc>
        <w:tc>
          <w:tcPr>
            <w:tcW w:w="626" w:type="pct"/>
            <w:tcBorders>
              <w:top w:val="nil"/>
              <w:left w:val="nil"/>
              <w:bottom w:val="single" w:sz="4" w:space="0" w:color="auto"/>
              <w:right w:val="single" w:sz="4" w:space="0" w:color="auto"/>
            </w:tcBorders>
            <w:shd w:val="clear" w:color="auto" w:fill="auto"/>
            <w:vAlign w:val="center"/>
            <w:hideMark/>
          </w:tcPr>
          <w:p w14:paraId="690D196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xml:space="preserve">Validé par arrêté par Conseil municipal et transmit à l'Etat Central pour validation </w:t>
            </w:r>
          </w:p>
        </w:tc>
        <w:tc>
          <w:tcPr>
            <w:tcW w:w="625" w:type="pct"/>
            <w:tcBorders>
              <w:top w:val="nil"/>
              <w:left w:val="nil"/>
              <w:bottom w:val="single" w:sz="4" w:space="0" w:color="auto"/>
              <w:right w:val="single" w:sz="4" w:space="0" w:color="auto"/>
            </w:tcBorders>
            <w:shd w:val="clear" w:color="auto" w:fill="auto"/>
            <w:vAlign w:val="center"/>
            <w:hideMark/>
          </w:tcPr>
          <w:p w14:paraId="369406D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2012</w:t>
            </w:r>
          </w:p>
        </w:tc>
        <w:tc>
          <w:tcPr>
            <w:tcW w:w="704" w:type="pct"/>
            <w:tcBorders>
              <w:top w:val="nil"/>
              <w:left w:val="nil"/>
              <w:bottom w:val="single" w:sz="4" w:space="0" w:color="auto"/>
              <w:right w:val="single" w:sz="4" w:space="0" w:color="auto"/>
            </w:tcBorders>
            <w:shd w:val="clear" w:color="auto" w:fill="auto"/>
            <w:vAlign w:val="center"/>
            <w:hideMark/>
          </w:tcPr>
          <w:p w14:paraId="67D6529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DATIP</w:t>
            </w:r>
          </w:p>
        </w:tc>
        <w:tc>
          <w:tcPr>
            <w:tcW w:w="701" w:type="pct"/>
            <w:tcBorders>
              <w:top w:val="nil"/>
              <w:left w:val="nil"/>
              <w:bottom w:val="single" w:sz="4" w:space="0" w:color="auto"/>
              <w:right w:val="single" w:sz="4" w:space="0" w:color="auto"/>
            </w:tcBorders>
            <w:shd w:val="clear" w:color="auto" w:fill="auto"/>
            <w:vAlign w:val="center"/>
            <w:hideMark/>
          </w:tcPr>
          <w:p w14:paraId="242A924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Fédération canadienne des municipalités</w:t>
            </w:r>
          </w:p>
        </w:tc>
      </w:tr>
      <w:tr w:rsidR="00F927A2" w:rsidRPr="00645A24" w14:paraId="33B49A39" w14:textId="77777777" w:rsidTr="00F927A2">
        <w:trPr>
          <w:trHeight w:val="900"/>
        </w:trPr>
        <w:tc>
          <w:tcPr>
            <w:tcW w:w="445" w:type="pct"/>
            <w:vMerge/>
            <w:tcBorders>
              <w:top w:val="nil"/>
              <w:left w:val="single" w:sz="8" w:space="0" w:color="auto"/>
              <w:bottom w:val="single" w:sz="4" w:space="0" w:color="000000"/>
              <w:right w:val="single" w:sz="4" w:space="0" w:color="auto"/>
            </w:tcBorders>
            <w:vAlign w:val="center"/>
            <w:hideMark/>
          </w:tcPr>
          <w:p w14:paraId="436C08F6"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22A0B04B"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0997E871" w14:textId="77777777" w:rsidR="00F927A2" w:rsidRPr="00645A24" w:rsidRDefault="00F927A2" w:rsidP="00F927A2">
            <w:pPr>
              <w:jc w:val="center"/>
              <w:rPr>
                <w:rFonts w:ascii="Calibri" w:hAnsi="Calibri"/>
                <w:sz w:val="20"/>
              </w:rPr>
            </w:pPr>
            <w:r w:rsidRPr="00645A24">
              <w:rPr>
                <w:rFonts w:ascii="Calibri" w:hAnsi="Calibri"/>
                <w:sz w:val="20"/>
              </w:rPr>
              <w:t>Tabarre</w:t>
            </w:r>
          </w:p>
        </w:tc>
        <w:tc>
          <w:tcPr>
            <w:tcW w:w="625" w:type="pct"/>
            <w:tcBorders>
              <w:top w:val="nil"/>
              <w:left w:val="nil"/>
              <w:bottom w:val="single" w:sz="4" w:space="0" w:color="auto"/>
              <w:right w:val="single" w:sz="4" w:space="0" w:color="auto"/>
            </w:tcBorders>
            <w:shd w:val="clear" w:color="auto" w:fill="auto"/>
            <w:vAlign w:val="center"/>
            <w:hideMark/>
          </w:tcPr>
          <w:p w14:paraId="23BCFD8F"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24582DD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Pas encore de validation municipale</w:t>
            </w:r>
          </w:p>
        </w:tc>
        <w:tc>
          <w:tcPr>
            <w:tcW w:w="625" w:type="pct"/>
            <w:tcBorders>
              <w:top w:val="nil"/>
              <w:left w:val="nil"/>
              <w:bottom w:val="single" w:sz="4" w:space="0" w:color="auto"/>
              <w:right w:val="single" w:sz="4" w:space="0" w:color="auto"/>
            </w:tcBorders>
            <w:shd w:val="clear" w:color="auto" w:fill="auto"/>
            <w:vAlign w:val="center"/>
            <w:hideMark/>
          </w:tcPr>
          <w:p w14:paraId="65E46C1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2015</w:t>
            </w:r>
          </w:p>
        </w:tc>
        <w:tc>
          <w:tcPr>
            <w:tcW w:w="704" w:type="pct"/>
            <w:tcBorders>
              <w:top w:val="nil"/>
              <w:left w:val="nil"/>
              <w:bottom w:val="single" w:sz="4" w:space="0" w:color="auto"/>
              <w:right w:val="single" w:sz="4" w:space="0" w:color="auto"/>
            </w:tcBorders>
            <w:shd w:val="clear" w:color="auto" w:fill="auto"/>
            <w:vAlign w:val="center"/>
            <w:hideMark/>
          </w:tcPr>
          <w:p w14:paraId="0713DBB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ATL/Groupe Trame</w:t>
            </w:r>
          </w:p>
        </w:tc>
        <w:tc>
          <w:tcPr>
            <w:tcW w:w="701" w:type="pct"/>
            <w:tcBorders>
              <w:top w:val="nil"/>
              <w:left w:val="nil"/>
              <w:bottom w:val="single" w:sz="4" w:space="0" w:color="auto"/>
              <w:right w:val="single" w:sz="4" w:space="0" w:color="auto"/>
            </w:tcBorders>
            <w:shd w:val="clear" w:color="auto" w:fill="auto"/>
            <w:vAlign w:val="center"/>
            <w:hideMark/>
          </w:tcPr>
          <w:p w14:paraId="1FE1C7A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PARLOQ</w:t>
            </w:r>
          </w:p>
        </w:tc>
      </w:tr>
      <w:tr w:rsidR="00F927A2" w:rsidRPr="00645A24" w14:paraId="0E5EB222" w14:textId="77777777" w:rsidTr="00F927A2">
        <w:trPr>
          <w:trHeight w:val="900"/>
        </w:trPr>
        <w:tc>
          <w:tcPr>
            <w:tcW w:w="445" w:type="pct"/>
            <w:vMerge/>
            <w:tcBorders>
              <w:top w:val="nil"/>
              <w:left w:val="single" w:sz="8" w:space="0" w:color="auto"/>
              <w:bottom w:val="single" w:sz="4" w:space="0" w:color="000000"/>
              <w:right w:val="single" w:sz="4" w:space="0" w:color="auto"/>
            </w:tcBorders>
            <w:vAlign w:val="center"/>
            <w:hideMark/>
          </w:tcPr>
          <w:p w14:paraId="328D46AA"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70DCA5F2" w14:textId="77777777" w:rsidR="00F927A2" w:rsidRPr="00645A24" w:rsidRDefault="00F927A2" w:rsidP="00F927A2">
            <w:pPr>
              <w:jc w:val="center"/>
              <w:rPr>
                <w:rFonts w:ascii="Calibri" w:hAnsi="Calibri"/>
                <w:sz w:val="20"/>
              </w:rPr>
            </w:pPr>
            <w:r w:rsidRPr="00645A24">
              <w:rPr>
                <w:rFonts w:ascii="Calibri" w:hAnsi="Calibri"/>
                <w:sz w:val="20"/>
              </w:rPr>
              <w:t>Croix-des-Bouquets</w:t>
            </w:r>
          </w:p>
        </w:tc>
        <w:tc>
          <w:tcPr>
            <w:tcW w:w="62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BD72BF9" w14:textId="77777777" w:rsidR="00F927A2" w:rsidRPr="00645A24" w:rsidRDefault="00F927A2" w:rsidP="00F927A2">
            <w:pPr>
              <w:jc w:val="center"/>
              <w:rPr>
                <w:rFonts w:ascii="Calibri" w:hAnsi="Calibri"/>
                <w:sz w:val="20"/>
              </w:rPr>
            </w:pPr>
            <w:r w:rsidRPr="00645A24">
              <w:rPr>
                <w:rFonts w:ascii="Calibri" w:hAnsi="Calibri"/>
                <w:sz w:val="20"/>
              </w:rPr>
              <w:t>Croix-des-Bouquets</w:t>
            </w:r>
          </w:p>
        </w:tc>
        <w:tc>
          <w:tcPr>
            <w:tcW w:w="625" w:type="pct"/>
            <w:tcBorders>
              <w:top w:val="nil"/>
              <w:left w:val="nil"/>
              <w:bottom w:val="single" w:sz="4" w:space="0" w:color="auto"/>
              <w:right w:val="single" w:sz="4" w:space="0" w:color="auto"/>
            </w:tcBorders>
            <w:shd w:val="clear" w:color="auto" w:fill="auto"/>
            <w:vAlign w:val="center"/>
            <w:hideMark/>
          </w:tcPr>
          <w:p w14:paraId="68BEE16C"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7DDAD0A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Pas encore de validation municipale</w:t>
            </w:r>
          </w:p>
        </w:tc>
        <w:tc>
          <w:tcPr>
            <w:tcW w:w="625" w:type="pct"/>
            <w:tcBorders>
              <w:top w:val="nil"/>
              <w:left w:val="nil"/>
              <w:bottom w:val="single" w:sz="4" w:space="0" w:color="auto"/>
              <w:right w:val="single" w:sz="4" w:space="0" w:color="auto"/>
            </w:tcBorders>
            <w:shd w:val="clear" w:color="auto" w:fill="auto"/>
            <w:vAlign w:val="center"/>
            <w:hideMark/>
          </w:tcPr>
          <w:p w14:paraId="4E82E65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2015</w:t>
            </w:r>
          </w:p>
        </w:tc>
        <w:tc>
          <w:tcPr>
            <w:tcW w:w="704" w:type="pct"/>
            <w:tcBorders>
              <w:top w:val="nil"/>
              <w:left w:val="nil"/>
              <w:bottom w:val="single" w:sz="4" w:space="0" w:color="auto"/>
              <w:right w:val="single" w:sz="4" w:space="0" w:color="auto"/>
            </w:tcBorders>
            <w:shd w:val="clear" w:color="auto" w:fill="auto"/>
            <w:vAlign w:val="center"/>
            <w:hideMark/>
          </w:tcPr>
          <w:p w14:paraId="0ECB6B7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ATL/CHERGODD</w:t>
            </w:r>
          </w:p>
        </w:tc>
        <w:tc>
          <w:tcPr>
            <w:tcW w:w="701" w:type="pct"/>
            <w:tcBorders>
              <w:top w:val="nil"/>
              <w:left w:val="nil"/>
              <w:bottom w:val="single" w:sz="4" w:space="0" w:color="auto"/>
              <w:right w:val="single" w:sz="4" w:space="0" w:color="auto"/>
            </w:tcBorders>
            <w:shd w:val="clear" w:color="auto" w:fill="auto"/>
            <w:vAlign w:val="center"/>
            <w:hideMark/>
          </w:tcPr>
          <w:p w14:paraId="2CE5FE6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PARLOQ</w:t>
            </w:r>
          </w:p>
        </w:tc>
      </w:tr>
      <w:tr w:rsidR="00F927A2" w:rsidRPr="00645A24" w14:paraId="4D3D2572" w14:textId="77777777" w:rsidTr="00F927A2">
        <w:trPr>
          <w:trHeight w:val="900"/>
        </w:trPr>
        <w:tc>
          <w:tcPr>
            <w:tcW w:w="445" w:type="pct"/>
            <w:vMerge/>
            <w:tcBorders>
              <w:top w:val="nil"/>
              <w:left w:val="single" w:sz="8" w:space="0" w:color="auto"/>
              <w:bottom w:val="single" w:sz="4" w:space="0" w:color="000000"/>
              <w:right w:val="single" w:sz="4" w:space="0" w:color="auto"/>
            </w:tcBorders>
            <w:vAlign w:val="center"/>
            <w:hideMark/>
          </w:tcPr>
          <w:p w14:paraId="61E4729B"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140D7D40"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648ACB07"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3B9BB006" w14:textId="77777777" w:rsidR="00F927A2" w:rsidRPr="00645A24" w:rsidRDefault="00F927A2" w:rsidP="00F927A2">
            <w:pPr>
              <w:rPr>
                <w:rFonts w:ascii="Calibri" w:hAnsi="Calibri"/>
                <w:color w:val="000000"/>
                <w:sz w:val="20"/>
              </w:rPr>
            </w:pPr>
            <w:r w:rsidRPr="00645A24">
              <w:rPr>
                <w:rFonts w:ascii="Calibri" w:hAnsi="Calibri"/>
                <w:color w:val="000000"/>
                <w:sz w:val="20"/>
              </w:rPr>
              <w:t>Plan de développement urbain de la Croix des Bouquets</w:t>
            </w:r>
          </w:p>
        </w:tc>
        <w:tc>
          <w:tcPr>
            <w:tcW w:w="626" w:type="pct"/>
            <w:tcBorders>
              <w:top w:val="nil"/>
              <w:left w:val="nil"/>
              <w:bottom w:val="single" w:sz="4" w:space="0" w:color="auto"/>
              <w:right w:val="single" w:sz="4" w:space="0" w:color="auto"/>
            </w:tcBorders>
            <w:shd w:val="clear" w:color="auto" w:fill="auto"/>
            <w:vAlign w:val="center"/>
            <w:hideMark/>
          </w:tcPr>
          <w:p w14:paraId="5EBC9FE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625" w:type="pct"/>
            <w:tcBorders>
              <w:top w:val="nil"/>
              <w:left w:val="nil"/>
              <w:bottom w:val="single" w:sz="4" w:space="0" w:color="auto"/>
              <w:right w:val="single" w:sz="4" w:space="0" w:color="auto"/>
            </w:tcBorders>
            <w:shd w:val="clear" w:color="auto" w:fill="auto"/>
            <w:vAlign w:val="center"/>
            <w:hideMark/>
          </w:tcPr>
          <w:p w14:paraId="054F7D4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2011</w:t>
            </w:r>
          </w:p>
        </w:tc>
        <w:tc>
          <w:tcPr>
            <w:tcW w:w="704" w:type="pct"/>
            <w:tcBorders>
              <w:top w:val="nil"/>
              <w:left w:val="nil"/>
              <w:bottom w:val="single" w:sz="4" w:space="0" w:color="auto"/>
              <w:right w:val="single" w:sz="4" w:space="0" w:color="auto"/>
            </w:tcBorders>
            <w:shd w:val="clear" w:color="auto" w:fill="auto"/>
            <w:vAlign w:val="center"/>
            <w:hideMark/>
          </w:tcPr>
          <w:p w14:paraId="5586834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TGC INTERNATIONAL/Sodade (Haïti)</w:t>
            </w:r>
          </w:p>
        </w:tc>
        <w:tc>
          <w:tcPr>
            <w:tcW w:w="701" w:type="pct"/>
            <w:tcBorders>
              <w:top w:val="nil"/>
              <w:left w:val="nil"/>
              <w:bottom w:val="single" w:sz="4" w:space="0" w:color="auto"/>
              <w:right w:val="single" w:sz="4" w:space="0" w:color="auto"/>
            </w:tcBorders>
            <w:shd w:val="clear" w:color="auto" w:fill="auto"/>
            <w:vAlign w:val="center"/>
            <w:hideMark/>
          </w:tcPr>
          <w:p w14:paraId="2468381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5BF1E10B" w14:textId="77777777" w:rsidTr="00F927A2">
        <w:trPr>
          <w:trHeight w:val="1215"/>
        </w:trPr>
        <w:tc>
          <w:tcPr>
            <w:tcW w:w="445" w:type="pct"/>
            <w:vMerge/>
            <w:tcBorders>
              <w:top w:val="nil"/>
              <w:left w:val="single" w:sz="8" w:space="0" w:color="auto"/>
              <w:bottom w:val="single" w:sz="4" w:space="0" w:color="000000"/>
              <w:right w:val="single" w:sz="4" w:space="0" w:color="auto"/>
            </w:tcBorders>
            <w:vAlign w:val="center"/>
            <w:hideMark/>
          </w:tcPr>
          <w:p w14:paraId="3DD264C0"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4B6FE786"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1F11EE5A"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0DF1B10A" w14:textId="77777777" w:rsidR="00F927A2" w:rsidRPr="00645A24" w:rsidRDefault="00F927A2" w:rsidP="00F927A2">
            <w:pPr>
              <w:rPr>
                <w:rFonts w:ascii="Calibri" w:hAnsi="Calibri"/>
                <w:color w:val="000000"/>
                <w:sz w:val="20"/>
              </w:rPr>
            </w:pPr>
            <w:r w:rsidRPr="00645A24">
              <w:rPr>
                <w:rFonts w:ascii="Calibri" w:hAnsi="Calibri"/>
                <w:color w:val="000000"/>
                <w:sz w:val="20"/>
              </w:rPr>
              <w:t xml:space="preserve">Schéma directeur d'aménagement et Plan d'action opérationnel d'urbanisme de la zone de Canaan </w:t>
            </w:r>
          </w:p>
        </w:tc>
        <w:tc>
          <w:tcPr>
            <w:tcW w:w="626" w:type="pct"/>
            <w:tcBorders>
              <w:top w:val="nil"/>
              <w:left w:val="nil"/>
              <w:bottom w:val="single" w:sz="4" w:space="0" w:color="auto"/>
              <w:right w:val="single" w:sz="4" w:space="0" w:color="auto"/>
            </w:tcBorders>
            <w:shd w:val="clear" w:color="auto" w:fill="auto"/>
            <w:vAlign w:val="center"/>
            <w:hideMark/>
          </w:tcPr>
          <w:p w14:paraId="0C2184E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Non</w:t>
            </w:r>
          </w:p>
        </w:tc>
        <w:tc>
          <w:tcPr>
            <w:tcW w:w="625" w:type="pct"/>
            <w:tcBorders>
              <w:top w:val="nil"/>
              <w:left w:val="nil"/>
              <w:bottom w:val="single" w:sz="4" w:space="0" w:color="auto"/>
              <w:right w:val="single" w:sz="4" w:space="0" w:color="auto"/>
            </w:tcBorders>
            <w:shd w:val="clear" w:color="auto" w:fill="auto"/>
            <w:vAlign w:val="center"/>
            <w:hideMark/>
          </w:tcPr>
          <w:p w14:paraId="7CF47B9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2012 puis 2014</w:t>
            </w:r>
          </w:p>
        </w:tc>
        <w:tc>
          <w:tcPr>
            <w:tcW w:w="704" w:type="pct"/>
            <w:tcBorders>
              <w:top w:val="nil"/>
              <w:left w:val="nil"/>
              <w:bottom w:val="single" w:sz="4" w:space="0" w:color="auto"/>
              <w:right w:val="single" w:sz="4" w:space="0" w:color="auto"/>
            </w:tcBorders>
            <w:shd w:val="clear" w:color="auto" w:fill="auto"/>
            <w:vAlign w:val="center"/>
            <w:hideMark/>
          </w:tcPr>
          <w:p w14:paraId="4A3547D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IBI-DAA / Sodade (Haïti)</w:t>
            </w:r>
          </w:p>
        </w:tc>
        <w:tc>
          <w:tcPr>
            <w:tcW w:w="701" w:type="pct"/>
            <w:tcBorders>
              <w:top w:val="nil"/>
              <w:left w:val="nil"/>
              <w:bottom w:val="single" w:sz="4" w:space="0" w:color="auto"/>
              <w:right w:val="single" w:sz="4" w:space="0" w:color="auto"/>
            </w:tcBorders>
            <w:shd w:val="clear" w:color="auto" w:fill="auto"/>
            <w:vAlign w:val="center"/>
            <w:hideMark/>
          </w:tcPr>
          <w:p w14:paraId="7912A93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Trésor Public</w:t>
            </w:r>
          </w:p>
        </w:tc>
      </w:tr>
      <w:tr w:rsidR="00F927A2" w:rsidRPr="00645A24" w14:paraId="142666D7"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695342D4"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3A37A512"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03C46628" w14:textId="77777777" w:rsidR="00F927A2" w:rsidRPr="00645A24" w:rsidRDefault="00F927A2" w:rsidP="00F927A2">
            <w:pPr>
              <w:jc w:val="center"/>
              <w:rPr>
                <w:rFonts w:ascii="Calibri" w:hAnsi="Calibri"/>
                <w:sz w:val="20"/>
              </w:rPr>
            </w:pPr>
            <w:r w:rsidRPr="00645A24">
              <w:rPr>
                <w:rFonts w:ascii="Calibri" w:hAnsi="Calibri"/>
                <w:sz w:val="20"/>
              </w:rPr>
              <w:t>Thomazeau</w:t>
            </w:r>
          </w:p>
        </w:tc>
        <w:tc>
          <w:tcPr>
            <w:tcW w:w="625" w:type="pct"/>
            <w:tcBorders>
              <w:top w:val="nil"/>
              <w:left w:val="nil"/>
              <w:bottom w:val="single" w:sz="4" w:space="0" w:color="auto"/>
              <w:right w:val="single" w:sz="4" w:space="0" w:color="auto"/>
            </w:tcBorders>
            <w:shd w:val="thinReverseDiagStripe" w:color="000000" w:fill="auto"/>
            <w:vAlign w:val="center"/>
            <w:hideMark/>
          </w:tcPr>
          <w:p w14:paraId="208FAC01"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42C660E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4F8157A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300BE58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53703EC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0664C5FA"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2043FF34"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6BA23119"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484289A9" w14:textId="77777777" w:rsidR="00F927A2" w:rsidRPr="00645A24" w:rsidRDefault="00F927A2" w:rsidP="00F927A2">
            <w:pPr>
              <w:jc w:val="center"/>
              <w:rPr>
                <w:rFonts w:ascii="Calibri" w:hAnsi="Calibri"/>
                <w:sz w:val="20"/>
              </w:rPr>
            </w:pPr>
            <w:r w:rsidRPr="00645A24">
              <w:rPr>
                <w:rFonts w:ascii="Calibri" w:hAnsi="Calibri"/>
                <w:sz w:val="20"/>
              </w:rPr>
              <w:t>Ganthier</w:t>
            </w:r>
          </w:p>
        </w:tc>
        <w:tc>
          <w:tcPr>
            <w:tcW w:w="625" w:type="pct"/>
            <w:tcBorders>
              <w:top w:val="nil"/>
              <w:left w:val="nil"/>
              <w:bottom w:val="single" w:sz="4" w:space="0" w:color="auto"/>
              <w:right w:val="single" w:sz="4" w:space="0" w:color="auto"/>
            </w:tcBorders>
            <w:shd w:val="clear" w:color="auto" w:fill="auto"/>
            <w:vAlign w:val="center"/>
            <w:hideMark/>
          </w:tcPr>
          <w:p w14:paraId="3BA802B8"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377D1D0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non finalisé</w:t>
            </w:r>
          </w:p>
        </w:tc>
        <w:tc>
          <w:tcPr>
            <w:tcW w:w="625" w:type="pct"/>
            <w:tcBorders>
              <w:top w:val="nil"/>
              <w:left w:val="nil"/>
              <w:bottom w:val="single" w:sz="4" w:space="0" w:color="auto"/>
              <w:right w:val="single" w:sz="4" w:space="0" w:color="auto"/>
            </w:tcBorders>
            <w:shd w:val="clear" w:color="auto" w:fill="auto"/>
            <w:vAlign w:val="center"/>
            <w:hideMark/>
          </w:tcPr>
          <w:p w14:paraId="55CF09E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02BCC36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ARD/GRIEAL</w:t>
            </w:r>
          </w:p>
        </w:tc>
        <w:tc>
          <w:tcPr>
            <w:tcW w:w="701" w:type="pct"/>
            <w:tcBorders>
              <w:top w:val="nil"/>
              <w:left w:val="nil"/>
              <w:bottom w:val="single" w:sz="4" w:space="0" w:color="auto"/>
              <w:right w:val="single" w:sz="4" w:space="0" w:color="auto"/>
            </w:tcBorders>
            <w:shd w:val="clear" w:color="auto" w:fill="auto"/>
            <w:vAlign w:val="center"/>
            <w:hideMark/>
          </w:tcPr>
          <w:p w14:paraId="1EA04AD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4FB18E59"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630BA916"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5162A3B5"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502F341D" w14:textId="77777777" w:rsidR="00F927A2" w:rsidRPr="00645A24" w:rsidRDefault="00F927A2" w:rsidP="00F927A2">
            <w:pPr>
              <w:jc w:val="center"/>
              <w:rPr>
                <w:rFonts w:ascii="Calibri" w:hAnsi="Calibri"/>
                <w:sz w:val="20"/>
              </w:rPr>
            </w:pPr>
            <w:r w:rsidRPr="00645A24">
              <w:rPr>
                <w:rFonts w:ascii="Calibri" w:hAnsi="Calibri"/>
                <w:sz w:val="20"/>
              </w:rPr>
              <w:t>Cornillon</w:t>
            </w:r>
          </w:p>
        </w:tc>
        <w:tc>
          <w:tcPr>
            <w:tcW w:w="625" w:type="pct"/>
            <w:tcBorders>
              <w:top w:val="nil"/>
              <w:left w:val="nil"/>
              <w:bottom w:val="single" w:sz="4" w:space="0" w:color="auto"/>
              <w:right w:val="single" w:sz="4" w:space="0" w:color="auto"/>
            </w:tcBorders>
            <w:shd w:val="thinReverseDiagStripe" w:color="000000" w:fill="auto"/>
            <w:vAlign w:val="center"/>
            <w:hideMark/>
          </w:tcPr>
          <w:p w14:paraId="3DEF22D0"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1A175D1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0D5AA81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69EFAD2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2AD1DA5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7391A314"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69AED142"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729EC483"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4FE5D93D" w14:textId="77777777" w:rsidR="00F927A2" w:rsidRPr="00645A24" w:rsidRDefault="00F927A2" w:rsidP="00F927A2">
            <w:pPr>
              <w:jc w:val="center"/>
              <w:rPr>
                <w:rFonts w:ascii="Calibri" w:hAnsi="Calibri"/>
                <w:sz w:val="20"/>
              </w:rPr>
            </w:pPr>
            <w:r w:rsidRPr="00645A24">
              <w:rPr>
                <w:rFonts w:ascii="Calibri" w:hAnsi="Calibri"/>
                <w:sz w:val="20"/>
              </w:rPr>
              <w:t>Fonds-Verrettes</w:t>
            </w:r>
          </w:p>
        </w:tc>
        <w:tc>
          <w:tcPr>
            <w:tcW w:w="625" w:type="pct"/>
            <w:tcBorders>
              <w:top w:val="nil"/>
              <w:left w:val="nil"/>
              <w:bottom w:val="single" w:sz="4" w:space="0" w:color="auto"/>
              <w:right w:val="single" w:sz="4" w:space="0" w:color="auto"/>
            </w:tcBorders>
            <w:shd w:val="clear" w:color="auto" w:fill="auto"/>
            <w:vAlign w:val="center"/>
            <w:hideMark/>
          </w:tcPr>
          <w:p w14:paraId="3FCBD88B"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0A3F2F1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34FED3C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2F0F899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DEFI</w:t>
            </w:r>
          </w:p>
        </w:tc>
        <w:tc>
          <w:tcPr>
            <w:tcW w:w="701" w:type="pct"/>
            <w:tcBorders>
              <w:top w:val="nil"/>
              <w:left w:val="nil"/>
              <w:bottom w:val="single" w:sz="4" w:space="0" w:color="auto"/>
              <w:right w:val="single" w:sz="4" w:space="0" w:color="auto"/>
            </w:tcBorders>
            <w:shd w:val="clear" w:color="auto" w:fill="auto"/>
            <w:vAlign w:val="center"/>
            <w:hideMark/>
          </w:tcPr>
          <w:p w14:paraId="021ED30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CARITAS</w:t>
            </w:r>
          </w:p>
        </w:tc>
      </w:tr>
      <w:tr w:rsidR="00F927A2" w:rsidRPr="00645A24" w14:paraId="17F421AF"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352A2EAE"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E4D8FB8" w14:textId="77777777" w:rsidR="00F927A2" w:rsidRPr="00645A24" w:rsidRDefault="00F927A2" w:rsidP="00F927A2">
            <w:pPr>
              <w:jc w:val="center"/>
              <w:rPr>
                <w:rFonts w:ascii="Calibri" w:hAnsi="Calibri"/>
                <w:sz w:val="20"/>
              </w:rPr>
            </w:pPr>
            <w:r w:rsidRPr="00645A24">
              <w:rPr>
                <w:rFonts w:ascii="Calibri" w:hAnsi="Calibri"/>
                <w:sz w:val="20"/>
              </w:rPr>
              <w:t>Arcahaie</w:t>
            </w:r>
          </w:p>
        </w:tc>
        <w:tc>
          <w:tcPr>
            <w:tcW w:w="626" w:type="pct"/>
            <w:tcBorders>
              <w:top w:val="nil"/>
              <w:left w:val="nil"/>
              <w:bottom w:val="single" w:sz="4" w:space="0" w:color="auto"/>
              <w:right w:val="single" w:sz="4" w:space="0" w:color="auto"/>
            </w:tcBorders>
            <w:shd w:val="clear" w:color="000000" w:fill="FFFFFF"/>
            <w:vAlign w:val="center"/>
            <w:hideMark/>
          </w:tcPr>
          <w:p w14:paraId="708F5CC2" w14:textId="77777777" w:rsidR="00F927A2" w:rsidRPr="00645A24" w:rsidRDefault="00F927A2" w:rsidP="00F927A2">
            <w:pPr>
              <w:jc w:val="center"/>
              <w:rPr>
                <w:rFonts w:ascii="Calibri" w:hAnsi="Calibri"/>
                <w:sz w:val="20"/>
              </w:rPr>
            </w:pPr>
            <w:r w:rsidRPr="00645A24">
              <w:rPr>
                <w:rFonts w:ascii="Calibri" w:hAnsi="Calibri"/>
                <w:sz w:val="20"/>
              </w:rPr>
              <w:t>Arcahaie</w:t>
            </w:r>
          </w:p>
        </w:tc>
        <w:tc>
          <w:tcPr>
            <w:tcW w:w="625" w:type="pct"/>
            <w:tcBorders>
              <w:top w:val="nil"/>
              <w:left w:val="nil"/>
              <w:bottom w:val="single" w:sz="4" w:space="0" w:color="auto"/>
              <w:right w:val="single" w:sz="4" w:space="0" w:color="auto"/>
            </w:tcBorders>
            <w:shd w:val="thinReverseDiagStripe" w:color="000000" w:fill="auto"/>
            <w:vAlign w:val="center"/>
            <w:hideMark/>
          </w:tcPr>
          <w:p w14:paraId="46E6734A"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11E1BE9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1C5A79F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5606701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50062CD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1F3600B9" w14:textId="77777777" w:rsidTr="00F927A2">
        <w:trPr>
          <w:trHeight w:val="600"/>
        </w:trPr>
        <w:tc>
          <w:tcPr>
            <w:tcW w:w="445" w:type="pct"/>
            <w:vMerge/>
            <w:tcBorders>
              <w:top w:val="nil"/>
              <w:left w:val="single" w:sz="8" w:space="0" w:color="auto"/>
              <w:bottom w:val="single" w:sz="4" w:space="0" w:color="000000"/>
              <w:right w:val="single" w:sz="4" w:space="0" w:color="auto"/>
            </w:tcBorders>
            <w:vAlign w:val="center"/>
            <w:hideMark/>
          </w:tcPr>
          <w:p w14:paraId="0BBCF2AC"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6AB65785" w14:textId="77777777" w:rsidR="00F927A2" w:rsidRPr="00645A24" w:rsidRDefault="00F927A2" w:rsidP="00F927A2">
            <w:pPr>
              <w:jc w:val="left"/>
              <w:rPr>
                <w:rFonts w:ascii="Calibri" w:hAnsi="Calibri"/>
                <w:sz w:val="20"/>
              </w:rPr>
            </w:pPr>
          </w:p>
        </w:tc>
        <w:tc>
          <w:tcPr>
            <w:tcW w:w="62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0487B81" w14:textId="77777777" w:rsidR="00F927A2" w:rsidRPr="00645A24" w:rsidRDefault="00F927A2" w:rsidP="00F927A2">
            <w:pPr>
              <w:jc w:val="center"/>
              <w:rPr>
                <w:rFonts w:ascii="Calibri" w:hAnsi="Calibri"/>
                <w:sz w:val="20"/>
              </w:rPr>
            </w:pPr>
            <w:r w:rsidRPr="00645A24">
              <w:rPr>
                <w:rFonts w:ascii="Calibri" w:hAnsi="Calibri"/>
                <w:sz w:val="20"/>
              </w:rPr>
              <w:t>Cabaret</w:t>
            </w:r>
          </w:p>
        </w:tc>
        <w:tc>
          <w:tcPr>
            <w:tcW w:w="625" w:type="pct"/>
            <w:tcBorders>
              <w:top w:val="nil"/>
              <w:left w:val="nil"/>
              <w:bottom w:val="single" w:sz="4" w:space="0" w:color="auto"/>
              <w:right w:val="single" w:sz="4" w:space="0" w:color="auto"/>
            </w:tcBorders>
            <w:shd w:val="clear" w:color="auto" w:fill="auto"/>
            <w:vAlign w:val="center"/>
            <w:hideMark/>
          </w:tcPr>
          <w:p w14:paraId="27B6FD2D"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 + Plan d'Investissement Municipal</w:t>
            </w:r>
          </w:p>
        </w:tc>
        <w:tc>
          <w:tcPr>
            <w:tcW w:w="626" w:type="pct"/>
            <w:tcBorders>
              <w:top w:val="nil"/>
              <w:left w:val="nil"/>
              <w:bottom w:val="single" w:sz="4" w:space="0" w:color="auto"/>
              <w:right w:val="single" w:sz="4" w:space="0" w:color="auto"/>
            </w:tcBorders>
            <w:shd w:val="clear" w:color="auto" w:fill="auto"/>
            <w:vAlign w:val="center"/>
            <w:hideMark/>
          </w:tcPr>
          <w:p w14:paraId="321B5DD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5EEB1D2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2011</w:t>
            </w:r>
          </w:p>
        </w:tc>
        <w:tc>
          <w:tcPr>
            <w:tcW w:w="704" w:type="pct"/>
            <w:tcBorders>
              <w:top w:val="nil"/>
              <w:left w:val="nil"/>
              <w:bottom w:val="single" w:sz="4" w:space="0" w:color="auto"/>
              <w:right w:val="single" w:sz="4" w:space="0" w:color="auto"/>
            </w:tcBorders>
            <w:shd w:val="clear" w:color="auto" w:fill="auto"/>
            <w:vAlign w:val="center"/>
            <w:hideMark/>
          </w:tcPr>
          <w:p w14:paraId="7CCA2F2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LOKAL (TetraTech)</w:t>
            </w:r>
          </w:p>
        </w:tc>
        <w:tc>
          <w:tcPr>
            <w:tcW w:w="701" w:type="pct"/>
            <w:tcBorders>
              <w:top w:val="nil"/>
              <w:left w:val="nil"/>
              <w:bottom w:val="single" w:sz="4" w:space="0" w:color="auto"/>
              <w:right w:val="single" w:sz="4" w:space="0" w:color="auto"/>
            </w:tcBorders>
            <w:shd w:val="clear" w:color="auto" w:fill="auto"/>
            <w:vAlign w:val="center"/>
            <w:hideMark/>
          </w:tcPr>
          <w:p w14:paraId="738061D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7BDD66D1" w14:textId="77777777" w:rsidTr="00F927A2">
        <w:trPr>
          <w:trHeight w:val="900"/>
        </w:trPr>
        <w:tc>
          <w:tcPr>
            <w:tcW w:w="445" w:type="pct"/>
            <w:vMerge/>
            <w:tcBorders>
              <w:top w:val="nil"/>
              <w:left w:val="single" w:sz="8" w:space="0" w:color="auto"/>
              <w:bottom w:val="single" w:sz="4" w:space="0" w:color="000000"/>
              <w:right w:val="single" w:sz="4" w:space="0" w:color="auto"/>
            </w:tcBorders>
            <w:vAlign w:val="center"/>
            <w:hideMark/>
          </w:tcPr>
          <w:p w14:paraId="75C672AD"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592A3CE6"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446F2CAE"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7811E2FA" w14:textId="77777777" w:rsidR="00F927A2" w:rsidRPr="00645A24" w:rsidRDefault="00F927A2" w:rsidP="00F927A2">
            <w:pPr>
              <w:rPr>
                <w:rFonts w:ascii="Calibri" w:hAnsi="Calibri"/>
                <w:color w:val="000000"/>
                <w:sz w:val="20"/>
              </w:rPr>
            </w:pPr>
            <w:r w:rsidRPr="00645A24">
              <w:rPr>
                <w:rFonts w:ascii="Calibri" w:hAnsi="Calibri"/>
                <w:color w:val="000000"/>
                <w:sz w:val="20"/>
              </w:rPr>
              <w:t>Plan d'urbanisme pour Titanyen et étude de l'aménagement du Carrefour Titanyen</w:t>
            </w:r>
          </w:p>
        </w:tc>
        <w:tc>
          <w:tcPr>
            <w:tcW w:w="626" w:type="pct"/>
            <w:tcBorders>
              <w:top w:val="nil"/>
              <w:left w:val="nil"/>
              <w:bottom w:val="single" w:sz="4" w:space="0" w:color="auto"/>
              <w:right w:val="single" w:sz="4" w:space="0" w:color="auto"/>
            </w:tcBorders>
            <w:shd w:val="clear" w:color="auto" w:fill="auto"/>
            <w:vAlign w:val="center"/>
            <w:hideMark/>
          </w:tcPr>
          <w:p w14:paraId="613D93D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Marché en cours d'attribution</w:t>
            </w:r>
          </w:p>
        </w:tc>
        <w:tc>
          <w:tcPr>
            <w:tcW w:w="625" w:type="pct"/>
            <w:tcBorders>
              <w:top w:val="nil"/>
              <w:left w:val="nil"/>
              <w:bottom w:val="single" w:sz="4" w:space="0" w:color="auto"/>
              <w:right w:val="single" w:sz="4" w:space="0" w:color="auto"/>
            </w:tcBorders>
            <w:shd w:val="clear" w:color="auto" w:fill="auto"/>
            <w:vAlign w:val="center"/>
            <w:hideMark/>
          </w:tcPr>
          <w:p w14:paraId="125EA00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2016</w:t>
            </w:r>
          </w:p>
        </w:tc>
        <w:tc>
          <w:tcPr>
            <w:tcW w:w="704" w:type="pct"/>
            <w:tcBorders>
              <w:top w:val="nil"/>
              <w:left w:val="nil"/>
              <w:bottom w:val="single" w:sz="4" w:space="0" w:color="auto"/>
              <w:right w:val="single" w:sz="4" w:space="0" w:color="auto"/>
            </w:tcBorders>
            <w:shd w:val="clear" w:color="auto" w:fill="auto"/>
            <w:vAlign w:val="center"/>
            <w:hideMark/>
          </w:tcPr>
          <w:p w14:paraId="532D704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113A125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Banque Mondiale</w:t>
            </w:r>
          </w:p>
        </w:tc>
      </w:tr>
      <w:tr w:rsidR="00F927A2" w:rsidRPr="00645A24" w14:paraId="37E5541B"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77BE655F"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5E43DAAE" w14:textId="77777777" w:rsidR="00F927A2" w:rsidRPr="00645A24" w:rsidRDefault="00F927A2" w:rsidP="00F927A2">
            <w:pPr>
              <w:jc w:val="center"/>
              <w:rPr>
                <w:rFonts w:ascii="Calibri" w:hAnsi="Calibri"/>
                <w:sz w:val="20"/>
              </w:rPr>
            </w:pPr>
            <w:r w:rsidRPr="00645A24">
              <w:rPr>
                <w:rFonts w:ascii="Calibri" w:hAnsi="Calibri"/>
                <w:sz w:val="20"/>
              </w:rPr>
              <w:t>La Gonâve</w:t>
            </w:r>
          </w:p>
        </w:tc>
        <w:tc>
          <w:tcPr>
            <w:tcW w:w="626" w:type="pct"/>
            <w:tcBorders>
              <w:top w:val="nil"/>
              <w:left w:val="nil"/>
              <w:bottom w:val="single" w:sz="4" w:space="0" w:color="auto"/>
              <w:right w:val="single" w:sz="4" w:space="0" w:color="auto"/>
            </w:tcBorders>
            <w:shd w:val="clear" w:color="000000" w:fill="FFFFFF"/>
            <w:vAlign w:val="center"/>
            <w:hideMark/>
          </w:tcPr>
          <w:p w14:paraId="6C293813" w14:textId="77777777" w:rsidR="00F927A2" w:rsidRPr="00645A24" w:rsidRDefault="00F927A2" w:rsidP="00F927A2">
            <w:pPr>
              <w:jc w:val="center"/>
              <w:rPr>
                <w:rFonts w:ascii="Calibri" w:hAnsi="Calibri"/>
                <w:sz w:val="20"/>
              </w:rPr>
            </w:pPr>
            <w:r w:rsidRPr="00645A24">
              <w:rPr>
                <w:rFonts w:ascii="Calibri" w:hAnsi="Calibri"/>
                <w:sz w:val="20"/>
              </w:rPr>
              <w:t>Anse-à-Galets</w:t>
            </w:r>
          </w:p>
        </w:tc>
        <w:tc>
          <w:tcPr>
            <w:tcW w:w="625" w:type="pct"/>
            <w:tcBorders>
              <w:top w:val="nil"/>
              <w:left w:val="nil"/>
              <w:bottom w:val="single" w:sz="4" w:space="0" w:color="auto"/>
              <w:right w:val="single" w:sz="4" w:space="0" w:color="auto"/>
            </w:tcBorders>
            <w:shd w:val="thinReverseDiagStripe" w:color="000000" w:fill="auto"/>
            <w:vAlign w:val="center"/>
            <w:hideMark/>
          </w:tcPr>
          <w:p w14:paraId="04591C34"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699BAE8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1484A29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3F5DE08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0F7C8AC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24FAE140"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73D858C9"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4DD31413"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35B5FCE3" w14:textId="77777777" w:rsidR="00F927A2" w:rsidRPr="00645A24" w:rsidRDefault="00F927A2" w:rsidP="00F927A2">
            <w:pPr>
              <w:jc w:val="center"/>
              <w:rPr>
                <w:rFonts w:ascii="Calibri" w:hAnsi="Calibri"/>
                <w:sz w:val="20"/>
              </w:rPr>
            </w:pPr>
            <w:r w:rsidRPr="00645A24">
              <w:rPr>
                <w:rFonts w:ascii="Calibri" w:hAnsi="Calibri"/>
                <w:sz w:val="20"/>
              </w:rPr>
              <w:t>Pointe-à-Raquette</w:t>
            </w:r>
          </w:p>
        </w:tc>
        <w:tc>
          <w:tcPr>
            <w:tcW w:w="625" w:type="pct"/>
            <w:tcBorders>
              <w:top w:val="nil"/>
              <w:left w:val="nil"/>
              <w:bottom w:val="single" w:sz="4" w:space="0" w:color="auto"/>
              <w:right w:val="single" w:sz="4" w:space="0" w:color="auto"/>
            </w:tcBorders>
            <w:shd w:val="thinReverseDiagStripe" w:color="000000" w:fill="auto"/>
            <w:vAlign w:val="center"/>
            <w:hideMark/>
          </w:tcPr>
          <w:p w14:paraId="21B35E18"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792D791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608B2DF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566E2E3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5BF018F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5BB03F04" w14:textId="77777777" w:rsidTr="00F927A2">
        <w:trPr>
          <w:trHeight w:val="765"/>
        </w:trPr>
        <w:tc>
          <w:tcPr>
            <w:tcW w:w="445" w:type="pct"/>
            <w:vMerge/>
            <w:tcBorders>
              <w:top w:val="nil"/>
              <w:left w:val="single" w:sz="8" w:space="0" w:color="auto"/>
              <w:bottom w:val="single" w:sz="4" w:space="0" w:color="000000"/>
              <w:right w:val="single" w:sz="4" w:space="0" w:color="auto"/>
            </w:tcBorders>
            <w:vAlign w:val="center"/>
            <w:hideMark/>
          </w:tcPr>
          <w:p w14:paraId="47A01117"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2BC8C13" w14:textId="77777777" w:rsidR="00F927A2" w:rsidRPr="00645A24" w:rsidRDefault="00F927A2" w:rsidP="00F927A2">
            <w:pPr>
              <w:jc w:val="center"/>
              <w:rPr>
                <w:rFonts w:ascii="Calibri" w:hAnsi="Calibri"/>
                <w:sz w:val="20"/>
              </w:rPr>
            </w:pPr>
            <w:r w:rsidRPr="00645A24">
              <w:rPr>
                <w:rFonts w:ascii="Calibri" w:hAnsi="Calibri"/>
                <w:sz w:val="20"/>
              </w:rPr>
              <w:t>Léogâne</w:t>
            </w:r>
          </w:p>
        </w:tc>
        <w:tc>
          <w:tcPr>
            <w:tcW w:w="1251" w:type="pct"/>
            <w:gridSpan w:val="2"/>
            <w:tcBorders>
              <w:top w:val="single" w:sz="4" w:space="0" w:color="auto"/>
              <w:left w:val="nil"/>
              <w:bottom w:val="single" w:sz="4" w:space="0" w:color="auto"/>
              <w:right w:val="single" w:sz="4" w:space="0" w:color="000000"/>
            </w:tcBorders>
            <w:shd w:val="clear" w:color="000000" w:fill="FFFFFF"/>
            <w:vAlign w:val="center"/>
            <w:hideMark/>
          </w:tcPr>
          <w:p w14:paraId="7656A43E" w14:textId="77777777" w:rsidR="00F927A2" w:rsidRPr="00645A24" w:rsidRDefault="00F927A2" w:rsidP="00F927A2">
            <w:pPr>
              <w:rPr>
                <w:rFonts w:ascii="Calibri" w:hAnsi="Calibri"/>
                <w:sz w:val="20"/>
              </w:rPr>
            </w:pPr>
            <w:r w:rsidRPr="00645A24">
              <w:rPr>
                <w:rFonts w:ascii="Calibri" w:hAnsi="Calibri"/>
                <w:sz w:val="20"/>
              </w:rPr>
              <w:t>Esquisse de schéma d’aménagement de l'arrondissement de Léogâne</w:t>
            </w:r>
          </w:p>
        </w:tc>
        <w:tc>
          <w:tcPr>
            <w:tcW w:w="626" w:type="pct"/>
            <w:tcBorders>
              <w:top w:val="nil"/>
              <w:left w:val="nil"/>
              <w:bottom w:val="single" w:sz="4" w:space="0" w:color="auto"/>
              <w:right w:val="single" w:sz="4" w:space="0" w:color="auto"/>
            </w:tcBorders>
            <w:shd w:val="clear" w:color="auto" w:fill="auto"/>
            <w:vAlign w:val="center"/>
            <w:hideMark/>
          </w:tcPr>
          <w:p w14:paraId="74E7DB9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En attente de validation</w:t>
            </w:r>
          </w:p>
        </w:tc>
        <w:tc>
          <w:tcPr>
            <w:tcW w:w="625" w:type="pct"/>
            <w:tcBorders>
              <w:top w:val="nil"/>
              <w:left w:val="nil"/>
              <w:bottom w:val="single" w:sz="4" w:space="0" w:color="auto"/>
              <w:right w:val="single" w:sz="4" w:space="0" w:color="auto"/>
            </w:tcBorders>
            <w:shd w:val="clear" w:color="auto" w:fill="auto"/>
            <w:vAlign w:val="center"/>
            <w:hideMark/>
          </w:tcPr>
          <w:p w14:paraId="7DDF9CB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068D3F7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73C8068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FRH (PARLOQ)</w:t>
            </w:r>
          </w:p>
        </w:tc>
      </w:tr>
      <w:tr w:rsidR="00F927A2" w:rsidRPr="00645A24" w14:paraId="1251BC91" w14:textId="77777777" w:rsidTr="00F927A2">
        <w:trPr>
          <w:trHeight w:val="1800"/>
        </w:trPr>
        <w:tc>
          <w:tcPr>
            <w:tcW w:w="445" w:type="pct"/>
            <w:vMerge/>
            <w:tcBorders>
              <w:top w:val="nil"/>
              <w:left w:val="single" w:sz="8" w:space="0" w:color="auto"/>
              <w:bottom w:val="single" w:sz="4" w:space="0" w:color="000000"/>
              <w:right w:val="single" w:sz="4" w:space="0" w:color="auto"/>
            </w:tcBorders>
            <w:vAlign w:val="center"/>
            <w:hideMark/>
          </w:tcPr>
          <w:p w14:paraId="136E5698"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0AFCCC67" w14:textId="77777777" w:rsidR="00F927A2" w:rsidRPr="00645A24" w:rsidRDefault="00F927A2" w:rsidP="00F927A2">
            <w:pPr>
              <w:jc w:val="left"/>
              <w:rPr>
                <w:rFonts w:ascii="Calibri" w:hAnsi="Calibri"/>
                <w:sz w:val="20"/>
              </w:rPr>
            </w:pPr>
          </w:p>
        </w:tc>
        <w:tc>
          <w:tcPr>
            <w:tcW w:w="62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F3A5453" w14:textId="77777777" w:rsidR="00F927A2" w:rsidRPr="00645A24" w:rsidRDefault="00F927A2" w:rsidP="00F927A2">
            <w:pPr>
              <w:jc w:val="center"/>
              <w:rPr>
                <w:rFonts w:ascii="Calibri" w:hAnsi="Calibri"/>
                <w:sz w:val="20"/>
              </w:rPr>
            </w:pPr>
            <w:r w:rsidRPr="00645A24">
              <w:rPr>
                <w:rFonts w:ascii="Calibri" w:hAnsi="Calibri"/>
                <w:sz w:val="20"/>
              </w:rPr>
              <w:t>Léogâne</w:t>
            </w:r>
          </w:p>
        </w:tc>
        <w:tc>
          <w:tcPr>
            <w:tcW w:w="625" w:type="pct"/>
            <w:tcBorders>
              <w:top w:val="nil"/>
              <w:left w:val="nil"/>
              <w:bottom w:val="single" w:sz="4" w:space="0" w:color="auto"/>
              <w:right w:val="single" w:sz="4" w:space="0" w:color="auto"/>
            </w:tcBorders>
            <w:shd w:val="clear" w:color="auto" w:fill="auto"/>
            <w:vAlign w:val="center"/>
            <w:hideMark/>
          </w:tcPr>
          <w:p w14:paraId="1BC1C3E1" w14:textId="77777777" w:rsidR="00F927A2" w:rsidRPr="00645A24" w:rsidRDefault="00F927A2" w:rsidP="00F927A2">
            <w:pPr>
              <w:rPr>
                <w:rFonts w:ascii="Calibri" w:hAnsi="Calibri"/>
                <w:color w:val="000000"/>
                <w:sz w:val="20"/>
              </w:rPr>
            </w:pPr>
            <w:r w:rsidRPr="00645A24">
              <w:rPr>
                <w:rFonts w:ascii="Calibri" w:hAnsi="Calibri"/>
                <w:color w:val="000000"/>
                <w:sz w:val="20"/>
              </w:rPr>
              <w:t>Plan d'urbanisme sommaire (PUS) + Plan d'investissement associé</w:t>
            </w:r>
          </w:p>
        </w:tc>
        <w:tc>
          <w:tcPr>
            <w:tcW w:w="626" w:type="pct"/>
            <w:tcBorders>
              <w:top w:val="nil"/>
              <w:left w:val="nil"/>
              <w:bottom w:val="single" w:sz="4" w:space="0" w:color="auto"/>
              <w:right w:val="single" w:sz="4" w:space="0" w:color="auto"/>
            </w:tcBorders>
            <w:shd w:val="clear" w:color="auto" w:fill="auto"/>
            <w:vAlign w:val="center"/>
            <w:hideMark/>
          </w:tcPr>
          <w:p w14:paraId="73844C6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xml:space="preserve">Validé par arrêté par Conseil municipal et transmit à l'Etat Central pour validation </w:t>
            </w:r>
          </w:p>
        </w:tc>
        <w:tc>
          <w:tcPr>
            <w:tcW w:w="625" w:type="pct"/>
            <w:tcBorders>
              <w:top w:val="nil"/>
              <w:left w:val="nil"/>
              <w:bottom w:val="single" w:sz="4" w:space="0" w:color="auto"/>
              <w:right w:val="single" w:sz="4" w:space="0" w:color="auto"/>
            </w:tcBorders>
            <w:shd w:val="clear" w:color="auto" w:fill="auto"/>
            <w:vAlign w:val="center"/>
            <w:hideMark/>
          </w:tcPr>
          <w:p w14:paraId="3573F81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2012</w:t>
            </w:r>
          </w:p>
        </w:tc>
        <w:tc>
          <w:tcPr>
            <w:tcW w:w="704" w:type="pct"/>
            <w:tcBorders>
              <w:top w:val="nil"/>
              <w:left w:val="nil"/>
              <w:bottom w:val="single" w:sz="4" w:space="0" w:color="auto"/>
              <w:right w:val="single" w:sz="4" w:space="0" w:color="auto"/>
            </w:tcBorders>
            <w:shd w:val="clear" w:color="auto" w:fill="auto"/>
            <w:vAlign w:val="center"/>
            <w:hideMark/>
          </w:tcPr>
          <w:p w14:paraId="3D00665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DATIP</w:t>
            </w:r>
          </w:p>
        </w:tc>
        <w:tc>
          <w:tcPr>
            <w:tcW w:w="701" w:type="pct"/>
            <w:tcBorders>
              <w:top w:val="nil"/>
              <w:left w:val="nil"/>
              <w:bottom w:val="single" w:sz="4" w:space="0" w:color="auto"/>
              <w:right w:val="single" w:sz="4" w:space="0" w:color="auto"/>
            </w:tcBorders>
            <w:shd w:val="clear" w:color="auto" w:fill="auto"/>
            <w:vAlign w:val="center"/>
            <w:hideMark/>
          </w:tcPr>
          <w:p w14:paraId="5362D9F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Fédération canadienne des municipalités</w:t>
            </w:r>
          </w:p>
        </w:tc>
      </w:tr>
      <w:tr w:rsidR="00F927A2" w:rsidRPr="00615D4B" w14:paraId="6FAE18FE" w14:textId="77777777" w:rsidTr="00F927A2">
        <w:trPr>
          <w:trHeight w:val="1500"/>
        </w:trPr>
        <w:tc>
          <w:tcPr>
            <w:tcW w:w="445" w:type="pct"/>
            <w:vMerge/>
            <w:tcBorders>
              <w:top w:val="nil"/>
              <w:left w:val="single" w:sz="8" w:space="0" w:color="auto"/>
              <w:bottom w:val="single" w:sz="4" w:space="0" w:color="000000"/>
              <w:right w:val="single" w:sz="4" w:space="0" w:color="auto"/>
            </w:tcBorders>
            <w:vAlign w:val="center"/>
            <w:hideMark/>
          </w:tcPr>
          <w:p w14:paraId="64BBD19A"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1464F35D"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auto"/>
              <w:right w:val="single" w:sz="4" w:space="0" w:color="auto"/>
            </w:tcBorders>
            <w:vAlign w:val="center"/>
            <w:hideMark/>
          </w:tcPr>
          <w:p w14:paraId="7FD8F845"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41B965D4"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 et Plan d’Urbanisme pour la Ville de Léogane et sa région périurbaine</w:t>
            </w:r>
          </w:p>
        </w:tc>
        <w:tc>
          <w:tcPr>
            <w:tcW w:w="626" w:type="pct"/>
            <w:tcBorders>
              <w:top w:val="nil"/>
              <w:left w:val="nil"/>
              <w:bottom w:val="single" w:sz="4" w:space="0" w:color="auto"/>
              <w:right w:val="single" w:sz="4" w:space="0" w:color="auto"/>
            </w:tcBorders>
            <w:shd w:val="clear" w:color="auto" w:fill="auto"/>
            <w:vAlign w:val="center"/>
            <w:hideMark/>
          </w:tcPr>
          <w:p w14:paraId="00844C1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FAES (remis à la Mairie)</w:t>
            </w:r>
          </w:p>
        </w:tc>
        <w:tc>
          <w:tcPr>
            <w:tcW w:w="625" w:type="pct"/>
            <w:tcBorders>
              <w:top w:val="nil"/>
              <w:left w:val="nil"/>
              <w:bottom w:val="single" w:sz="4" w:space="0" w:color="auto"/>
              <w:right w:val="single" w:sz="4" w:space="0" w:color="auto"/>
            </w:tcBorders>
            <w:shd w:val="clear" w:color="auto" w:fill="auto"/>
            <w:vAlign w:val="center"/>
            <w:hideMark/>
          </w:tcPr>
          <w:p w14:paraId="6E689CB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2012</w:t>
            </w:r>
          </w:p>
        </w:tc>
        <w:tc>
          <w:tcPr>
            <w:tcW w:w="704" w:type="pct"/>
            <w:tcBorders>
              <w:top w:val="nil"/>
              <w:left w:val="nil"/>
              <w:bottom w:val="single" w:sz="4" w:space="0" w:color="auto"/>
              <w:right w:val="single" w:sz="4" w:space="0" w:color="auto"/>
            </w:tcBorders>
            <w:shd w:val="clear" w:color="auto" w:fill="auto"/>
            <w:vAlign w:val="center"/>
            <w:hideMark/>
          </w:tcPr>
          <w:p w14:paraId="3E50404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FAES/Sodade (Haïti)</w:t>
            </w:r>
          </w:p>
        </w:tc>
        <w:tc>
          <w:tcPr>
            <w:tcW w:w="701" w:type="pct"/>
            <w:tcBorders>
              <w:top w:val="nil"/>
              <w:left w:val="nil"/>
              <w:bottom w:val="single" w:sz="4" w:space="0" w:color="auto"/>
              <w:right w:val="single" w:sz="4" w:space="0" w:color="auto"/>
            </w:tcBorders>
            <w:shd w:val="clear" w:color="auto" w:fill="auto"/>
            <w:vAlign w:val="center"/>
            <w:hideMark/>
          </w:tcPr>
          <w:p w14:paraId="27BF445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Trésor Public (Programme RELEO/Reconstruction de Léogâne co-financé par la KfW)</w:t>
            </w:r>
          </w:p>
        </w:tc>
      </w:tr>
      <w:tr w:rsidR="00F927A2" w:rsidRPr="00645A24" w14:paraId="3BC865FD" w14:textId="77777777" w:rsidTr="00F927A2">
        <w:trPr>
          <w:trHeight w:val="1245"/>
        </w:trPr>
        <w:tc>
          <w:tcPr>
            <w:tcW w:w="445" w:type="pct"/>
            <w:vMerge/>
            <w:tcBorders>
              <w:top w:val="nil"/>
              <w:left w:val="single" w:sz="8" w:space="0" w:color="auto"/>
              <w:bottom w:val="single" w:sz="4" w:space="0" w:color="000000"/>
              <w:right w:val="single" w:sz="4" w:space="0" w:color="auto"/>
            </w:tcBorders>
            <w:vAlign w:val="center"/>
            <w:hideMark/>
          </w:tcPr>
          <w:p w14:paraId="0501C27C"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2F8ECC6A"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auto"/>
              <w:right w:val="single" w:sz="4" w:space="0" w:color="auto"/>
            </w:tcBorders>
            <w:vAlign w:val="center"/>
            <w:hideMark/>
          </w:tcPr>
          <w:p w14:paraId="1444CF49"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2ED0CFA7" w14:textId="77777777" w:rsidR="00F927A2" w:rsidRPr="00645A24" w:rsidRDefault="00F927A2" w:rsidP="00F927A2">
            <w:pPr>
              <w:rPr>
                <w:rFonts w:ascii="Calibri" w:hAnsi="Calibri"/>
                <w:color w:val="000000"/>
                <w:sz w:val="20"/>
              </w:rPr>
            </w:pPr>
            <w:r w:rsidRPr="00645A24">
              <w:rPr>
                <w:rFonts w:ascii="Calibri" w:hAnsi="Calibri"/>
                <w:color w:val="000000"/>
                <w:sz w:val="20"/>
              </w:rPr>
              <w:t>Esquisse de plan d'urbanisme pour la ville</w:t>
            </w:r>
          </w:p>
        </w:tc>
        <w:tc>
          <w:tcPr>
            <w:tcW w:w="626" w:type="pct"/>
            <w:tcBorders>
              <w:top w:val="nil"/>
              <w:left w:val="nil"/>
              <w:bottom w:val="single" w:sz="4" w:space="0" w:color="auto"/>
              <w:right w:val="single" w:sz="4" w:space="0" w:color="auto"/>
            </w:tcBorders>
            <w:shd w:val="clear" w:color="auto" w:fill="auto"/>
            <w:vAlign w:val="center"/>
            <w:hideMark/>
          </w:tcPr>
          <w:p w14:paraId="1BBB12F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En attente de validation</w:t>
            </w:r>
          </w:p>
        </w:tc>
        <w:tc>
          <w:tcPr>
            <w:tcW w:w="625" w:type="pct"/>
            <w:tcBorders>
              <w:top w:val="nil"/>
              <w:left w:val="nil"/>
              <w:bottom w:val="single" w:sz="4" w:space="0" w:color="auto"/>
              <w:right w:val="single" w:sz="4" w:space="0" w:color="auto"/>
            </w:tcBorders>
            <w:shd w:val="clear" w:color="auto" w:fill="auto"/>
            <w:vAlign w:val="center"/>
            <w:hideMark/>
          </w:tcPr>
          <w:p w14:paraId="72D414C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4D2EF2B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1D21FBDF" w14:textId="77777777" w:rsidR="00F927A2" w:rsidRPr="00645A24" w:rsidRDefault="00F927A2" w:rsidP="00F927A2">
            <w:pPr>
              <w:jc w:val="center"/>
              <w:rPr>
                <w:rFonts w:ascii="Calibri" w:hAnsi="Calibri"/>
                <w:sz w:val="20"/>
              </w:rPr>
            </w:pPr>
            <w:r w:rsidRPr="00645A24">
              <w:rPr>
                <w:rFonts w:ascii="Calibri" w:hAnsi="Calibri"/>
                <w:sz w:val="20"/>
              </w:rPr>
              <w:t>FRH (PARLOQ)</w:t>
            </w:r>
          </w:p>
        </w:tc>
      </w:tr>
      <w:tr w:rsidR="00F927A2" w:rsidRPr="00645A24" w14:paraId="6F1140E8" w14:textId="77777777" w:rsidTr="00F927A2">
        <w:trPr>
          <w:trHeight w:val="1800"/>
        </w:trPr>
        <w:tc>
          <w:tcPr>
            <w:tcW w:w="445" w:type="pct"/>
            <w:vMerge/>
            <w:tcBorders>
              <w:top w:val="nil"/>
              <w:left w:val="single" w:sz="8" w:space="0" w:color="auto"/>
              <w:bottom w:val="single" w:sz="4" w:space="0" w:color="000000"/>
              <w:right w:val="single" w:sz="4" w:space="0" w:color="auto"/>
            </w:tcBorders>
            <w:vAlign w:val="center"/>
            <w:hideMark/>
          </w:tcPr>
          <w:p w14:paraId="11FD7BCC"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4482EF44" w14:textId="77777777" w:rsidR="00F927A2" w:rsidRPr="00645A24" w:rsidRDefault="00F927A2" w:rsidP="00F927A2">
            <w:pPr>
              <w:jc w:val="left"/>
              <w:rPr>
                <w:rFonts w:ascii="Calibri" w:hAnsi="Calibri"/>
                <w:sz w:val="20"/>
              </w:rPr>
            </w:pPr>
          </w:p>
        </w:tc>
        <w:tc>
          <w:tcPr>
            <w:tcW w:w="62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E21D958" w14:textId="77777777" w:rsidR="00F927A2" w:rsidRPr="00645A24" w:rsidRDefault="00F927A2" w:rsidP="00F927A2">
            <w:pPr>
              <w:jc w:val="center"/>
              <w:rPr>
                <w:rFonts w:ascii="Calibri" w:hAnsi="Calibri"/>
                <w:sz w:val="20"/>
              </w:rPr>
            </w:pPr>
            <w:r w:rsidRPr="00645A24">
              <w:rPr>
                <w:rFonts w:ascii="Calibri" w:hAnsi="Calibri"/>
                <w:sz w:val="20"/>
              </w:rPr>
              <w:t>Petit-Goâve</w:t>
            </w:r>
          </w:p>
        </w:tc>
        <w:tc>
          <w:tcPr>
            <w:tcW w:w="625" w:type="pct"/>
            <w:tcBorders>
              <w:top w:val="nil"/>
              <w:left w:val="nil"/>
              <w:bottom w:val="single" w:sz="4" w:space="0" w:color="auto"/>
              <w:right w:val="single" w:sz="4" w:space="0" w:color="auto"/>
            </w:tcBorders>
            <w:shd w:val="clear" w:color="auto" w:fill="auto"/>
            <w:vAlign w:val="center"/>
            <w:hideMark/>
          </w:tcPr>
          <w:p w14:paraId="239BF66A" w14:textId="77777777" w:rsidR="00F927A2" w:rsidRPr="00645A24" w:rsidRDefault="00F927A2" w:rsidP="00F927A2">
            <w:pPr>
              <w:rPr>
                <w:rFonts w:ascii="Calibri" w:hAnsi="Calibri"/>
                <w:color w:val="000000"/>
                <w:sz w:val="20"/>
              </w:rPr>
            </w:pPr>
            <w:r w:rsidRPr="00645A24">
              <w:rPr>
                <w:rFonts w:ascii="Calibri" w:hAnsi="Calibri"/>
                <w:color w:val="000000"/>
                <w:sz w:val="20"/>
              </w:rPr>
              <w:t>Plan d'urbanisme sommaire (PUS) + Plan d'investissement associé</w:t>
            </w:r>
          </w:p>
        </w:tc>
        <w:tc>
          <w:tcPr>
            <w:tcW w:w="626" w:type="pct"/>
            <w:tcBorders>
              <w:top w:val="nil"/>
              <w:left w:val="nil"/>
              <w:bottom w:val="single" w:sz="4" w:space="0" w:color="auto"/>
              <w:right w:val="single" w:sz="4" w:space="0" w:color="auto"/>
            </w:tcBorders>
            <w:shd w:val="clear" w:color="auto" w:fill="auto"/>
            <w:vAlign w:val="center"/>
            <w:hideMark/>
          </w:tcPr>
          <w:p w14:paraId="3148F44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xml:space="preserve">Validé par arrêté par Conseil municipal et transmit à l'Etat Central pour validation </w:t>
            </w:r>
          </w:p>
        </w:tc>
        <w:tc>
          <w:tcPr>
            <w:tcW w:w="625" w:type="pct"/>
            <w:tcBorders>
              <w:top w:val="nil"/>
              <w:left w:val="nil"/>
              <w:bottom w:val="single" w:sz="4" w:space="0" w:color="auto"/>
              <w:right w:val="single" w:sz="4" w:space="0" w:color="auto"/>
            </w:tcBorders>
            <w:shd w:val="clear" w:color="auto" w:fill="auto"/>
            <w:vAlign w:val="center"/>
            <w:hideMark/>
          </w:tcPr>
          <w:p w14:paraId="56D05BB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2012</w:t>
            </w:r>
          </w:p>
        </w:tc>
        <w:tc>
          <w:tcPr>
            <w:tcW w:w="704" w:type="pct"/>
            <w:tcBorders>
              <w:top w:val="nil"/>
              <w:left w:val="nil"/>
              <w:bottom w:val="single" w:sz="4" w:space="0" w:color="auto"/>
              <w:right w:val="single" w:sz="4" w:space="0" w:color="auto"/>
            </w:tcBorders>
            <w:shd w:val="clear" w:color="auto" w:fill="auto"/>
            <w:vAlign w:val="center"/>
            <w:hideMark/>
          </w:tcPr>
          <w:p w14:paraId="125AD14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DATIP</w:t>
            </w:r>
          </w:p>
        </w:tc>
        <w:tc>
          <w:tcPr>
            <w:tcW w:w="701" w:type="pct"/>
            <w:tcBorders>
              <w:top w:val="nil"/>
              <w:left w:val="nil"/>
              <w:bottom w:val="single" w:sz="4" w:space="0" w:color="auto"/>
              <w:right w:val="single" w:sz="4" w:space="0" w:color="auto"/>
            </w:tcBorders>
            <w:shd w:val="clear" w:color="auto" w:fill="auto"/>
            <w:vAlign w:val="center"/>
            <w:hideMark/>
          </w:tcPr>
          <w:p w14:paraId="411C205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Fédération canadienne des municipalités</w:t>
            </w:r>
          </w:p>
        </w:tc>
      </w:tr>
      <w:tr w:rsidR="00F927A2" w:rsidRPr="00645A24" w14:paraId="2772FE57" w14:textId="77777777" w:rsidTr="00F927A2">
        <w:trPr>
          <w:trHeight w:val="1215"/>
        </w:trPr>
        <w:tc>
          <w:tcPr>
            <w:tcW w:w="445" w:type="pct"/>
            <w:vMerge/>
            <w:tcBorders>
              <w:top w:val="nil"/>
              <w:left w:val="single" w:sz="8" w:space="0" w:color="auto"/>
              <w:bottom w:val="single" w:sz="4" w:space="0" w:color="000000"/>
              <w:right w:val="single" w:sz="4" w:space="0" w:color="auto"/>
            </w:tcBorders>
            <w:vAlign w:val="center"/>
            <w:hideMark/>
          </w:tcPr>
          <w:p w14:paraId="03F3F0EE"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406E9C9F"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6E7B6882"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0F6540E2" w14:textId="77777777" w:rsidR="00F927A2" w:rsidRPr="00645A24" w:rsidRDefault="00F927A2" w:rsidP="00F927A2">
            <w:pPr>
              <w:rPr>
                <w:rFonts w:ascii="Calibri" w:hAnsi="Calibri"/>
                <w:color w:val="000000"/>
                <w:sz w:val="20"/>
              </w:rPr>
            </w:pPr>
            <w:r w:rsidRPr="00645A24">
              <w:rPr>
                <w:rFonts w:ascii="Calibri" w:hAnsi="Calibri"/>
                <w:color w:val="000000"/>
                <w:sz w:val="20"/>
              </w:rPr>
              <w:t>Esquisse de plan d'urbanisme pour la ville</w:t>
            </w:r>
          </w:p>
        </w:tc>
        <w:tc>
          <w:tcPr>
            <w:tcW w:w="626" w:type="pct"/>
            <w:tcBorders>
              <w:top w:val="nil"/>
              <w:left w:val="nil"/>
              <w:bottom w:val="single" w:sz="4" w:space="0" w:color="auto"/>
              <w:right w:val="single" w:sz="4" w:space="0" w:color="auto"/>
            </w:tcBorders>
            <w:shd w:val="clear" w:color="auto" w:fill="auto"/>
            <w:vAlign w:val="center"/>
            <w:hideMark/>
          </w:tcPr>
          <w:p w14:paraId="3A76E91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En attente de validation</w:t>
            </w:r>
          </w:p>
        </w:tc>
        <w:tc>
          <w:tcPr>
            <w:tcW w:w="625" w:type="pct"/>
            <w:tcBorders>
              <w:top w:val="nil"/>
              <w:left w:val="nil"/>
              <w:bottom w:val="single" w:sz="4" w:space="0" w:color="auto"/>
              <w:right w:val="single" w:sz="4" w:space="0" w:color="auto"/>
            </w:tcBorders>
            <w:shd w:val="clear" w:color="auto" w:fill="auto"/>
            <w:vAlign w:val="center"/>
            <w:hideMark/>
          </w:tcPr>
          <w:p w14:paraId="7ED983D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79A33FB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06D1533D" w14:textId="77777777" w:rsidR="00F927A2" w:rsidRPr="00645A24" w:rsidRDefault="00F927A2" w:rsidP="00F927A2">
            <w:pPr>
              <w:jc w:val="center"/>
              <w:rPr>
                <w:rFonts w:ascii="Calibri" w:hAnsi="Calibri"/>
                <w:sz w:val="20"/>
              </w:rPr>
            </w:pPr>
            <w:r w:rsidRPr="00645A24">
              <w:rPr>
                <w:rFonts w:ascii="Calibri" w:hAnsi="Calibri"/>
                <w:sz w:val="20"/>
              </w:rPr>
              <w:t>FRH (PARLOQ)</w:t>
            </w:r>
          </w:p>
        </w:tc>
      </w:tr>
      <w:tr w:rsidR="00F927A2" w:rsidRPr="00645A24" w14:paraId="52816A98" w14:textId="77777777" w:rsidTr="00F927A2">
        <w:trPr>
          <w:trHeight w:val="1215"/>
        </w:trPr>
        <w:tc>
          <w:tcPr>
            <w:tcW w:w="445" w:type="pct"/>
            <w:vMerge/>
            <w:tcBorders>
              <w:top w:val="nil"/>
              <w:left w:val="single" w:sz="8" w:space="0" w:color="auto"/>
              <w:bottom w:val="single" w:sz="4" w:space="0" w:color="000000"/>
              <w:right w:val="single" w:sz="4" w:space="0" w:color="auto"/>
            </w:tcBorders>
            <w:vAlign w:val="center"/>
            <w:hideMark/>
          </w:tcPr>
          <w:p w14:paraId="01940568"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26A02A4B"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69834BF9"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6D0674CC" w14:textId="77777777" w:rsidR="00F927A2" w:rsidRPr="00645A24" w:rsidRDefault="00F927A2" w:rsidP="00F927A2">
            <w:pPr>
              <w:rPr>
                <w:rFonts w:ascii="Calibri" w:hAnsi="Calibri"/>
                <w:color w:val="000000"/>
                <w:sz w:val="20"/>
              </w:rPr>
            </w:pPr>
            <w:r w:rsidRPr="00645A24">
              <w:rPr>
                <w:rFonts w:ascii="Calibri" w:hAnsi="Calibri"/>
                <w:color w:val="000000"/>
                <w:sz w:val="20"/>
              </w:rPr>
              <w:t>Schéma d'aménagement des quartiers du Centre-Ville et de Fort Liberté</w:t>
            </w:r>
          </w:p>
        </w:tc>
        <w:tc>
          <w:tcPr>
            <w:tcW w:w="626" w:type="pct"/>
            <w:tcBorders>
              <w:top w:val="nil"/>
              <w:left w:val="nil"/>
              <w:bottom w:val="single" w:sz="4" w:space="0" w:color="auto"/>
              <w:right w:val="single" w:sz="4" w:space="0" w:color="auto"/>
            </w:tcBorders>
            <w:shd w:val="clear" w:color="auto" w:fill="auto"/>
            <w:vAlign w:val="center"/>
            <w:hideMark/>
          </w:tcPr>
          <w:p w14:paraId="2BBB967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 Comité Technique Interministériel</w:t>
            </w:r>
          </w:p>
        </w:tc>
        <w:tc>
          <w:tcPr>
            <w:tcW w:w="625" w:type="pct"/>
            <w:tcBorders>
              <w:top w:val="nil"/>
              <w:left w:val="nil"/>
              <w:bottom w:val="single" w:sz="4" w:space="0" w:color="auto"/>
              <w:right w:val="single" w:sz="4" w:space="0" w:color="auto"/>
            </w:tcBorders>
            <w:shd w:val="clear" w:color="auto" w:fill="auto"/>
            <w:vAlign w:val="center"/>
            <w:hideMark/>
          </w:tcPr>
          <w:p w14:paraId="568843D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2014</w:t>
            </w:r>
          </w:p>
        </w:tc>
        <w:tc>
          <w:tcPr>
            <w:tcW w:w="704" w:type="pct"/>
            <w:tcBorders>
              <w:top w:val="nil"/>
              <w:left w:val="nil"/>
              <w:bottom w:val="single" w:sz="4" w:space="0" w:color="auto"/>
              <w:right w:val="single" w:sz="4" w:space="0" w:color="auto"/>
            </w:tcBorders>
            <w:shd w:val="clear" w:color="auto" w:fill="auto"/>
            <w:vAlign w:val="center"/>
            <w:hideMark/>
          </w:tcPr>
          <w:p w14:paraId="449FB5E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Welthungerhilfe</w:t>
            </w:r>
          </w:p>
        </w:tc>
        <w:tc>
          <w:tcPr>
            <w:tcW w:w="701" w:type="pct"/>
            <w:tcBorders>
              <w:top w:val="nil"/>
              <w:left w:val="nil"/>
              <w:bottom w:val="single" w:sz="4" w:space="0" w:color="auto"/>
              <w:right w:val="single" w:sz="4" w:space="0" w:color="auto"/>
            </w:tcBorders>
            <w:shd w:val="clear" w:color="auto" w:fill="auto"/>
            <w:vAlign w:val="center"/>
            <w:hideMark/>
          </w:tcPr>
          <w:p w14:paraId="3E11F8C5" w14:textId="77777777" w:rsidR="00F927A2" w:rsidRPr="00645A24" w:rsidRDefault="00F927A2" w:rsidP="00F927A2">
            <w:pPr>
              <w:jc w:val="center"/>
              <w:rPr>
                <w:rFonts w:ascii="Calibri" w:hAnsi="Calibri"/>
                <w:sz w:val="20"/>
              </w:rPr>
            </w:pPr>
            <w:r w:rsidRPr="00645A24">
              <w:rPr>
                <w:rFonts w:ascii="Calibri" w:hAnsi="Calibri"/>
                <w:sz w:val="20"/>
              </w:rPr>
              <w:t>UE (PARAQ)</w:t>
            </w:r>
          </w:p>
        </w:tc>
      </w:tr>
      <w:tr w:rsidR="00F927A2" w:rsidRPr="00645A24" w14:paraId="39E1CD2A" w14:textId="77777777" w:rsidTr="00F927A2">
        <w:trPr>
          <w:trHeight w:val="2190"/>
        </w:trPr>
        <w:tc>
          <w:tcPr>
            <w:tcW w:w="445" w:type="pct"/>
            <w:vMerge/>
            <w:tcBorders>
              <w:top w:val="nil"/>
              <w:left w:val="single" w:sz="8" w:space="0" w:color="auto"/>
              <w:bottom w:val="single" w:sz="4" w:space="0" w:color="000000"/>
              <w:right w:val="single" w:sz="4" w:space="0" w:color="auto"/>
            </w:tcBorders>
            <w:vAlign w:val="center"/>
            <w:hideMark/>
          </w:tcPr>
          <w:p w14:paraId="49E31891"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28325A3A" w14:textId="77777777" w:rsidR="00F927A2" w:rsidRPr="00645A24" w:rsidRDefault="00F927A2" w:rsidP="00F927A2">
            <w:pPr>
              <w:jc w:val="left"/>
              <w:rPr>
                <w:rFonts w:ascii="Calibri" w:hAnsi="Calibri"/>
                <w:sz w:val="20"/>
              </w:rPr>
            </w:pPr>
          </w:p>
        </w:tc>
        <w:tc>
          <w:tcPr>
            <w:tcW w:w="626" w:type="pct"/>
            <w:vMerge w:val="restart"/>
            <w:tcBorders>
              <w:top w:val="nil"/>
              <w:left w:val="single" w:sz="4" w:space="0" w:color="auto"/>
              <w:bottom w:val="single" w:sz="4" w:space="0" w:color="auto"/>
              <w:right w:val="single" w:sz="4" w:space="0" w:color="auto"/>
            </w:tcBorders>
            <w:shd w:val="clear" w:color="000000" w:fill="FFFFFF"/>
            <w:vAlign w:val="center"/>
            <w:hideMark/>
          </w:tcPr>
          <w:p w14:paraId="2EBC3DF6" w14:textId="77777777" w:rsidR="00F927A2" w:rsidRPr="00645A24" w:rsidRDefault="00F927A2" w:rsidP="00F927A2">
            <w:pPr>
              <w:jc w:val="center"/>
              <w:rPr>
                <w:rFonts w:ascii="Calibri" w:hAnsi="Calibri"/>
                <w:sz w:val="20"/>
              </w:rPr>
            </w:pPr>
            <w:r w:rsidRPr="00645A24">
              <w:rPr>
                <w:rFonts w:ascii="Calibri" w:hAnsi="Calibri"/>
                <w:sz w:val="20"/>
              </w:rPr>
              <w:t>Grand-Goâve</w:t>
            </w:r>
          </w:p>
        </w:tc>
        <w:tc>
          <w:tcPr>
            <w:tcW w:w="625" w:type="pct"/>
            <w:tcBorders>
              <w:top w:val="nil"/>
              <w:left w:val="nil"/>
              <w:bottom w:val="single" w:sz="4" w:space="0" w:color="auto"/>
              <w:right w:val="single" w:sz="4" w:space="0" w:color="auto"/>
            </w:tcBorders>
            <w:shd w:val="clear" w:color="auto" w:fill="auto"/>
            <w:vAlign w:val="center"/>
            <w:hideMark/>
          </w:tcPr>
          <w:p w14:paraId="06A1C682" w14:textId="77777777" w:rsidR="00F927A2" w:rsidRPr="00645A24" w:rsidRDefault="00F927A2" w:rsidP="00F927A2">
            <w:pPr>
              <w:rPr>
                <w:rFonts w:ascii="Calibri" w:hAnsi="Calibri"/>
                <w:color w:val="000000"/>
                <w:sz w:val="20"/>
              </w:rPr>
            </w:pPr>
            <w:r w:rsidRPr="00645A24">
              <w:rPr>
                <w:rFonts w:ascii="Calibri" w:hAnsi="Calibri"/>
                <w:color w:val="000000"/>
                <w:sz w:val="20"/>
              </w:rPr>
              <w:t>Plan d'urbanisme sommaire (PUS) + Plan d'investissement associé</w:t>
            </w:r>
          </w:p>
        </w:tc>
        <w:tc>
          <w:tcPr>
            <w:tcW w:w="626" w:type="pct"/>
            <w:tcBorders>
              <w:top w:val="nil"/>
              <w:left w:val="nil"/>
              <w:bottom w:val="single" w:sz="4" w:space="0" w:color="auto"/>
              <w:right w:val="single" w:sz="4" w:space="0" w:color="auto"/>
            </w:tcBorders>
            <w:shd w:val="clear" w:color="auto" w:fill="auto"/>
            <w:vAlign w:val="center"/>
            <w:hideMark/>
          </w:tcPr>
          <w:p w14:paraId="07492F4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xml:space="preserve">Validé par arrêté par Conseil municipal et transmit à l'Etat Central pour validation </w:t>
            </w:r>
          </w:p>
        </w:tc>
        <w:tc>
          <w:tcPr>
            <w:tcW w:w="625" w:type="pct"/>
            <w:tcBorders>
              <w:top w:val="nil"/>
              <w:left w:val="nil"/>
              <w:bottom w:val="single" w:sz="4" w:space="0" w:color="auto"/>
              <w:right w:val="single" w:sz="4" w:space="0" w:color="auto"/>
            </w:tcBorders>
            <w:shd w:val="clear" w:color="auto" w:fill="auto"/>
            <w:vAlign w:val="center"/>
            <w:hideMark/>
          </w:tcPr>
          <w:p w14:paraId="1DA7D6F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2012</w:t>
            </w:r>
          </w:p>
        </w:tc>
        <w:tc>
          <w:tcPr>
            <w:tcW w:w="704" w:type="pct"/>
            <w:tcBorders>
              <w:top w:val="nil"/>
              <w:left w:val="nil"/>
              <w:bottom w:val="single" w:sz="4" w:space="0" w:color="auto"/>
              <w:right w:val="single" w:sz="4" w:space="0" w:color="auto"/>
            </w:tcBorders>
            <w:shd w:val="clear" w:color="auto" w:fill="auto"/>
            <w:vAlign w:val="center"/>
            <w:hideMark/>
          </w:tcPr>
          <w:p w14:paraId="4AEF8F1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DATIP</w:t>
            </w:r>
          </w:p>
        </w:tc>
        <w:tc>
          <w:tcPr>
            <w:tcW w:w="701" w:type="pct"/>
            <w:tcBorders>
              <w:top w:val="nil"/>
              <w:left w:val="nil"/>
              <w:bottom w:val="single" w:sz="4" w:space="0" w:color="auto"/>
              <w:right w:val="single" w:sz="4" w:space="0" w:color="auto"/>
            </w:tcBorders>
            <w:shd w:val="clear" w:color="auto" w:fill="auto"/>
            <w:vAlign w:val="center"/>
            <w:hideMark/>
          </w:tcPr>
          <w:p w14:paraId="63511D6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Fédération canadienne des municipalités</w:t>
            </w:r>
          </w:p>
        </w:tc>
      </w:tr>
      <w:tr w:rsidR="00F927A2" w:rsidRPr="00645A24" w14:paraId="6C2CDE92" w14:textId="77777777" w:rsidTr="00F927A2">
        <w:trPr>
          <w:trHeight w:val="600"/>
        </w:trPr>
        <w:tc>
          <w:tcPr>
            <w:tcW w:w="445" w:type="pct"/>
            <w:vMerge/>
            <w:tcBorders>
              <w:top w:val="nil"/>
              <w:left w:val="single" w:sz="8" w:space="0" w:color="auto"/>
              <w:bottom w:val="single" w:sz="4" w:space="0" w:color="000000"/>
              <w:right w:val="single" w:sz="4" w:space="0" w:color="auto"/>
            </w:tcBorders>
            <w:vAlign w:val="center"/>
            <w:hideMark/>
          </w:tcPr>
          <w:p w14:paraId="26888872"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5EE73C21"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auto"/>
              <w:right w:val="single" w:sz="4" w:space="0" w:color="auto"/>
            </w:tcBorders>
            <w:vAlign w:val="center"/>
            <w:hideMark/>
          </w:tcPr>
          <w:p w14:paraId="67FA9919"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13D04F7E" w14:textId="77777777" w:rsidR="00F927A2" w:rsidRPr="00645A24" w:rsidRDefault="00F927A2" w:rsidP="00F927A2">
            <w:pPr>
              <w:rPr>
                <w:rFonts w:ascii="Calibri" w:hAnsi="Calibri"/>
                <w:color w:val="000000"/>
                <w:sz w:val="20"/>
              </w:rPr>
            </w:pPr>
            <w:r w:rsidRPr="00645A24">
              <w:rPr>
                <w:rFonts w:ascii="Calibri" w:hAnsi="Calibri"/>
                <w:color w:val="000000"/>
                <w:sz w:val="20"/>
              </w:rPr>
              <w:t>Esquisse de plan d'urbanisme pour la ville</w:t>
            </w:r>
          </w:p>
        </w:tc>
        <w:tc>
          <w:tcPr>
            <w:tcW w:w="626" w:type="pct"/>
            <w:tcBorders>
              <w:top w:val="nil"/>
              <w:left w:val="nil"/>
              <w:bottom w:val="single" w:sz="4" w:space="0" w:color="auto"/>
              <w:right w:val="single" w:sz="4" w:space="0" w:color="auto"/>
            </w:tcBorders>
            <w:shd w:val="clear" w:color="auto" w:fill="auto"/>
            <w:vAlign w:val="center"/>
            <w:hideMark/>
          </w:tcPr>
          <w:p w14:paraId="39864E7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707D262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0C2EDC0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7CBCA5AD" w14:textId="77777777" w:rsidR="00F927A2" w:rsidRPr="00645A24" w:rsidRDefault="00F927A2" w:rsidP="00F927A2">
            <w:pPr>
              <w:jc w:val="center"/>
              <w:rPr>
                <w:rFonts w:ascii="Calibri" w:hAnsi="Calibri"/>
                <w:sz w:val="20"/>
              </w:rPr>
            </w:pPr>
            <w:r w:rsidRPr="00645A24">
              <w:rPr>
                <w:rFonts w:ascii="Calibri" w:hAnsi="Calibri"/>
                <w:sz w:val="20"/>
              </w:rPr>
              <w:t>FRH (PARLOQ)</w:t>
            </w:r>
          </w:p>
        </w:tc>
      </w:tr>
      <w:tr w:rsidR="00F927A2" w:rsidRPr="00645A24" w14:paraId="13F988F3" w14:textId="77777777" w:rsidTr="00F927A2">
        <w:trPr>
          <w:trHeight w:val="900"/>
        </w:trPr>
        <w:tc>
          <w:tcPr>
            <w:tcW w:w="445" w:type="pct"/>
            <w:vMerge w:val="restart"/>
            <w:tcBorders>
              <w:top w:val="nil"/>
              <w:left w:val="single" w:sz="8" w:space="0" w:color="auto"/>
              <w:bottom w:val="single" w:sz="4" w:space="0" w:color="auto"/>
              <w:right w:val="single" w:sz="4" w:space="0" w:color="auto"/>
            </w:tcBorders>
            <w:shd w:val="clear" w:color="000000" w:fill="FFFFFF"/>
            <w:vAlign w:val="center"/>
            <w:hideMark/>
          </w:tcPr>
          <w:p w14:paraId="106389A4" w14:textId="77777777" w:rsidR="00F927A2" w:rsidRPr="00645A24" w:rsidRDefault="00F927A2" w:rsidP="00F927A2">
            <w:pPr>
              <w:jc w:val="center"/>
              <w:rPr>
                <w:rFonts w:ascii="Calibri" w:hAnsi="Calibri"/>
                <w:sz w:val="20"/>
              </w:rPr>
            </w:pPr>
            <w:r w:rsidRPr="00645A24">
              <w:rPr>
                <w:rFonts w:ascii="Calibri" w:hAnsi="Calibri"/>
                <w:sz w:val="20"/>
              </w:rPr>
              <w:t>Nippes</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55A42321" w14:textId="77777777" w:rsidR="00F927A2" w:rsidRPr="00645A24" w:rsidRDefault="00F927A2" w:rsidP="00F927A2">
            <w:pPr>
              <w:jc w:val="center"/>
              <w:rPr>
                <w:rFonts w:ascii="Calibri" w:hAnsi="Calibri"/>
                <w:sz w:val="20"/>
              </w:rPr>
            </w:pPr>
            <w:r w:rsidRPr="00645A24">
              <w:rPr>
                <w:rFonts w:ascii="Calibri" w:hAnsi="Calibri"/>
                <w:sz w:val="20"/>
              </w:rPr>
              <w:t>Miragoâne</w:t>
            </w:r>
          </w:p>
        </w:tc>
        <w:tc>
          <w:tcPr>
            <w:tcW w:w="626" w:type="pct"/>
            <w:tcBorders>
              <w:top w:val="nil"/>
              <w:left w:val="nil"/>
              <w:bottom w:val="single" w:sz="4" w:space="0" w:color="auto"/>
              <w:right w:val="single" w:sz="4" w:space="0" w:color="auto"/>
            </w:tcBorders>
            <w:shd w:val="clear" w:color="000000" w:fill="FFFFFF"/>
            <w:vAlign w:val="center"/>
            <w:hideMark/>
          </w:tcPr>
          <w:p w14:paraId="14E49EEE" w14:textId="77777777" w:rsidR="00F927A2" w:rsidRPr="00645A24" w:rsidRDefault="00F927A2" w:rsidP="00F927A2">
            <w:pPr>
              <w:jc w:val="center"/>
              <w:rPr>
                <w:rFonts w:ascii="Calibri" w:hAnsi="Calibri"/>
                <w:sz w:val="20"/>
              </w:rPr>
            </w:pPr>
            <w:r w:rsidRPr="00645A24">
              <w:rPr>
                <w:rFonts w:ascii="Calibri" w:hAnsi="Calibri"/>
                <w:sz w:val="20"/>
              </w:rPr>
              <w:t>Miragoâne</w:t>
            </w:r>
          </w:p>
        </w:tc>
        <w:tc>
          <w:tcPr>
            <w:tcW w:w="625" w:type="pct"/>
            <w:tcBorders>
              <w:top w:val="nil"/>
              <w:left w:val="nil"/>
              <w:bottom w:val="single" w:sz="4" w:space="0" w:color="auto"/>
              <w:right w:val="single" w:sz="4" w:space="0" w:color="auto"/>
            </w:tcBorders>
            <w:shd w:val="clear" w:color="auto" w:fill="auto"/>
            <w:vAlign w:val="center"/>
            <w:hideMark/>
          </w:tcPr>
          <w:p w14:paraId="21B1C031"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3B26E65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Pas encore de validation municipale</w:t>
            </w:r>
          </w:p>
        </w:tc>
        <w:tc>
          <w:tcPr>
            <w:tcW w:w="625" w:type="pct"/>
            <w:tcBorders>
              <w:top w:val="nil"/>
              <w:left w:val="nil"/>
              <w:bottom w:val="single" w:sz="4" w:space="0" w:color="auto"/>
              <w:right w:val="single" w:sz="4" w:space="0" w:color="auto"/>
            </w:tcBorders>
            <w:shd w:val="clear" w:color="auto" w:fill="auto"/>
            <w:vAlign w:val="center"/>
            <w:hideMark/>
          </w:tcPr>
          <w:p w14:paraId="5E5EE5C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2015</w:t>
            </w:r>
          </w:p>
        </w:tc>
        <w:tc>
          <w:tcPr>
            <w:tcW w:w="704" w:type="pct"/>
            <w:tcBorders>
              <w:top w:val="nil"/>
              <w:left w:val="nil"/>
              <w:bottom w:val="single" w:sz="4" w:space="0" w:color="auto"/>
              <w:right w:val="single" w:sz="4" w:space="0" w:color="auto"/>
            </w:tcBorders>
            <w:shd w:val="clear" w:color="auto" w:fill="auto"/>
            <w:vAlign w:val="center"/>
            <w:hideMark/>
          </w:tcPr>
          <w:p w14:paraId="79A1E52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ATL</w:t>
            </w:r>
          </w:p>
        </w:tc>
        <w:tc>
          <w:tcPr>
            <w:tcW w:w="701" w:type="pct"/>
            <w:tcBorders>
              <w:top w:val="nil"/>
              <w:left w:val="nil"/>
              <w:bottom w:val="single" w:sz="4" w:space="0" w:color="auto"/>
              <w:right w:val="single" w:sz="4" w:space="0" w:color="auto"/>
            </w:tcBorders>
            <w:shd w:val="clear" w:color="auto" w:fill="auto"/>
            <w:vAlign w:val="center"/>
            <w:hideMark/>
          </w:tcPr>
          <w:p w14:paraId="52E0C52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PARLOQ</w:t>
            </w:r>
          </w:p>
        </w:tc>
      </w:tr>
      <w:tr w:rsidR="00F927A2" w:rsidRPr="00645A24" w14:paraId="7A03B51E" w14:textId="77777777" w:rsidTr="00F927A2">
        <w:trPr>
          <w:trHeight w:val="600"/>
        </w:trPr>
        <w:tc>
          <w:tcPr>
            <w:tcW w:w="445" w:type="pct"/>
            <w:vMerge/>
            <w:tcBorders>
              <w:top w:val="nil"/>
              <w:left w:val="single" w:sz="8" w:space="0" w:color="auto"/>
              <w:bottom w:val="single" w:sz="4" w:space="0" w:color="auto"/>
              <w:right w:val="single" w:sz="4" w:space="0" w:color="auto"/>
            </w:tcBorders>
            <w:vAlign w:val="center"/>
            <w:hideMark/>
          </w:tcPr>
          <w:p w14:paraId="670782D4"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2632F3D5"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auto" w:fill="auto"/>
            <w:vAlign w:val="center"/>
            <w:hideMark/>
          </w:tcPr>
          <w:p w14:paraId="0BC0ECAD" w14:textId="77777777" w:rsidR="00F927A2" w:rsidRPr="00645A24" w:rsidRDefault="00F927A2" w:rsidP="00F927A2">
            <w:pPr>
              <w:jc w:val="center"/>
              <w:rPr>
                <w:rFonts w:ascii="Calibri" w:hAnsi="Calibri"/>
                <w:sz w:val="20"/>
              </w:rPr>
            </w:pPr>
            <w:r w:rsidRPr="00645A24">
              <w:rPr>
                <w:rFonts w:ascii="Calibri" w:hAnsi="Calibri"/>
                <w:sz w:val="20"/>
              </w:rPr>
              <w:t>Petite-Rivière-de-Nippes</w:t>
            </w:r>
          </w:p>
        </w:tc>
        <w:tc>
          <w:tcPr>
            <w:tcW w:w="625" w:type="pct"/>
            <w:tcBorders>
              <w:top w:val="nil"/>
              <w:left w:val="nil"/>
              <w:bottom w:val="single" w:sz="4" w:space="0" w:color="auto"/>
              <w:right w:val="single" w:sz="4" w:space="0" w:color="auto"/>
            </w:tcBorders>
            <w:shd w:val="clear" w:color="auto" w:fill="auto"/>
            <w:vAlign w:val="center"/>
            <w:hideMark/>
          </w:tcPr>
          <w:p w14:paraId="03446877"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726858D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2826535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6157B91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7D63D58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r>
      <w:tr w:rsidR="00F927A2" w:rsidRPr="00645A24" w14:paraId="406C36E3"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7B4843B2"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1E59F0FD"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7B7ECDFB" w14:textId="77777777" w:rsidR="00F927A2" w:rsidRPr="00645A24" w:rsidRDefault="00F927A2" w:rsidP="00F927A2">
            <w:pPr>
              <w:jc w:val="center"/>
              <w:rPr>
                <w:rFonts w:ascii="Calibri" w:hAnsi="Calibri"/>
                <w:sz w:val="20"/>
              </w:rPr>
            </w:pPr>
            <w:r w:rsidRPr="00645A24">
              <w:rPr>
                <w:rFonts w:ascii="Calibri" w:hAnsi="Calibri"/>
                <w:sz w:val="20"/>
              </w:rPr>
              <w:t>Fonds-des-Nègres</w:t>
            </w:r>
          </w:p>
        </w:tc>
        <w:tc>
          <w:tcPr>
            <w:tcW w:w="625" w:type="pct"/>
            <w:tcBorders>
              <w:top w:val="nil"/>
              <w:left w:val="nil"/>
              <w:bottom w:val="single" w:sz="4" w:space="0" w:color="auto"/>
              <w:right w:val="single" w:sz="4" w:space="0" w:color="auto"/>
            </w:tcBorders>
            <w:shd w:val="thinReverseDiagStripe" w:color="000000" w:fill="auto"/>
            <w:vAlign w:val="center"/>
            <w:hideMark/>
          </w:tcPr>
          <w:p w14:paraId="4AB11F9A"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081635E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571DD7E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2EF0604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56A9855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2FF4B3FC"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128280BA"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33912661"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auto" w:fill="auto"/>
            <w:vAlign w:val="center"/>
            <w:hideMark/>
          </w:tcPr>
          <w:p w14:paraId="627A23AA" w14:textId="77777777" w:rsidR="00F927A2" w:rsidRPr="00645A24" w:rsidRDefault="00F927A2" w:rsidP="00F927A2">
            <w:pPr>
              <w:jc w:val="center"/>
              <w:rPr>
                <w:rFonts w:ascii="Calibri" w:hAnsi="Calibri"/>
                <w:sz w:val="20"/>
              </w:rPr>
            </w:pPr>
            <w:r w:rsidRPr="00645A24">
              <w:rPr>
                <w:rFonts w:ascii="Calibri" w:hAnsi="Calibri"/>
                <w:sz w:val="20"/>
              </w:rPr>
              <w:t>Paillant</w:t>
            </w:r>
          </w:p>
        </w:tc>
        <w:tc>
          <w:tcPr>
            <w:tcW w:w="625" w:type="pct"/>
            <w:tcBorders>
              <w:top w:val="nil"/>
              <w:left w:val="nil"/>
              <w:bottom w:val="single" w:sz="4" w:space="0" w:color="auto"/>
              <w:right w:val="single" w:sz="4" w:space="0" w:color="auto"/>
            </w:tcBorders>
            <w:shd w:val="clear" w:color="auto" w:fill="auto"/>
            <w:vAlign w:val="center"/>
            <w:hideMark/>
          </w:tcPr>
          <w:p w14:paraId="02B71517"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44B0CF2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4E07BCB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19DEEBF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180FC49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r>
      <w:tr w:rsidR="00F927A2" w:rsidRPr="00645A24" w14:paraId="79BE9A3B"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59A9A50F"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5C2E1A79" w14:textId="77777777" w:rsidR="00F927A2" w:rsidRPr="00645A24" w:rsidRDefault="00F927A2" w:rsidP="00F927A2">
            <w:pPr>
              <w:jc w:val="center"/>
              <w:rPr>
                <w:rFonts w:ascii="Calibri" w:hAnsi="Calibri"/>
                <w:sz w:val="20"/>
              </w:rPr>
            </w:pPr>
            <w:r w:rsidRPr="00645A24">
              <w:rPr>
                <w:rFonts w:ascii="Calibri" w:hAnsi="Calibri"/>
                <w:sz w:val="20"/>
              </w:rPr>
              <w:t>Anse-à-Veau</w:t>
            </w:r>
          </w:p>
        </w:tc>
        <w:tc>
          <w:tcPr>
            <w:tcW w:w="626" w:type="pct"/>
            <w:tcBorders>
              <w:top w:val="nil"/>
              <w:left w:val="nil"/>
              <w:bottom w:val="single" w:sz="4" w:space="0" w:color="auto"/>
              <w:right w:val="single" w:sz="4" w:space="0" w:color="auto"/>
            </w:tcBorders>
            <w:shd w:val="clear" w:color="auto" w:fill="auto"/>
            <w:vAlign w:val="center"/>
            <w:hideMark/>
          </w:tcPr>
          <w:p w14:paraId="6FBA6E9E" w14:textId="77777777" w:rsidR="00F927A2" w:rsidRPr="00645A24" w:rsidRDefault="00F927A2" w:rsidP="00F927A2">
            <w:pPr>
              <w:jc w:val="center"/>
              <w:rPr>
                <w:rFonts w:ascii="Calibri" w:hAnsi="Calibri"/>
                <w:sz w:val="20"/>
              </w:rPr>
            </w:pPr>
            <w:r w:rsidRPr="00645A24">
              <w:rPr>
                <w:rFonts w:ascii="Calibri" w:hAnsi="Calibri"/>
                <w:sz w:val="20"/>
              </w:rPr>
              <w:t>Anse-à-Veau</w:t>
            </w:r>
          </w:p>
        </w:tc>
        <w:tc>
          <w:tcPr>
            <w:tcW w:w="625" w:type="pct"/>
            <w:tcBorders>
              <w:top w:val="nil"/>
              <w:left w:val="nil"/>
              <w:bottom w:val="single" w:sz="4" w:space="0" w:color="auto"/>
              <w:right w:val="single" w:sz="4" w:space="0" w:color="auto"/>
            </w:tcBorders>
            <w:shd w:val="clear" w:color="auto" w:fill="auto"/>
            <w:vAlign w:val="center"/>
            <w:hideMark/>
          </w:tcPr>
          <w:p w14:paraId="5E329B5B"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567EEAE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5E0712A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5064B13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41EE9B0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r>
      <w:tr w:rsidR="00F927A2" w:rsidRPr="00645A24" w14:paraId="400FAD6E"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202FD434"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65EC91A6"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auto" w:fill="auto"/>
            <w:vAlign w:val="center"/>
            <w:hideMark/>
          </w:tcPr>
          <w:p w14:paraId="3F9C8770" w14:textId="77777777" w:rsidR="00F927A2" w:rsidRPr="00645A24" w:rsidRDefault="00F927A2" w:rsidP="00F927A2">
            <w:pPr>
              <w:jc w:val="center"/>
              <w:rPr>
                <w:rFonts w:ascii="Calibri" w:hAnsi="Calibri"/>
                <w:sz w:val="20"/>
              </w:rPr>
            </w:pPr>
            <w:r w:rsidRPr="00645A24">
              <w:rPr>
                <w:rFonts w:ascii="Calibri" w:hAnsi="Calibri"/>
                <w:sz w:val="20"/>
              </w:rPr>
              <w:t>L'Asile</w:t>
            </w:r>
          </w:p>
        </w:tc>
        <w:tc>
          <w:tcPr>
            <w:tcW w:w="625" w:type="pct"/>
            <w:tcBorders>
              <w:top w:val="nil"/>
              <w:left w:val="nil"/>
              <w:bottom w:val="single" w:sz="4" w:space="0" w:color="auto"/>
              <w:right w:val="single" w:sz="4" w:space="0" w:color="auto"/>
            </w:tcBorders>
            <w:shd w:val="clear" w:color="auto" w:fill="auto"/>
            <w:vAlign w:val="center"/>
            <w:hideMark/>
          </w:tcPr>
          <w:p w14:paraId="7304B05F"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15EF20C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11CA2EB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anté 2012</w:t>
            </w:r>
          </w:p>
        </w:tc>
        <w:tc>
          <w:tcPr>
            <w:tcW w:w="704" w:type="pct"/>
            <w:tcBorders>
              <w:top w:val="nil"/>
              <w:left w:val="nil"/>
              <w:bottom w:val="single" w:sz="4" w:space="0" w:color="auto"/>
              <w:right w:val="single" w:sz="4" w:space="0" w:color="auto"/>
            </w:tcBorders>
            <w:shd w:val="clear" w:color="auto" w:fill="auto"/>
            <w:vAlign w:val="center"/>
            <w:hideMark/>
          </w:tcPr>
          <w:p w14:paraId="146EFEF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013742F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r>
      <w:tr w:rsidR="00F927A2" w:rsidRPr="00645A24" w14:paraId="63C9ADEC" w14:textId="77777777" w:rsidTr="00F927A2">
        <w:trPr>
          <w:trHeight w:val="600"/>
        </w:trPr>
        <w:tc>
          <w:tcPr>
            <w:tcW w:w="445" w:type="pct"/>
            <w:vMerge/>
            <w:tcBorders>
              <w:top w:val="nil"/>
              <w:left w:val="single" w:sz="8" w:space="0" w:color="auto"/>
              <w:bottom w:val="single" w:sz="4" w:space="0" w:color="auto"/>
              <w:right w:val="single" w:sz="4" w:space="0" w:color="auto"/>
            </w:tcBorders>
            <w:vAlign w:val="center"/>
            <w:hideMark/>
          </w:tcPr>
          <w:p w14:paraId="347D304D"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41B2C906"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auto" w:fill="auto"/>
            <w:vAlign w:val="center"/>
            <w:hideMark/>
          </w:tcPr>
          <w:p w14:paraId="02D6B6DC" w14:textId="77777777" w:rsidR="00F927A2" w:rsidRPr="00645A24" w:rsidRDefault="00F927A2" w:rsidP="00F927A2">
            <w:pPr>
              <w:jc w:val="center"/>
              <w:rPr>
                <w:rFonts w:ascii="Calibri" w:hAnsi="Calibri"/>
                <w:sz w:val="20"/>
              </w:rPr>
            </w:pPr>
            <w:r w:rsidRPr="00645A24">
              <w:rPr>
                <w:rFonts w:ascii="Calibri" w:hAnsi="Calibri"/>
                <w:sz w:val="20"/>
              </w:rPr>
              <w:t>Petit-Trou-de-Nippes</w:t>
            </w:r>
          </w:p>
        </w:tc>
        <w:tc>
          <w:tcPr>
            <w:tcW w:w="625" w:type="pct"/>
            <w:tcBorders>
              <w:top w:val="nil"/>
              <w:left w:val="nil"/>
              <w:bottom w:val="single" w:sz="4" w:space="0" w:color="auto"/>
              <w:right w:val="single" w:sz="4" w:space="0" w:color="auto"/>
            </w:tcBorders>
            <w:shd w:val="clear" w:color="auto" w:fill="auto"/>
            <w:vAlign w:val="center"/>
            <w:hideMark/>
          </w:tcPr>
          <w:p w14:paraId="0231DAEF"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4DA8C17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5E12DD5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anté 2012</w:t>
            </w:r>
          </w:p>
        </w:tc>
        <w:tc>
          <w:tcPr>
            <w:tcW w:w="704" w:type="pct"/>
            <w:tcBorders>
              <w:top w:val="nil"/>
              <w:left w:val="nil"/>
              <w:bottom w:val="single" w:sz="4" w:space="0" w:color="auto"/>
              <w:right w:val="single" w:sz="4" w:space="0" w:color="auto"/>
            </w:tcBorders>
            <w:shd w:val="clear" w:color="auto" w:fill="auto"/>
            <w:vAlign w:val="center"/>
            <w:hideMark/>
          </w:tcPr>
          <w:p w14:paraId="14C3745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2952AD2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r>
      <w:tr w:rsidR="00F927A2" w:rsidRPr="00645A24" w14:paraId="158D2002"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4B222122"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775DEC7D"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69468120" w14:textId="77777777" w:rsidR="00F927A2" w:rsidRPr="00645A24" w:rsidRDefault="00F927A2" w:rsidP="00F927A2">
            <w:pPr>
              <w:jc w:val="center"/>
              <w:rPr>
                <w:rFonts w:ascii="Calibri" w:hAnsi="Calibri"/>
                <w:sz w:val="20"/>
              </w:rPr>
            </w:pPr>
            <w:r w:rsidRPr="00645A24">
              <w:rPr>
                <w:rFonts w:ascii="Calibri" w:hAnsi="Calibri"/>
                <w:sz w:val="20"/>
              </w:rPr>
              <w:t>Arnaud</w:t>
            </w:r>
          </w:p>
        </w:tc>
        <w:tc>
          <w:tcPr>
            <w:tcW w:w="625" w:type="pct"/>
            <w:tcBorders>
              <w:top w:val="nil"/>
              <w:left w:val="nil"/>
              <w:bottom w:val="single" w:sz="4" w:space="0" w:color="auto"/>
              <w:right w:val="single" w:sz="4" w:space="0" w:color="auto"/>
            </w:tcBorders>
            <w:shd w:val="thinReverseDiagStripe" w:color="000000" w:fill="auto"/>
            <w:vAlign w:val="center"/>
            <w:hideMark/>
          </w:tcPr>
          <w:p w14:paraId="50D4A36F"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088EA80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63CFD73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377F992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3522DD3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047B63FD"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6211B9D3"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5D12D055"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35CF304F" w14:textId="77777777" w:rsidR="00F927A2" w:rsidRPr="00645A24" w:rsidRDefault="00F927A2" w:rsidP="00F927A2">
            <w:pPr>
              <w:jc w:val="center"/>
              <w:rPr>
                <w:rFonts w:ascii="Calibri" w:hAnsi="Calibri"/>
                <w:sz w:val="20"/>
              </w:rPr>
            </w:pPr>
            <w:r w:rsidRPr="00645A24">
              <w:rPr>
                <w:rFonts w:ascii="Calibri" w:hAnsi="Calibri"/>
                <w:sz w:val="20"/>
              </w:rPr>
              <w:t>Plaisance-du-Sud</w:t>
            </w:r>
          </w:p>
        </w:tc>
        <w:tc>
          <w:tcPr>
            <w:tcW w:w="625" w:type="pct"/>
            <w:tcBorders>
              <w:top w:val="nil"/>
              <w:left w:val="nil"/>
              <w:bottom w:val="single" w:sz="4" w:space="0" w:color="auto"/>
              <w:right w:val="single" w:sz="4" w:space="0" w:color="auto"/>
            </w:tcBorders>
            <w:shd w:val="thinReverseDiagStripe" w:color="000000" w:fill="auto"/>
            <w:vAlign w:val="center"/>
            <w:hideMark/>
          </w:tcPr>
          <w:p w14:paraId="687D21F6"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238CBD5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6948D72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2A72A22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0AC3616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63994F0C"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0CB798A9"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7A684443" w14:textId="77777777" w:rsidR="00F927A2" w:rsidRPr="00645A24" w:rsidRDefault="00F927A2" w:rsidP="00F927A2">
            <w:pPr>
              <w:jc w:val="center"/>
              <w:rPr>
                <w:rFonts w:ascii="Calibri" w:hAnsi="Calibri"/>
                <w:sz w:val="20"/>
              </w:rPr>
            </w:pPr>
            <w:r w:rsidRPr="00645A24">
              <w:rPr>
                <w:rFonts w:ascii="Calibri" w:hAnsi="Calibri"/>
                <w:sz w:val="20"/>
              </w:rPr>
              <w:t>Barradères</w:t>
            </w:r>
          </w:p>
        </w:tc>
        <w:tc>
          <w:tcPr>
            <w:tcW w:w="626" w:type="pct"/>
            <w:tcBorders>
              <w:top w:val="nil"/>
              <w:left w:val="nil"/>
              <w:bottom w:val="single" w:sz="4" w:space="0" w:color="auto"/>
              <w:right w:val="single" w:sz="4" w:space="0" w:color="auto"/>
            </w:tcBorders>
            <w:shd w:val="clear" w:color="auto" w:fill="auto"/>
            <w:vAlign w:val="center"/>
            <w:hideMark/>
          </w:tcPr>
          <w:p w14:paraId="0D0FB960" w14:textId="77777777" w:rsidR="00F927A2" w:rsidRPr="00645A24" w:rsidRDefault="00F927A2" w:rsidP="00F927A2">
            <w:pPr>
              <w:jc w:val="center"/>
              <w:rPr>
                <w:rFonts w:ascii="Calibri" w:hAnsi="Calibri"/>
                <w:sz w:val="20"/>
              </w:rPr>
            </w:pPr>
            <w:r w:rsidRPr="00645A24">
              <w:rPr>
                <w:rFonts w:ascii="Calibri" w:hAnsi="Calibri"/>
                <w:sz w:val="20"/>
              </w:rPr>
              <w:t>Barradères</w:t>
            </w:r>
          </w:p>
        </w:tc>
        <w:tc>
          <w:tcPr>
            <w:tcW w:w="625" w:type="pct"/>
            <w:tcBorders>
              <w:top w:val="nil"/>
              <w:left w:val="nil"/>
              <w:bottom w:val="single" w:sz="4" w:space="0" w:color="auto"/>
              <w:right w:val="single" w:sz="4" w:space="0" w:color="auto"/>
            </w:tcBorders>
            <w:shd w:val="clear" w:color="auto" w:fill="auto"/>
            <w:vAlign w:val="center"/>
            <w:hideMark/>
          </w:tcPr>
          <w:p w14:paraId="2F47553E"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5E9DFC4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6DE4C21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anté 2012</w:t>
            </w:r>
          </w:p>
        </w:tc>
        <w:tc>
          <w:tcPr>
            <w:tcW w:w="704" w:type="pct"/>
            <w:tcBorders>
              <w:top w:val="nil"/>
              <w:left w:val="nil"/>
              <w:bottom w:val="single" w:sz="4" w:space="0" w:color="auto"/>
              <w:right w:val="single" w:sz="4" w:space="0" w:color="auto"/>
            </w:tcBorders>
            <w:shd w:val="clear" w:color="auto" w:fill="auto"/>
            <w:vAlign w:val="center"/>
            <w:hideMark/>
          </w:tcPr>
          <w:p w14:paraId="7BF75F1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5C0915E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r>
      <w:tr w:rsidR="00F927A2" w:rsidRPr="00645A24" w14:paraId="72C116BF"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0B7A784C"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7465B587"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7CF1E58A" w14:textId="77777777" w:rsidR="00F927A2" w:rsidRPr="00645A24" w:rsidRDefault="00F927A2" w:rsidP="00F927A2">
            <w:pPr>
              <w:jc w:val="center"/>
              <w:rPr>
                <w:rFonts w:ascii="Calibri" w:hAnsi="Calibri"/>
                <w:sz w:val="20"/>
              </w:rPr>
            </w:pPr>
            <w:r w:rsidRPr="00645A24">
              <w:rPr>
                <w:rFonts w:ascii="Calibri" w:hAnsi="Calibri"/>
                <w:sz w:val="20"/>
              </w:rPr>
              <w:t>Grand-Boucan</w:t>
            </w:r>
          </w:p>
        </w:tc>
        <w:tc>
          <w:tcPr>
            <w:tcW w:w="625" w:type="pct"/>
            <w:tcBorders>
              <w:top w:val="nil"/>
              <w:left w:val="nil"/>
              <w:bottom w:val="single" w:sz="4" w:space="0" w:color="auto"/>
              <w:right w:val="single" w:sz="4" w:space="0" w:color="auto"/>
            </w:tcBorders>
            <w:shd w:val="thinReverseDiagStripe" w:color="000000" w:fill="auto"/>
            <w:vAlign w:val="center"/>
            <w:hideMark/>
          </w:tcPr>
          <w:p w14:paraId="66FFD5BE"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7FB7C88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4895534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23A8185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02BB9EA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5E72FF83" w14:textId="77777777" w:rsidTr="00F927A2">
        <w:trPr>
          <w:trHeight w:val="300"/>
        </w:trPr>
        <w:tc>
          <w:tcPr>
            <w:tcW w:w="445" w:type="pct"/>
            <w:vMerge w:val="restart"/>
            <w:tcBorders>
              <w:top w:val="nil"/>
              <w:left w:val="single" w:sz="8" w:space="0" w:color="auto"/>
              <w:bottom w:val="single" w:sz="4" w:space="0" w:color="auto"/>
              <w:right w:val="single" w:sz="4" w:space="0" w:color="auto"/>
            </w:tcBorders>
            <w:shd w:val="clear" w:color="000000" w:fill="FFFFFF"/>
            <w:vAlign w:val="center"/>
            <w:hideMark/>
          </w:tcPr>
          <w:p w14:paraId="7492872F" w14:textId="77777777" w:rsidR="00F927A2" w:rsidRPr="00645A24" w:rsidRDefault="00F927A2" w:rsidP="00F927A2">
            <w:pPr>
              <w:jc w:val="center"/>
              <w:rPr>
                <w:rFonts w:ascii="Calibri" w:hAnsi="Calibri"/>
                <w:sz w:val="20"/>
              </w:rPr>
            </w:pPr>
            <w:r w:rsidRPr="00645A24">
              <w:rPr>
                <w:rFonts w:ascii="Calibri" w:hAnsi="Calibri"/>
                <w:sz w:val="20"/>
              </w:rPr>
              <w:t>Grand'Anse</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34591946" w14:textId="77777777" w:rsidR="00F927A2" w:rsidRPr="00645A24" w:rsidRDefault="00F927A2" w:rsidP="00F927A2">
            <w:pPr>
              <w:jc w:val="center"/>
              <w:rPr>
                <w:rFonts w:ascii="Calibri" w:hAnsi="Calibri"/>
                <w:sz w:val="20"/>
              </w:rPr>
            </w:pPr>
            <w:r w:rsidRPr="00645A24">
              <w:rPr>
                <w:rFonts w:ascii="Calibri" w:hAnsi="Calibri"/>
                <w:sz w:val="20"/>
              </w:rPr>
              <w:t>Anse-d'Ainault</w:t>
            </w:r>
          </w:p>
        </w:tc>
        <w:tc>
          <w:tcPr>
            <w:tcW w:w="626" w:type="pct"/>
            <w:tcBorders>
              <w:top w:val="nil"/>
              <w:left w:val="nil"/>
              <w:bottom w:val="single" w:sz="4" w:space="0" w:color="auto"/>
              <w:right w:val="single" w:sz="4" w:space="0" w:color="auto"/>
            </w:tcBorders>
            <w:shd w:val="clear" w:color="000000" w:fill="FFFFFF"/>
            <w:vAlign w:val="center"/>
            <w:hideMark/>
          </w:tcPr>
          <w:p w14:paraId="592B6E5E" w14:textId="77777777" w:rsidR="00F927A2" w:rsidRPr="00645A24" w:rsidRDefault="00F927A2" w:rsidP="00F927A2">
            <w:pPr>
              <w:jc w:val="center"/>
              <w:rPr>
                <w:rFonts w:ascii="Calibri" w:hAnsi="Calibri"/>
                <w:sz w:val="20"/>
              </w:rPr>
            </w:pPr>
            <w:r w:rsidRPr="00645A24">
              <w:rPr>
                <w:rFonts w:ascii="Calibri" w:hAnsi="Calibri"/>
                <w:sz w:val="20"/>
              </w:rPr>
              <w:t>Anse-d'Ainault</w:t>
            </w:r>
          </w:p>
        </w:tc>
        <w:tc>
          <w:tcPr>
            <w:tcW w:w="625" w:type="pct"/>
            <w:tcBorders>
              <w:top w:val="nil"/>
              <w:left w:val="nil"/>
              <w:bottom w:val="single" w:sz="4" w:space="0" w:color="auto"/>
              <w:right w:val="single" w:sz="4" w:space="0" w:color="auto"/>
            </w:tcBorders>
            <w:shd w:val="thinReverseDiagStripe" w:color="000000" w:fill="auto"/>
            <w:vAlign w:val="center"/>
            <w:hideMark/>
          </w:tcPr>
          <w:p w14:paraId="7235E11D"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180A14F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55D406B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4211E43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436D982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3C2C0419"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7CC11B47"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17407911"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auto" w:fill="auto"/>
            <w:vAlign w:val="center"/>
            <w:hideMark/>
          </w:tcPr>
          <w:p w14:paraId="1F7147D6" w14:textId="77777777" w:rsidR="00F927A2" w:rsidRPr="00645A24" w:rsidRDefault="00F927A2" w:rsidP="00F927A2">
            <w:pPr>
              <w:jc w:val="center"/>
              <w:rPr>
                <w:rFonts w:ascii="Calibri" w:hAnsi="Calibri"/>
                <w:sz w:val="20"/>
              </w:rPr>
            </w:pPr>
            <w:r w:rsidRPr="00645A24">
              <w:rPr>
                <w:rFonts w:ascii="Calibri" w:hAnsi="Calibri"/>
                <w:sz w:val="20"/>
              </w:rPr>
              <w:t>Dame-Marie</w:t>
            </w:r>
          </w:p>
        </w:tc>
        <w:tc>
          <w:tcPr>
            <w:tcW w:w="625" w:type="pct"/>
            <w:tcBorders>
              <w:top w:val="nil"/>
              <w:left w:val="nil"/>
              <w:bottom w:val="single" w:sz="4" w:space="0" w:color="auto"/>
              <w:right w:val="single" w:sz="4" w:space="0" w:color="auto"/>
            </w:tcBorders>
            <w:shd w:val="clear" w:color="auto" w:fill="auto"/>
            <w:vAlign w:val="center"/>
            <w:hideMark/>
          </w:tcPr>
          <w:p w14:paraId="57DD9B3B"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6B99130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6A7AEEC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0926DA8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32993FA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r>
      <w:tr w:rsidR="00F927A2" w:rsidRPr="00645A24" w14:paraId="3ED73D1C"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7FA5F46A"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1C9E95B3"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0AE1AC01" w14:textId="77777777" w:rsidR="00F927A2" w:rsidRPr="00645A24" w:rsidRDefault="00F927A2" w:rsidP="00F927A2">
            <w:pPr>
              <w:jc w:val="center"/>
              <w:rPr>
                <w:rFonts w:ascii="Calibri" w:hAnsi="Calibri"/>
                <w:sz w:val="20"/>
              </w:rPr>
            </w:pPr>
            <w:r w:rsidRPr="00645A24">
              <w:rPr>
                <w:rFonts w:ascii="Calibri" w:hAnsi="Calibri"/>
                <w:sz w:val="20"/>
              </w:rPr>
              <w:t>Les Irois</w:t>
            </w:r>
          </w:p>
        </w:tc>
        <w:tc>
          <w:tcPr>
            <w:tcW w:w="625" w:type="pct"/>
            <w:tcBorders>
              <w:top w:val="nil"/>
              <w:left w:val="nil"/>
              <w:bottom w:val="single" w:sz="4" w:space="0" w:color="auto"/>
              <w:right w:val="single" w:sz="4" w:space="0" w:color="auto"/>
            </w:tcBorders>
            <w:shd w:val="thinReverseDiagStripe" w:color="000000" w:fill="auto"/>
            <w:vAlign w:val="center"/>
            <w:hideMark/>
          </w:tcPr>
          <w:p w14:paraId="0E9049C7"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506B1F9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38A8154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2345702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39EC71D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74C29752"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6250415F"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3BE8D06C" w14:textId="77777777" w:rsidR="00F927A2" w:rsidRPr="00645A24" w:rsidRDefault="00F927A2" w:rsidP="00F927A2">
            <w:pPr>
              <w:jc w:val="center"/>
              <w:rPr>
                <w:rFonts w:ascii="Calibri" w:hAnsi="Calibri"/>
                <w:sz w:val="20"/>
              </w:rPr>
            </w:pPr>
            <w:r w:rsidRPr="00645A24">
              <w:rPr>
                <w:rFonts w:ascii="Calibri" w:hAnsi="Calibri"/>
                <w:sz w:val="20"/>
              </w:rPr>
              <w:t>Corail</w:t>
            </w:r>
          </w:p>
        </w:tc>
        <w:tc>
          <w:tcPr>
            <w:tcW w:w="626" w:type="pct"/>
            <w:tcBorders>
              <w:top w:val="nil"/>
              <w:left w:val="nil"/>
              <w:bottom w:val="single" w:sz="4" w:space="0" w:color="auto"/>
              <w:right w:val="single" w:sz="4" w:space="0" w:color="auto"/>
            </w:tcBorders>
            <w:shd w:val="clear" w:color="000000" w:fill="FFFFFF"/>
            <w:vAlign w:val="center"/>
            <w:hideMark/>
          </w:tcPr>
          <w:p w14:paraId="6D90A330" w14:textId="77777777" w:rsidR="00F927A2" w:rsidRPr="00645A24" w:rsidRDefault="00F927A2" w:rsidP="00F927A2">
            <w:pPr>
              <w:jc w:val="center"/>
              <w:rPr>
                <w:rFonts w:ascii="Calibri" w:hAnsi="Calibri"/>
                <w:sz w:val="20"/>
              </w:rPr>
            </w:pPr>
            <w:r w:rsidRPr="00645A24">
              <w:rPr>
                <w:rFonts w:ascii="Calibri" w:hAnsi="Calibri"/>
                <w:sz w:val="20"/>
              </w:rPr>
              <w:t>Corail</w:t>
            </w:r>
          </w:p>
        </w:tc>
        <w:tc>
          <w:tcPr>
            <w:tcW w:w="625" w:type="pct"/>
            <w:tcBorders>
              <w:top w:val="nil"/>
              <w:left w:val="nil"/>
              <w:bottom w:val="single" w:sz="4" w:space="0" w:color="auto"/>
              <w:right w:val="single" w:sz="4" w:space="0" w:color="auto"/>
            </w:tcBorders>
            <w:shd w:val="thinReverseDiagStripe" w:color="000000" w:fill="auto"/>
            <w:vAlign w:val="center"/>
            <w:hideMark/>
          </w:tcPr>
          <w:p w14:paraId="60D14E1D"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58AE9B1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3D813C3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21EFE8E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0BC7382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75B0D046"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68340C7D"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2FD0003C"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59A5DC0E" w14:textId="77777777" w:rsidR="00F927A2" w:rsidRPr="00645A24" w:rsidRDefault="00F927A2" w:rsidP="00F927A2">
            <w:pPr>
              <w:jc w:val="center"/>
              <w:rPr>
                <w:rFonts w:ascii="Calibri" w:hAnsi="Calibri"/>
                <w:sz w:val="20"/>
              </w:rPr>
            </w:pPr>
            <w:r w:rsidRPr="00645A24">
              <w:rPr>
                <w:rFonts w:ascii="Calibri" w:hAnsi="Calibri"/>
                <w:sz w:val="20"/>
              </w:rPr>
              <w:t>Roseaux</w:t>
            </w:r>
          </w:p>
        </w:tc>
        <w:tc>
          <w:tcPr>
            <w:tcW w:w="625" w:type="pct"/>
            <w:tcBorders>
              <w:top w:val="nil"/>
              <w:left w:val="nil"/>
              <w:bottom w:val="single" w:sz="4" w:space="0" w:color="auto"/>
              <w:right w:val="single" w:sz="4" w:space="0" w:color="auto"/>
            </w:tcBorders>
            <w:shd w:val="thinReverseDiagStripe" w:color="000000" w:fill="auto"/>
            <w:vAlign w:val="center"/>
            <w:hideMark/>
          </w:tcPr>
          <w:p w14:paraId="4AF7F242"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25159A6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48D145B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1F6D928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499BB66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2105023F"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1B33053E"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0F5CE016"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790D672F" w14:textId="77777777" w:rsidR="00F927A2" w:rsidRPr="00645A24" w:rsidRDefault="00F927A2" w:rsidP="00F927A2">
            <w:pPr>
              <w:jc w:val="center"/>
              <w:rPr>
                <w:rFonts w:ascii="Calibri" w:hAnsi="Calibri"/>
                <w:sz w:val="20"/>
              </w:rPr>
            </w:pPr>
            <w:r w:rsidRPr="00645A24">
              <w:rPr>
                <w:rFonts w:ascii="Calibri" w:hAnsi="Calibri"/>
                <w:sz w:val="20"/>
              </w:rPr>
              <w:t>Beaumont</w:t>
            </w:r>
          </w:p>
        </w:tc>
        <w:tc>
          <w:tcPr>
            <w:tcW w:w="625" w:type="pct"/>
            <w:tcBorders>
              <w:top w:val="nil"/>
              <w:left w:val="nil"/>
              <w:bottom w:val="single" w:sz="4" w:space="0" w:color="auto"/>
              <w:right w:val="single" w:sz="4" w:space="0" w:color="auto"/>
            </w:tcBorders>
            <w:shd w:val="thinReverseDiagStripe" w:color="000000" w:fill="auto"/>
            <w:vAlign w:val="center"/>
            <w:hideMark/>
          </w:tcPr>
          <w:p w14:paraId="123C62F3"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31ACB4E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49A4FDB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59A5989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40DAB2A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1CB5459A"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5833E03C"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592E4439"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5EFC2429" w14:textId="77777777" w:rsidR="00F927A2" w:rsidRPr="00645A24" w:rsidRDefault="00F927A2" w:rsidP="00F927A2">
            <w:pPr>
              <w:jc w:val="center"/>
              <w:rPr>
                <w:rFonts w:ascii="Calibri" w:hAnsi="Calibri"/>
                <w:sz w:val="20"/>
              </w:rPr>
            </w:pPr>
            <w:r w:rsidRPr="00645A24">
              <w:rPr>
                <w:rFonts w:ascii="Calibri" w:hAnsi="Calibri"/>
                <w:sz w:val="20"/>
              </w:rPr>
              <w:t>Pestel</w:t>
            </w:r>
          </w:p>
        </w:tc>
        <w:tc>
          <w:tcPr>
            <w:tcW w:w="625" w:type="pct"/>
            <w:tcBorders>
              <w:top w:val="nil"/>
              <w:left w:val="nil"/>
              <w:bottom w:val="single" w:sz="4" w:space="0" w:color="auto"/>
              <w:right w:val="single" w:sz="4" w:space="0" w:color="auto"/>
            </w:tcBorders>
            <w:shd w:val="thinReverseDiagStripe" w:color="000000" w:fill="auto"/>
            <w:vAlign w:val="center"/>
            <w:hideMark/>
          </w:tcPr>
          <w:p w14:paraId="0A04107D"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58F94BD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6EDFA5C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14E7133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7FD8014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639B6B26"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713BEBE6"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2D5D749" w14:textId="77777777" w:rsidR="00F927A2" w:rsidRPr="00645A24" w:rsidRDefault="00F927A2" w:rsidP="00F927A2">
            <w:pPr>
              <w:jc w:val="center"/>
              <w:rPr>
                <w:rFonts w:ascii="Calibri" w:hAnsi="Calibri"/>
                <w:sz w:val="20"/>
              </w:rPr>
            </w:pPr>
            <w:r w:rsidRPr="00645A24">
              <w:rPr>
                <w:rFonts w:ascii="Calibri" w:hAnsi="Calibri"/>
                <w:sz w:val="20"/>
              </w:rPr>
              <w:t>Jérémie</w:t>
            </w:r>
          </w:p>
        </w:tc>
        <w:tc>
          <w:tcPr>
            <w:tcW w:w="626" w:type="pct"/>
            <w:tcBorders>
              <w:top w:val="nil"/>
              <w:left w:val="nil"/>
              <w:bottom w:val="single" w:sz="4" w:space="0" w:color="auto"/>
              <w:right w:val="single" w:sz="4" w:space="0" w:color="auto"/>
            </w:tcBorders>
            <w:shd w:val="clear" w:color="auto" w:fill="auto"/>
            <w:vAlign w:val="center"/>
            <w:hideMark/>
          </w:tcPr>
          <w:p w14:paraId="00B0C166" w14:textId="77777777" w:rsidR="00F927A2" w:rsidRPr="00645A24" w:rsidRDefault="00F927A2" w:rsidP="00F927A2">
            <w:pPr>
              <w:jc w:val="center"/>
              <w:rPr>
                <w:rFonts w:ascii="Calibri" w:hAnsi="Calibri"/>
                <w:sz w:val="20"/>
              </w:rPr>
            </w:pPr>
            <w:r w:rsidRPr="00645A24">
              <w:rPr>
                <w:rFonts w:ascii="Calibri" w:hAnsi="Calibri"/>
                <w:sz w:val="20"/>
              </w:rPr>
              <w:t>Jérémie</w:t>
            </w:r>
          </w:p>
        </w:tc>
        <w:tc>
          <w:tcPr>
            <w:tcW w:w="625" w:type="pct"/>
            <w:tcBorders>
              <w:top w:val="nil"/>
              <w:left w:val="nil"/>
              <w:bottom w:val="single" w:sz="4" w:space="0" w:color="auto"/>
              <w:right w:val="single" w:sz="4" w:space="0" w:color="auto"/>
            </w:tcBorders>
            <w:shd w:val="thinReverseDiagStripe" w:color="000000" w:fill="auto"/>
            <w:vAlign w:val="center"/>
            <w:hideMark/>
          </w:tcPr>
          <w:p w14:paraId="17F80A2C"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21AB029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388F409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6AACFDD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0992E65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364828C6"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5C6A7EF3"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7C950A90"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7CC331CA" w14:textId="77777777" w:rsidR="00F927A2" w:rsidRPr="00645A24" w:rsidRDefault="00F927A2" w:rsidP="00F927A2">
            <w:pPr>
              <w:jc w:val="center"/>
              <w:rPr>
                <w:rFonts w:ascii="Calibri" w:hAnsi="Calibri"/>
                <w:sz w:val="20"/>
              </w:rPr>
            </w:pPr>
            <w:r w:rsidRPr="00645A24">
              <w:rPr>
                <w:rFonts w:ascii="Calibri" w:hAnsi="Calibri"/>
                <w:sz w:val="20"/>
              </w:rPr>
              <w:t>Abricots</w:t>
            </w:r>
          </w:p>
        </w:tc>
        <w:tc>
          <w:tcPr>
            <w:tcW w:w="625" w:type="pct"/>
            <w:tcBorders>
              <w:top w:val="nil"/>
              <w:left w:val="nil"/>
              <w:bottom w:val="single" w:sz="4" w:space="0" w:color="auto"/>
              <w:right w:val="single" w:sz="4" w:space="0" w:color="auto"/>
            </w:tcBorders>
            <w:shd w:val="clear" w:color="auto" w:fill="auto"/>
            <w:vAlign w:val="center"/>
            <w:hideMark/>
          </w:tcPr>
          <w:p w14:paraId="675A1FC5" w14:textId="77777777" w:rsidR="00F927A2" w:rsidRPr="00645A24" w:rsidRDefault="00F927A2" w:rsidP="00F927A2">
            <w:pPr>
              <w:rPr>
                <w:rFonts w:ascii="Calibri" w:hAnsi="Calibri"/>
                <w:color w:val="000000"/>
                <w:sz w:val="20"/>
              </w:rPr>
            </w:pPr>
            <w:r w:rsidRPr="00645A24">
              <w:rPr>
                <w:rFonts w:ascii="Calibri" w:hAnsi="Calibri"/>
                <w:color w:val="000000"/>
                <w:sz w:val="20"/>
              </w:rPr>
              <w:t xml:space="preserve">Plan communal de développement </w:t>
            </w:r>
          </w:p>
        </w:tc>
        <w:tc>
          <w:tcPr>
            <w:tcW w:w="626" w:type="pct"/>
            <w:tcBorders>
              <w:top w:val="nil"/>
              <w:left w:val="nil"/>
              <w:bottom w:val="single" w:sz="4" w:space="0" w:color="auto"/>
              <w:right w:val="single" w:sz="4" w:space="0" w:color="auto"/>
            </w:tcBorders>
            <w:shd w:val="clear" w:color="auto" w:fill="auto"/>
            <w:vAlign w:val="center"/>
            <w:hideMark/>
          </w:tcPr>
          <w:p w14:paraId="0781BF7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625" w:type="pct"/>
            <w:tcBorders>
              <w:top w:val="nil"/>
              <w:left w:val="nil"/>
              <w:bottom w:val="single" w:sz="4" w:space="0" w:color="auto"/>
              <w:right w:val="single" w:sz="4" w:space="0" w:color="auto"/>
            </w:tcBorders>
            <w:shd w:val="clear" w:color="auto" w:fill="auto"/>
            <w:vAlign w:val="center"/>
            <w:hideMark/>
          </w:tcPr>
          <w:p w14:paraId="179B8F4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4" w:type="pct"/>
            <w:tcBorders>
              <w:top w:val="nil"/>
              <w:left w:val="nil"/>
              <w:bottom w:val="single" w:sz="4" w:space="0" w:color="auto"/>
              <w:right w:val="single" w:sz="4" w:space="0" w:color="auto"/>
            </w:tcBorders>
            <w:shd w:val="clear" w:color="auto" w:fill="auto"/>
            <w:vAlign w:val="center"/>
            <w:hideMark/>
          </w:tcPr>
          <w:p w14:paraId="45D4561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7DF8364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r>
      <w:tr w:rsidR="00F927A2" w:rsidRPr="00645A24" w14:paraId="1F21D41F"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09511710"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06EE8035"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06B917FF" w14:textId="77777777" w:rsidR="00F927A2" w:rsidRPr="00645A24" w:rsidRDefault="00F927A2" w:rsidP="00F927A2">
            <w:pPr>
              <w:jc w:val="center"/>
              <w:rPr>
                <w:rFonts w:ascii="Calibri" w:hAnsi="Calibri"/>
                <w:sz w:val="20"/>
              </w:rPr>
            </w:pPr>
            <w:r w:rsidRPr="00645A24">
              <w:rPr>
                <w:rFonts w:ascii="Calibri" w:hAnsi="Calibri"/>
                <w:sz w:val="20"/>
              </w:rPr>
              <w:t>Trou-Bonbon</w:t>
            </w:r>
          </w:p>
        </w:tc>
        <w:tc>
          <w:tcPr>
            <w:tcW w:w="625" w:type="pct"/>
            <w:tcBorders>
              <w:top w:val="nil"/>
              <w:left w:val="nil"/>
              <w:bottom w:val="single" w:sz="4" w:space="0" w:color="auto"/>
              <w:right w:val="single" w:sz="4" w:space="0" w:color="auto"/>
            </w:tcBorders>
            <w:shd w:val="clear" w:color="auto" w:fill="auto"/>
            <w:vAlign w:val="center"/>
            <w:hideMark/>
          </w:tcPr>
          <w:p w14:paraId="05DA4198" w14:textId="77777777" w:rsidR="00F927A2" w:rsidRPr="00645A24" w:rsidRDefault="00F927A2" w:rsidP="00F927A2">
            <w:pPr>
              <w:rPr>
                <w:rFonts w:ascii="Calibri" w:hAnsi="Calibri"/>
                <w:color w:val="000000"/>
                <w:sz w:val="20"/>
              </w:rPr>
            </w:pPr>
            <w:r w:rsidRPr="00645A24">
              <w:rPr>
                <w:rFonts w:ascii="Calibri" w:hAnsi="Calibri"/>
                <w:color w:val="000000"/>
                <w:sz w:val="20"/>
              </w:rPr>
              <w:t xml:space="preserve">Plan communal de développement </w:t>
            </w:r>
          </w:p>
        </w:tc>
        <w:tc>
          <w:tcPr>
            <w:tcW w:w="626" w:type="pct"/>
            <w:tcBorders>
              <w:top w:val="nil"/>
              <w:left w:val="nil"/>
              <w:bottom w:val="single" w:sz="4" w:space="0" w:color="auto"/>
              <w:right w:val="single" w:sz="4" w:space="0" w:color="auto"/>
            </w:tcBorders>
            <w:shd w:val="clear" w:color="auto" w:fill="auto"/>
            <w:vAlign w:val="center"/>
            <w:hideMark/>
          </w:tcPr>
          <w:p w14:paraId="2113214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625" w:type="pct"/>
            <w:tcBorders>
              <w:top w:val="nil"/>
              <w:left w:val="nil"/>
              <w:bottom w:val="single" w:sz="4" w:space="0" w:color="auto"/>
              <w:right w:val="single" w:sz="4" w:space="0" w:color="auto"/>
            </w:tcBorders>
            <w:shd w:val="clear" w:color="auto" w:fill="auto"/>
            <w:vAlign w:val="center"/>
            <w:hideMark/>
          </w:tcPr>
          <w:p w14:paraId="75F0C8C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4" w:type="pct"/>
            <w:tcBorders>
              <w:top w:val="nil"/>
              <w:left w:val="nil"/>
              <w:bottom w:val="single" w:sz="4" w:space="0" w:color="auto"/>
              <w:right w:val="single" w:sz="4" w:space="0" w:color="auto"/>
            </w:tcBorders>
            <w:shd w:val="clear" w:color="auto" w:fill="auto"/>
            <w:vAlign w:val="center"/>
            <w:hideMark/>
          </w:tcPr>
          <w:p w14:paraId="315383A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6BEDDC1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r>
      <w:tr w:rsidR="00F927A2" w:rsidRPr="00645A24" w14:paraId="403D1EE1"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6FD37AB5"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1F175C9B"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5E485AAF" w14:textId="77777777" w:rsidR="00F927A2" w:rsidRPr="00645A24" w:rsidRDefault="00F927A2" w:rsidP="00F927A2">
            <w:pPr>
              <w:jc w:val="center"/>
              <w:rPr>
                <w:rFonts w:ascii="Calibri" w:hAnsi="Calibri"/>
                <w:sz w:val="20"/>
              </w:rPr>
            </w:pPr>
            <w:r w:rsidRPr="00645A24">
              <w:rPr>
                <w:rFonts w:ascii="Calibri" w:hAnsi="Calibri"/>
                <w:sz w:val="20"/>
              </w:rPr>
              <w:t>Chambellan</w:t>
            </w:r>
          </w:p>
        </w:tc>
        <w:tc>
          <w:tcPr>
            <w:tcW w:w="625" w:type="pct"/>
            <w:tcBorders>
              <w:top w:val="nil"/>
              <w:left w:val="nil"/>
              <w:bottom w:val="single" w:sz="4" w:space="0" w:color="auto"/>
              <w:right w:val="single" w:sz="4" w:space="0" w:color="auto"/>
            </w:tcBorders>
            <w:shd w:val="thinReverseDiagStripe" w:color="000000" w:fill="auto"/>
            <w:vAlign w:val="center"/>
            <w:hideMark/>
          </w:tcPr>
          <w:p w14:paraId="18CBC424"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5C30676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47FAC6F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7AAF933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3CAFD2F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7EA6AFD0"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03D66CB7"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54156D30"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550AB9EE" w14:textId="77777777" w:rsidR="00F927A2" w:rsidRPr="00645A24" w:rsidRDefault="00F927A2" w:rsidP="00F927A2">
            <w:pPr>
              <w:jc w:val="center"/>
              <w:rPr>
                <w:rFonts w:ascii="Calibri" w:hAnsi="Calibri"/>
                <w:sz w:val="20"/>
              </w:rPr>
            </w:pPr>
            <w:r w:rsidRPr="00645A24">
              <w:rPr>
                <w:rFonts w:ascii="Calibri" w:hAnsi="Calibri"/>
                <w:sz w:val="20"/>
              </w:rPr>
              <w:t>Moron</w:t>
            </w:r>
          </w:p>
        </w:tc>
        <w:tc>
          <w:tcPr>
            <w:tcW w:w="625" w:type="pct"/>
            <w:tcBorders>
              <w:top w:val="nil"/>
              <w:left w:val="nil"/>
              <w:bottom w:val="single" w:sz="4" w:space="0" w:color="auto"/>
              <w:right w:val="single" w:sz="4" w:space="0" w:color="auto"/>
            </w:tcBorders>
            <w:shd w:val="thinReverseDiagStripe" w:color="000000" w:fill="auto"/>
            <w:vAlign w:val="center"/>
            <w:hideMark/>
          </w:tcPr>
          <w:p w14:paraId="178BC418"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67EE7E0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4365739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26101F4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538DB6B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14298861" w14:textId="77777777" w:rsidTr="00F927A2">
        <w:trPr>
          <w:trHeight w:val="300"/>
        </w:trPr>
        <w:tc>
          <w:tcPr>
            <w:tcW w:w="445" w:type="pct"/>
            <w:vMerge w:val="restart"/>
            <w:tcBorders>
              <w:top w:val="nil"/>
              <w:left w:val="single" w:sz="8" w:space="0" w:color="auto"/>
              <w:bottom w:val="single" w:sz="4" w:space="0" w:color="auto"/>
              <w:right w:val="single" w:sz="4" w:space="0" w:color="auto"/>
            </w:tcBorders>
            <w:shd w:val="clear" w:color="000000" w:fill="FFFFFF"/>
            <w:vAlign w:val="center"/>
            <w:hideMark/>
          </w:tcPr>
          <w:p w14:paraId="5BB3C701" w14:textId="77777777" w:rsidR="00F927A2" w:rsidRPr="00645A24" w:rsidRDefault="00F927A2" w:rsidP="00F927A2">
            <w:pPr>
              <w:jc w:val="center"/>
              <w:rPr>
                <w:rFonts w:ascii="Calibri" w:hAnsi="Calibri"/>
                <w:sz w:val="20"/>
              </w:rPr>
            </w:pPr>
            <w:r w:rsidRPr="00645A24">
              <w:rPr>
                <w:rFonts w:ascii="Calibri" w:hAnsi="Calibri"/>
                <w:sz w:val="20"/>
              </w:rPr>
              <w:t>Centre</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E668BA" w14:textId="77777777" w:rsidR="00F927A2" w:rsidRPr="00645A24" w:rsidRDefault="00F927A2" w:rsidP="00F927A2">
            <w:pPr>
              <w:jc w:val="center"/>
              <w:rPr>
                <w:rFonts w:ascii="Calibri" w:hAnsi="Calibri"/>
                <w:sz w:val="20"/>
              </w:rPr>
            </w:pPr>
            <w:r w:rsidRPr="00645A24">
              <w:rPr>
                <w:rFonts w:ascii="Calibri" w:hAnsi="Calibri"/>
                <w:sz w:val="20"/>
              </w:rPr>
              <w:t>Cerca-la-Source</w:t>
            </w:r>
          </w:p>
        </w:tc>
        <w:tc>
          <w:tcPr>
            <w:tcW w:w="626" w:type="pct"/>
            <w:tcBorders>
              <w:top w:val="nil"/>
              <w:left w:val="nil"/>
              <w:bottom w:val="single" w:sz="4" w:space="0" w:color="auto"/>
              <w:right w:val="single" w:sz="4" w:space="0" w:color="auto"/>
            </w:tcBorders>
            <w:shd w:val="clear" w:color="000000" w:fill="FFFFFF"/>
            <w:vAlign w:val="center"/>
            <w:hideMark/>
          </w:tcPr>
          <w:p w14:paraId="144C689C" w14:textId="77777777" w:rsidR="00F927A2" w:rsidRPr="00645A24" w:rsidRDefault="00F927A2" w:rsidP="00F927A2">
            <w:pPr>
              <w:jc w:val="center"/>
              <w:rPr>
                <w:rFonts w:ascii="Calibri" w:hAnsi="Calibri"/>
                <w:sz w:val="20"/>
              </w:rPr>
            </w:pPr>
            <w:r w:rsidRPr="00645A24">
              <w:rPr>
                <w:rFonts w:ascii="Calibri" w:hAnsi="Calibri"/>
                <w:sz w:val="20"/>
              </w:rPr>
              <w:t>Cerca-la-Source</w:t>
            </w:r>
          </w:p>
        </w:tc>
        <w:tc>
          <w:tcPr>
            <w:tcW w:w="625" w:type="pct"/>
            <w:tcBorders>
              <w:top w:val="nil"/>
              <w:left w:val="nil"/>
              <w:bottom w:val="single" w:sz="4" w:space="0" w:color="auto"/>
              <w:right w:val="single" w:sz="4" w:space="0" w:color="auto"/>
            </w:tcBorders>
            <w:shd w:val="clear" w:color="auto" w:fill="auto"/>
            <w:vAlign w:val="center"/>
            <w:hideMark/>
          </w:tcPr>
          <w:p w14:paraId="5255F59F"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46BCC38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52A5178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2284BD4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FAES</w:t>
            </w:r>
          </w:p>
        </w:tc>
        <w:tc>
          <w:tcPr>
            <w:tcW w:w="701" w:type="pct"/>
            <w:tcBorders>
              <w:top w:val="nil"/>
              <w:left w:val="nil"/>
              <w:bottom w:val="single" w:sz="4" w:space="0" w:color="auto"/>
              <w:right w:val="single" w:sz="4" w:space="0" w:color="auto"/>
            </w:tcBorders>
            <w:shd w:val="clear" w:color="auto" w:fill="auto"/>
            <w:vAlign w:val="center"/>
            <w:hideMark/>
          </w:tcPr>
          <w:p w14:paraId="595E5D2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KfW (PLCPDL)</w:t>
            </w:r>
          </w:p>
        </w:tc>
      </w:tr>
      <w:tr w:rsidR="00F927A2" w:rsidRPr="00645A24" w14:paraId="638848A8"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18619C7A"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73BCA060"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26617B96" w14:textId="77777777" w:rsidR="00F927A2" w:rsidRPr="00645A24" w:rsidRDefault="00F927A2" w:rsidP="00F927A2">
            <w:pPr>
              <w:jc w:val="center"/>
              <w:rPr>
                <w:rFonts w:ascii="Calibri" w:hAnsi="Calibri"/>
                <w:sz w:val="20"/>
              </w:rPr>
            </w:pPr>
            <w:r w:rsidRPr="00645A24">
              <w:rPr>
                <w:rFonts w:ascii="Calibri" w:hAnsi="Calibri"/>
                <w:sz w:val="20"/>
              </w:rPr>
              <w:t>Thomassique</w:t>
            </w:r>
          </w:p>
        </w:tc>
        <w:tc>
          <w:tcPr>
            <w:tcW w:w="625" w:type="pct"/>
            <w:tcBorders>
              <w:top w:val="nil"/>
              <w:left w:val="nil"/>
              <w:bottom w:val="single" w:sz="4" w:space="0" w:color="auto"/>
              <w:right w:val="single" w:sz="4" w:space="0" w:color="auto"/>
            </w:tcBorders>
            <w:shd w:val="clear" w:color="auto" w:fill="auto"/>
            <w:vAlign w:val="center"/>
            <w:hideMark/>
          </w:tcPr>
          <w:p w14:paraId="04CEF4F3"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1297BE6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626F809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6AA58D5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FAES</w:t>
            </w:r>
          </w:p>
        </w:tc>
        <w:tc>
          <w:tcPr>
            <w:tcW w:w="701" w:type="pct"/>
            <w:tcBorders>
              <w:top w:val="nil"/>
              <w:left w:val="nil"/>
              <w:bottom w:val="single" w:sz="4" w:space="0" w:color="auto"/>
              <w:right w:val="single" w:sz="4" w:space="0" w:color="auto"/>
            </w:tcBorders>
            <w:shd w:val="clear" w:color="auto" w:fill="auto"/>
            <w:vAlign w:val="center"/>
            <w:hideMark/>
          </w:tcPr>
          <w:p w14:paraId="6C2BB33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KfW (PLCPDL)</w:t>
            </w:r>
          </w:p>
        </w:tc>
      </w:tr>
      <w:tr w:rsidR="00F927A2" w:rsidRPr="00645A24" w14:paraId="24B252E1"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7E584E09"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CB6BCE3" w14:textId="77777777" w:rsidR="00F927A2" w:rsidRPr="00645A24" w:rsidRDefault="00F927A2" w:rsidP="00F927A2">
            <w:pPr>
              <w:jc w:val="center"/>
              <w:rPr>
                <w:rFonts w:ascii="Calibri" w:hAnsi="Calibri"/>
                <w:sz w:val="20"/>
              </w:rPr>
            </w:pPr>
            <w:r w:rsidRPr="00645A24">
              <w:rPr>
                <w:rFonts w:ascii="Calibri" w:hAnsi="Calibri"/>
                <w:sz w:val="20"/>
              </w:rPr>
              <w:t>Hinche</w:t>
            </w:r>
          </w:p>
        </w:tc>
        <w:tc>
          <w:tcPr>
            <w:tcW w:w="626" w:type="pct"/>
            <w:vMerge w:val="restart"/>
            <w:tcBorders>
              <w:top w:val="nil"/>
              <w:left w:val="single" w:sz="4" w:space="0" w:color="auto"/>
              <w:bottom w:val="single" w:sz="4" w:space="0" w:color="000000"/>
              <w:right w:val="single" w:sz="4" w:space="0" w:color="auto"/>
            </w:tcBorders>
            <w:shd w:val="clear" w:color="auto" w:fill="auto"/>
            <w:vAlign w:val="center"/>
            <w:hideMark/>
          </w:tcPr>
          <w:p w14:paraId="29790FA2" w14:textId="77777777" w:rsidR="00F927A2" w:rsidRPr="00645A24" w:rsidRDefault="00F927A2" w:rsidP="00F927A2">
            <w:pPr>
              <w:jc w:val="center"/>
              <w:rPr>
                <w:rFonts w:ascii="Calibri" w:hAnsi="Calibri"/>
                <w:sz w:val="20"/>
              </w:rPr>
            </w:pPr>
            <w:r w:rsidRPr="00645A24">
              <w:rPr>
                <w:rFonts w:ascii="Calibri" w:hAnsi="Calibri"/>
                <w:sz w:val="20"/>
              </w:rPr>
              <w:t>Hinche</w:t>
            </w:r>
          </w:p>
        </w:tc>
        <w:tc>
          <w:tcPr>
            <w:tcW w:w="625" w:type="pct"/>
            <w:tcBorders>
              <w:top w:val="nil"/>
              <w:left w:val="nil"/>
              <w:bottom w:val="single" w:sz="4" w:space="0" w:color="auto"/>
              <w:right w:val="single" w:sz="4" w:space="0" w:color="auto"/>
            </w:tcBorders>
            <w:shd w:val="clear" w:color="auto" w:fill="auto"/>
            <w:vAlign w:val="center"/>
            <w:hideMark/>
          </w:tcPr>
          <w:p w14:paraId="2459720D"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1679190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3EC276F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4559BB0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FAES</w:t>
            </w:r>
          </w:p>
        </w:tc>
        <w:tc>
          <w:tcPr>
            <w:tcW w:w="701" w:type="pct"/>
            <w:tcBorders>
              <w:top w:val="nil"/>
              <w:left w:val="nil"/>
              <w:bottom w:val="single" w:sz="4" w:space="0" w:color="auto"/>
              <w:right w:val="single" w:sz="4" w:space="0" w:color="auto"/>
            </w:tcBorders>
            <w:shd w:val="clear" w:color="auto" w:fill="auto"/>
            <w:vAlign w:val="center"/>
            <w:hideMark/>
          </w:tcPr>
          <w:p w14:paraId="1E685C8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KfW (PLCPDL)</w:t>
            </w:r>
          </w:p>
        </w:tc>
      </w:tr>
      <w:tr w:rsidR="00F927A2" w:rsidRPr="00645A24" w14:paraId="2077DEA5" w14:textId="77777777" w:rsidTr="00F927A2">
        <w:trPr>
          <w:trHeight w:val="1500"/>
        </w:trPr>
        <w:tc>
          <w:tcPr>
            <w:tcW w:w="445" w:type="pct"/>
            <w:vMerge/>
            <w:tcBorders>
              <w:top w:val="nil"/>
              <w:left w:val="single" w:sz="8" w:space="0" w:color="auto"/>
              <w:bottom w:val="single" w:sz="4" w:space="0" w:color="auto"/>
              <w:right w:val="single" w:sz="4" w:space="0" w:color="auto"/>
            </w:tcBorders>
            <w:vAlign w:val="center"/>
            <w:hideMark/>
          </w:tcPr>
          <w:p w14:paraId="68223F2D"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04DE9F75"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6B97F383"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3F65E8A5" w14:textId="77777777" w:rsidR="00F927A2" w:rsidRPr="00645A24" w:rsidRDefault="00F927A2" w:rsidP="00F927A2">
            <w:pPr>
              <w:rPr>
                <w:rFonts w:ascii="Calibri" w:hAnsi="Calibri"/>
                <w:color w:val="000000"/>
                <w:sz w:val="20"/>
              </w:rPr>
            </w:pPr>
            <w:r w:rsidRPr="00645A24">
              <w:rPr>
                <w:rFonts w:ascii="Calibri" w:hAnsi="Calibri"/>
                <w:color w:val="000000"/>
                <w:sz w:val="20"/>
              </w:rPr>
              <w:t>Plan d’Aménagement,</w:t>
            </w:r>
            <w:r w:rsidRPr="00645A24">
              <w:rPr>
                <w:rFonts w:ascii="Calibri" w:hAnsi="Calibri"/>
                <w:color w:val="000000"/>
                <w:sz w:val="20"/>
              </w:rPr>
              <w:br/>
              <w:t xml:space="preserve">d’Embellissement et d’Extension de la Ville (PAEEV) </w:t>
            </w:r>
            <w:r w:rsidRPr="00645A24">
              <w:rPr>
                <w:rFonts w:ascii="Calibri" w:hAnsi="Calibri"/>
                <w:color w:val="000000"/>
                <w:sz w:val="20"/>
              </w:rPr>
              <w:br/>
              <w:t>+ Plan programme pluriannuel d’investissement</w:t>
            </w:r>
          </w:p>
        </w:tc>
        <w:tc>
          <w:tcPr>
            <w:tcW w:w="626" w:type="pct"/>
            <w:tcBorders>
              <w:top w:val="nil"/>
              <w:left w:val="nil"/>
              <w:bottom w:val="single" w:sz="4" w:space="0" w:color="auto"/>
              <w:right w:val="single" w:sz="4" w:space="0" w:color="auto"/>
            </w:tcBorders>
            <w:shd w:val="clear" w:color="auto" w:fill="auto"/>
            <w:vAlign w:val="center"/>
            <w:hideMark/>
          </w:tcPr>
          <w:p w14:paraId="439AC5C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Marché en cours d'attribution</w:t>
            </w:r>
          </w:p>
        </w:tc>
        <w:tc>
          <w:tcPr>
            <w:tcW w:w="625" w:type="pct"/>
            <w:tcBorders>
              <w:top w:val="nil"/>
              <w:left w:val="nil"/>
              <w:bottom w:val="single" w:sz="4" w:space="0" w:color="auto"/>
              <w:right w:val="single" w:sz="4" w:space="0" w:color="auto"/>
            </w:tcBorders>
            <w:shd w:val="clear" w:color="auto" w:fill="auto"/>
            <w:vAlign w:val="center"/>
            <w:hideMark/>
          </w:tcPr>
          <w:p w14:paraId="23A13F5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2016</w:t>
            </w:r>
          </w:p>
        </w:tc>
        <w:tc>
          <w:tcPr>
            <w:tcW w:w="704" w:type="pct"/>
            <w:tcBorders>
              <w:top w:val="nil"/>
              <w:left w:val="nil"/>
              <w:bottom w:val="single" w:sz="4" w:space="0" w:color="auto"/>
              <w:right w:val="single" w:sz="4" w:space="0" w:color="auto"/>
            </w:tcBorders>
            <w:shd w:val="clear" w:color="auto" w:fill="auto"/>
            <w:vAlign w:val="center"/>
            <w:hideMark/>
          </w:tcPr>
          <w:p w14:paraId="7C08290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601BAAE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Banque Mondiale</w:t>
            </w:r>
          </w:p>
        </w:tc>
      </w:tr>
      <w:tr w:rsidR="00F927A2" w:rsidRPr="00645A24" w14:paraId="1C8C2D9F"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31A53669"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2A252526"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6E0EF5D3" w14:textId="77777777" w:rsidR="00F927A2" w:rsidRPr="00645A24" w:rsidRDefault="00F927A2" w:rsidP="00F927A2">
            <w:pPr>
              <w:jc w:val="center"/>
              <w:rPr>
                <w:rFonts w:ascii="Calibri" w:hAnsi="Calibri"/>
                <w:sz w:val="20"/>
              </w:rPr>
            </w:pPr>
            <w:r w:rsidRPr="00645A24">
              <w:rPr>
                <w:rFonts w:ascii="Calibri" w:hAnsi="Calibri"/>
                <w:sz w:val="20"/>
              </w:rPr>
              <w:t>Maïssade</w:t>
            </w:r>
          </w:p>
        </w:tc>
        <w:tc>
          <w:tcPr>
            <w:tcW w:w="625" w:type="pct"/>
            <w:tcBorders>
              <w:top w:val="nil"/>
              <w:left w:val="nil"/>
              <w:bottom w:val="single" w:sz="4" w:space="0" w:color="auto"/>
              <w:right w:val="single" w:sz="4" w:space="0" w:color="auto"/>
            </w:tcBorders>
            <w:shd w:val="clear" w:color="auto" w:fill="auto"/>
            <w:vAlign w:val="center"/>
            <w:hideMark/>
          </w:tcPr>
          <w:p w14:paraId="4EF98362"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5532177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7DBA703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7470CFB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FAES</w:t>
            </w:r>
          </w:p>
        </w:tc>
        <w:tc>
          <w:tcPr>
            <w:tcW w:w="701" w:type="pct"/>
            <w:tcBorders>
              <w:top w:val="nil"/>
              <w:left w:val="nil"/>
              <w:bottom w:val="single" w:sz="4" w:space="0" w:color="auto"/>
              <w:right w:val="single" w:sz="4" w:space="0" w:color="auto"/>
            </w:tcBorders>
            <w:shd w:val="clear" w:color="auto" w:fill="auto"/>
            <w:vAlign w:val="center"/>
            <w:hideMark/>
          </w:tcPr>
          <w:p w14:paraId="26DD8D8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KfW (PLCPDL)</w:t>
            </w:r>
          </w:p>
        </w:tc>
      </w:tr>
      <w:tr w:rsidR="00F927A2" w:rsidRPr="00645A24" w14:paraId="30F766F9"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48BEE69B"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5EA1AAD6"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7B23CE79" w14:textId="77777777" w:rsidR="00F927A2" w:rsidRPr="00645A24" w:rsidRDefault="00F927A2" w:rsidP="00F927A2">
            <w:pPr>
              <w:jc w:val="center"/>
              <w:rPr>
                <w:rFonts w:ascii="Calibri" w:hAnsi="Calibri"/>
                <w:sz w:val="20"/>
              </w:rPr>
            </w:pPr>
            <w:r w:rsidRPr="00645A24">
              <w:rPr>
                <w:rFonts w:ascii="Calibri" w:hAnsi="Calibri"/>
                <w:sz w:val="20"/>
              </w:rPr>
              <w:t>Cerca-Cavajal</w:t>
            </w:r>
          </w:p>
        </w:tc>
        <w:tc>
          <w:tcPr>
            <w:tcW w:w="625" w:type="pct"/>
            <w:tcBorders>
              <w:top w:val="nil"/>
              <w:left w:val="nil"/>
              <w:bottom w:val="single" w:sz="4" w:space="0" w:color="auto"/>
              <w:right w:val="single" w:sz="4" w:space="0" w:color="auto"/>
            </w:tcBorders>
            <w:shd w:val="clear" w:color="auto" w:fill="auto"/>
            <w:vAlign w:val="center"/>
            <w:hideMark/>
          </w:tcPr>
          <w:p w14:paraId="27B4E607"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61E96DF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532B706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4483B53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FAES</w:t>
            </w:r>
          </w:p>
        </w:tc>
        <w:tc>
          <w:tcPr>
            <w:tcW w:w="701" w:type="pct"/>
            <w:tcBorders>
              <w:top w:val="nil"/>
              <w:left w:val="nil"/>
              <w:bottom w:val="single" w:sz="4" w:space="0" w:color="auto"/>
              <w:right w:val="single" w:sz="4" w:space="0" w:color="auto"/>
            </w:tcBorders>
            <w:shd w:val="clear" w:color="auto" w:fill="auto"/>
            <w:vAlign w:val="center"/>
            <w:hideMark/>
          </w:tcPr>
          <w:p w14:paraId="0BCC201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KfW (PLCPDL)</w:t>
            </w:r>
          </w:p>
        </w:tc>
      </w:tr>
      <w:tr w:rsidR="00F927A2" w:rsidRPr="00645A24" w14:paraId="2C7E33D0"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1E3631C8"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20207889"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18BCE010" w14:textId="77777777" w:rsidR="00F927A2" w:rsidRPr="00645A24" w:rsidRDefault="00F927A2" w:rsidP="00F927A2">
            <w:pPr>
              <w:jc w:val="center"/>
              <w:rPr>
                <w:rFonts w:ascii="Calibri" w:hAnsi="Calibri"/>
                <w:sz w:val="20"/>
              </w:rPr>
            </w:pPr>
            <w:r w:rsidRPr="00645A24">
              <w:rPr>
                <w:rFonts w:ascii="Calibri" w:hAnsi="Calibri"/>
                <w:sz w:val="20"/>
              </w:rPr>
              <w:t>Thomonde</w:t>
            </w:r>
          </w:p>
        </w:tc>
        <w:tc>
          <w:tcPr>
            <w:tcW w:w="625" w:type="pct"/>
            <w:tcBorders>
              <w:top w:val="nil"/>
              <w:left w:val="nil"/>
              <w:bottom w:val="single" w:sz="4" w:space="0" w:color="auto"/>
              <w:right w:val="single" w:sz="4" w:space="0" w:color="auto"/>
            </w:tcBorders>
            <w:shd w:val="clear" w:color="auto" w:fill="auto"/>
            <w:vAlign w:val="center"/>
            <w:hideMark/>
          </w:tcPr>
          <w:p w14:paraId="20EC7372"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2A15A7A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1BCD268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284AFA3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FAES</w:t>
            </w:r>
          </w:p>
        </w:tc>
        <w:tc>
          <w:tcPr>
            <w:tcW w:w="701" w:type="pct"/>
            <w:tcBorders>
              <w:top w:val="nil"/>
              <w:left w:val="nil"/>
              <w:bottom w:val="single" w:sz="4" w:space="0" w:color="auto"/>
              <w:right w:val="single" w:sz="4" w:space="0" w:color="auto"/>
            </w:tcBorders>
            <w:shd w:val="clear" w:color="auto" w:fill="auto"/>
            <w:vAlign w:val="center"/>
            <w:hideMark/>
          </w:tcPr>
          <w:p w14:paraId="5F6E7B5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KfW (PLCPDL)</w:t>
            </w:r>
          </w:p>
        </w:tc>
      </w:tr>
      <w:tr w:rsidR="00F927A2" w:rsidRPr="00645A24" w14:paraId="0DE06C5B"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0096746E"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6FD467A" w14:textId="77777777" w:rsidR="00F927A2" w:rsidRPr="00645A24" w:rsidRDefault="00F927A2" w:rsidP="00F927A2">
            <w:pPr>
              <w:jc w:val="center"/>
              <w:rPr>
                <w:rFonts w:ascii="Calibri" w:hAnsi="Calibri"/>
                <w:sz w:val="20"/>
              </w:rPr>
            </w:pPr>
            <w:r w:rsidRPr="00645A24">
              <w:rPr>
                <w:rFonts w:ascii="Calibri" w:hAnsi="Calibri"/>
                <w:sz w:val="20"/>
              </w:rPr>
              <w:t>Lascahobas</w:t>
            </w:r>
          </w:p>
        </w:tc>
        <w:tc>
          <w:tcPr>
            <w:tcW w:w="626" w:type="pct"/>
            <w:tcBorders>
              <w:top w:val="nil"/>
              <w:left w:val="nil"/>
              <w:bottom w:val="single" w:sz="4" w:space="0" w:color="auto"/>
              <w:right w:val="single" w:sz="4" w:space="0" w:color="auto"/>
            </w:tcBorders>
            <w:shd w:val="clear" w:color="000000" w:fill="FFFFFF"/>
            <w:vAlign w:val="center"/>
            <w:hideMark/>
          </w:tcPr>
          <w:p w14:paraId="5D8577BB" w14:textId="77777777" w:rsidR="00F927A2" w:rsidRPr="00645A24" w:rsidRDefault="00F927A2" w:rsidP="00F927A2">
            <w:pPr>
              <w:jc w:val="center"/>
              <w:rPr>
                <w:rFonts w:ascii="Calibri" w:hAnsi="Calibri"/>
                <w:sz w:val="20"/>
              </w:rPr>
            </w:pPr>
            <w:r w:rsidRPr="00645A24">
              <w:rPr>
                <w:rFonts w:ascii="Calibri" w:hAnsi="Calibri"/>
                <w:sz w:val="20"/>
              </w:rPr>
              <w:t>Lascahobas</w:t>
            </w:r>
          </w:p>
        </w:tc>
        <w:tc>
          <w:tcPr>
            <w:tcW w:w="625" w:type="pct"/>
            <w:tcBorders>
              <w:top w:val="nil"/>
              <w:left w:val="nil"/>
              <w:bottom w:val="single" w:sz="4" w:space="0" w:color="auto"/>
              <w:right w:val="single" w:sz="4" w:space="0" w:color="auto"/>
            </w:tcBorders>
            <w:shd w:val="clear" w:color="auto" w:fill="auto"/>
            <w:vAlign w:val="center"/>
            <w:hideMark/>
          </w:tcPr>
          <w:p w14:paraId="644F3C3A"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4EC665D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2C3D009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3B4C1F0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FAES</w:t>
            </w:r>
          </w:p>
        </w:tc>
        <w:tc>
          <w:tcPr>
            <w:tcW w:w="701" w:type="pct"/>
            <w:tcBorders>
              <w:top w:val="nil"/>
              <w:left w:val="nil"/>
              <w:bottom w:val="single" w:sz="4" w:space="0" w:color="auto"/>
              <w:right w:val="single" w:sz="4" w:space="0" w:color="auto"/>
            </w:tcBorders>
            <w:shd w:val="clear" w:color="auto" w:fill="auto"/>
            <w:vAlign w:val="center"/>
            <w:hideMark/>
          </w:tcPr>
          <w:p w14:paraId="72504E8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KfW (PLCPDL)</w:t>
            </w:r>
          </w:p>
        </w:tc>
      </w:tr>
      <w:tr w:rsidR="00F927A2" w:rsidRPr="00645A24" w14:paraId="2C5ADCE5"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75A9893E"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0402F37B"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00437527" w14:textId="77777777" w:rsidR="00F927A2" w:rsidRPr="00645A24" w:rsidRDefault="00F927A2" w:rsidP="00F927A2">
            <w:pPr>
              <w:jc w:val="center"/>
              <w:rPr>
                <w:rFonts w:ascii="Calibri" w:hAnsi="Calibri"/>
                <w:sz w:val="20"/>
              </w:rPr>
            </w:pPr>
            <w:r w:rsidRPr="00645A24">
              <w:rPr>
                <w:rFonts w:ascii="Calibri" w:hAnsi="Calibri"/>
                <w:sz w:val="20"/>
              </w:rPr>
              <w:t>Savanette</w:t>
            </w:r>
          </w:p>
        </w:tc>
        <w:tc>
          <w:tcPr>
            <w:tcW w:w="625" w:type="pct"/>
            <w:tcBorders>
              <w:top w:val="nil"/>
              <w:left w:val="nil"/>
              <w:bottom w:val="single" w:sz="4" w:space="0" w:color="auto"/>
              <w:right w:val="single" w:sz="4" w:space="0" w:color="auto"/>
            </w:tcBorders>
            <w:shd w:val="clear" w:color="auto" w:fill="auto"/>
            <w:vAlign w:val="center"/>
            <w:hideMark/>
          </w:tcPr>
          <w:p w14:paraId="36F206E0"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7DFE919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2A23803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2EFB2A6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FAES</w:t>
            </w:r>
          </w:p>
        </w:tc>
        <w:tc>
          <w:tcPr>
            <w:tcW w:w="701" w:type="pct"/>
            <w:tcBorders>
              <w:top w:val="nil"/>
              <w:left w:val="nil"/>
              <w:bottom w:val="single" w:sz="4" w:space="0" w:color="auto"/>
              <w:right w:val="single" w:sz="4" w:space="0" w:color="auto"/>
            </w:tcBorders>
            <w:shd w:val="clear" w:color="auto" w:fill="auto"/>
            <w:vAlign w:val="center"/>
            <w:hideMark/>
          </w:tcPr>
          <w:p w14:paraId="7495A7F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KfW (PLCPDL)</w:t>
            </w:r>
          </w:p>
        </w:tc>
      </w:tr>
      <w:tr w:rsidR="00F927A2" w:rsidRPr="00645A24" w14:paraId="58258F55"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34D90F64"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06302CC6"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01325950" w14:textId="77777777" w:rsidR="00F927A2" w:rsidRPr="00645A24" w:rsidRDefault="00F927A2" w:rsidP="00F927A2">
            <w:pPr>
              <w:jc w:val="center"/>
              <w:rPr>
                <w:rFonts w:ascii="Calibri" w:hAnsi="Calibri"/>
                <w:sz w:val="20"/>
              </w:rPr>
            </w:pPr>
            <w:r w:rsidRPr="00645A24">
              <w:rPr>
                <w:rFonts w:ascii="Calibri" w:hAnsi="Calibri"/>
                <w:sz w:val="20"/>
              </w:rPr>
              <w:t>Belladère</w:t>
            </w:r>
          </w:p>
        </w:tc>
        <w:tc>
          <w:tcPr>
            <w:tcW w:w="625" w:type="pct"/>
            <w:tcBorders>
              <w:top w:val="nil"/>
              <w:left w:val="nil"/>
              <w:bottom w:val="single" w:sz="4" w:space="0" w:color="auto"/>
              <w:right w:val="single" w:sz="4" w:space="0" w:color="auto"/>
            </w:tcBorders>
            <w:shd w:val="clear" w:color="auto" w:fill="auto"/>
            <w:vAlign w:val="center"/>
            <w:hideMark/>
          </w:tcPr>
          <w:p w14:paraId="0398FA14"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1EBE849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0DF18A7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0659466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FAES</w:t>
            </w:r>
          </w:p>
        </w:tc>
        <w:tc>
          <w:tcPr>
            <w:tcW w:w="701" w:type="pct"/>
            <w:tcBorders>
              <w:top w:val="nil"/>
              <w:left w:val="nil"/>
              <w:bottom w:val="single" w:sz="4" w:space="0" w:color="auto"/>
              <w:right w:val="single" w:sz="4" w:space="0" w:color="auto"/>
            </w:tcBorders>
            <w:shd w:val="clear" w:color="auto" w:fill="auto"/>
            <w:vAlign w:val="center"/>
            <w:hideMark/>
          </w:tcPr>
          <w:p w14:paraId="29EF308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KfW (PLCPDL)</w:t>
            </w:r>
          </w:p>
        </w:tc>
      </w:tr>
      <w:tr w:rsidR="00F927A2" w:rsidRPr="00645A24" w14:paraId="154D5CC2"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33F8A1BC"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64617007" w14:textId="77777777" w:rsidR="00F927A2" w:rsidRPr="00645A24" w:rsidRDefault="00F927A2" w:rsidP="00F927A2">
            <w:pPr>
              <w:jc w:val="center"/>
              <w:rPr>
                <w:rFonts w:ascii="Calibri" w:hAnsi="Calibri"/>
                <w:sz w:val="20"/>
              </w:rPr>
            </w:pPr>
            <w:r w:rsidRPr="00645A24">
              <w:rPr>
                <w:rFonts w:ascii="Calibri" w:hAnsi="Calibri"/>
                <w:sz w:val="20"/>
              </w:rPr>
              <w:t>Mirebalais</w:t>
            </w:r>
          </w:p>
        </w:tc>
        <w:tc>
          <w:tcPr>
            <w:tcW w:w="626" w:type="pct"/>
            <w:vMerge w:val="restart"/>
            <w:tcBorders>
              <w:top w:val="nil"/>
              <w:left w:val="single" w:sz="4" w:space="0" w:color="auto"/>
              <w:bottom w:val="single" w:sz="4" w:space="0" w:color="000000"/>
              <w:right w:val="single" w:sz="4" w:space="0" w:color="auto"/>
            </w:tcBorders>
            <w:shd w:val="clear" w:color="auto" w:fill="auto"/>
            <w:vAlign w:val="center"/>
            <w:hideMark/>
          </w:tcPr>
          <w:p w14:paraId="0913A85E" w14:textId="77777777" w:rsidR="00F927A2" w:rsidRPr="00645A24" w:rsidRDefault="00F927A2" w:rsidP="00F927A2">
            <w:pPr>
              <w:jc w:val="center"/>
              <w:rPr>
                <w:rFonts w:ascii="Calibri" w:hAnsi="Calibri"/>
                <w:sz w:val="20"/>
              </w:rPr>
            </w:pPr>
            <w:r w:rsidRPr="00645A24">
              <w:rPr>
                <w:rFonts w:ascii="Calibri" w:hAnsi="Calibri"/>
                <w:sz w:val="20"/>
              </w:rPr>
              <w:t>Mirebalais</w:t>
            </w:r>
          </w:p>
        </w:tc>
        <w:tc>
          <w:tcPr>
            <w:tcW w:w="625" w:type="pct"/>
            <w:tcBorders>
              <w:top w:val="nil"/>
              <w:left w:val="nil"/>
              <w:bottom w:val="single" w:sz="4" w:space="0" w:color="auto"/>
              <w:right w:val="single" w:sz="4" w:space="0" w:color="auto"/>
            </w:tcBorders>
            <w:shd w:val="clear" w:color="auto" w:fill="auto"/>
            <w:vAlign w:val="center"/>
            <w:hideMark/>
          </w:tcPr>
          <w:p w14:paraId="522EE03C"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6B5D3F9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735CEC2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4EDD6B4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FAES</w:t>
            </w:r>
          </w:p>
        </w:tc>
        <w:tc>
          <w:tcPr>
            <w:tcW w:w="701" w:type="pct"/>
            <w:tcBorders>
              <w:top w:val="nil"/>
              <w:left w:val="nil"/>
              <w:bottom w:val="single" w:sz="4" w:space="0" w:color="auto"/>
              <w:right w:val="single" w:sz="4" w:space="0" w:color="auto"/>
            </w:tcBorders>
            <w:shd w:val="clear" w:color="auto" w:fill="auto"/>
            <w:vAlign w:val="center"/>
            <w:hideMark/>
          </w:tcPr>
          <w:p w14:paraId="1F68DF5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KfW (PLCPDL)</w:t>
            </w:r>
          </w:p>
        </w:tc>
      </w:tr>
      <w:tr w:rsidR="00F927A2" w:rsidRPr="00645A24" w14:paraId="15DF4BA0" w14:textId="77777777" w:rsidTr="00F927A2">
        <w:trPr>
          <w:trHeight w:val="1500"/>
        </w:trPr>
        <w:tc>
          <w:tcPr>
            <w:tcW w:w="445" w:type="pct"/>
            <w:vMerge/>
            <w:tcBorders>
              <w:top w:val="nil"/>
              <w:left w:val="single" w:sz="8" w:space="0" w:color="auto"/>
              <w:bottom w:val="single" w:sz="4" w:space="0" w:color="auto"/>
              <w:right w:val="single" w:sz="4" w:space="0" w:color="auto"/>
            </w:tcBorders>
            <w:vAlign w:val="center"/>
            <w:hideMark/>
          </w:tcPr>
          <w:p w14:paraId="53EC48E1"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2AB4C7BE"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745F7BFE"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0E24B36A" w14:textId="77777777" w:rsidR="00F927A2" w:rsidRPr="00645A24" w:rsidRDefault="00F927A2" w:rsidP="00F927A2">
            <w:pPr>
              <w:rPr>
                <w:rFonts w:ascii="Calibri" w:hAnsi="Calibri"/>
                <w:color w:val="000000"/>
                <w:sz w:val="20"/>
              </w:rPr>
            </w:pPr>
            <w:r w:rsidRPr="00645A24">
              <w:rPr>
                <w:rFonts w:ascii="Calibri" w:hAnsi="Calibri"/>
                <w:color w:val="000000"/>
                <w:sz w:val="20"/>
              </w:rPr>
              <w:t>Plan d’Aménagement,</w:t>
            </w:r>
            <w:r w:rsidRPr="00645A24">
              <w:rPr>
                <w:rFonts w:ascii="Calibri" w:hAnsi="Calibri"/>
                <w:color w:val="000000"/>
                <w:sz w:val="20"/>
              </w:rPr>
              <w:br/>
              <w:t xml:space="preserve">d’Embellissement et d’Extension de la Ville (PAEEV) </w:t>
            </w:r>
            <w:r w:rsidRPr="00645A24">
              <w:rPr>
                <w:rFonts w:ascii="Calibri" w:hAnsi="Calibri"/>
                <w:color w:val="000000"/>
                <w:sz w:val="20"/>
              </w:rPr>
              <w:br/>
              <w:t>+ Plan programme pluriannuel d’investissement</w:t>
            </w:r>
          </w:p>
        </w:tc>
        <w:tc>
          <w:tcPr>
            <w:tcW w:w="626" w:type="pct"/>
            <w:tcBorders>
              <w:top w:val="nil"/>
              <w:left w:val="nil"/>
              <w:bottom w:val="single" w:sz="4" w:space="0" w:color="auto"/>
              <w:right w:val="single" w:sz="4" w:space="0" w:color="auto"/>
            </w:tcBorders>
            <w:shd w:val="clear" w:color="auto" w:fill="auto"/>
            <w:vAlign w:val="center"/>
            <w:hideMark/>
          </w:tcPr>
          <w:p w14:paraId="3103B1F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Marché en cours d'attribution</w:t>
            </w:r>
          </w:p>
        </w:tc>
        <w:tc>
          <w:tcPr>
            <w:tcW w:w="625" w:type="pct"/>
            <w:tcBorders>
              <w:top w:val="nil"/>
              <w:left w:val="nil"/>
              <w:bottom w:val="single" w:sz="4" w:space="0" w:color="auto"/>
              <w:right w:val="single" w:sz="4" w:space="0" w:color="auto"/>
            </w:tcBorders>
            <w:shd w:val="clear" w:color="auto" w:fill="auto"/>
            <w:vAlign w:val="center"/>
            <w:hideMark/>
          </w:tcPr>
          <w:p w14:paraId="75CF1D0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2016</w:t>
            </w:r>
          </w:p>
        </w:tc>
        <w:tc>
          <w:tcPr>
            <w:tcW w:w="704" w:type="pct"/>
            <w:tcBorders>
              <w:top w:val="nil"/>
              <w:left w:val="nil"/>
              <w:bottom w:val="single" w:sz="4" w:space="0" w:color="auto"/>
              <w:right w:val="single" w:sz="4" w:space="0" w:color="auto"/>
            </w:tcBorders>
            <w:shd w:val="clear" w:color="auto" w:fill="auto"/>
            <w:vAlign w:val="center"/>
            <w:hideMark/>
          </w:tcPr>
          <w:p w14:paraId="2598AC1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6D0FE55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Banque Mondiale</w:t>
            </w:r>
          </w:p>
        </w:tc>
      </w:tr>
      <w:tr w:rsidR="00F927A2" w:rsidRPr="00645A24" w14:paraId="08D022B9"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3264F1FF"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65A4984E" w14:textId="77777777" w:rsidR="00F927A2" w:rsidRPr="00645A24" w:rsidRDefault="00F927A2" w:rsidP="00F927A2">
            <w:pPr>
              <w:jc w:val="left"/>
              <w:rPr>
                <w:rFonts w:ascii="Calibri" w:hAnsi="Calibri"/>
                <w:sz w:val="20"/>
              </w:rPr>
            </w:pPr>
          </w:p>
        </w:tc>
        <w:tc>
          <w:tcPr>
            <w:tcW w:w="626" w:type="pct"/>
            <w:vMerge w:val="restart"/>
            <w:tcBorders>
              <w:top w:val="nil"/>
              <w:left w:val="single" w:sz="4" w:space="0" w:color="auto"/>
              <w:bottom w:val="single" w:sz="4" w:space="0" w:color="000000"/>
              <w:right w:val="single" w:sz="4" w:space="0" w:color="auto"/>
            </w:tcBorders>
            <w:shd w:val="clear" w:color="auto" w:fill="auto"/>
            <w:vAlign w:val="center"/>
            <w:hideMark/>
          </w:tcPr>
          <w:p w14:paraId="7673CBEA" w14:textId="77777777" w:rsidR="00F927A2" w:rsidRPr="00645A24" w:rsidRDefault="00F927A2" w:rsidP="00F927A2">
            <w:pPr>
              <w:jc w:val="center"/>
              <w:rPr>
                <w:rFonts w:ascii="Calibri" w:hAnsi="Calibri"/>
                <w:sz w:val="20"/>
              </w:rPr>
            </w:pPr>
            <w:r w:rsidRPr="00645A24">
              <w:rPr>
                <w:rFonts w:ascii="Calibri" w:hAnsi="Calibri"/>
                <w:sz w:val="20"/>
              </w:rPr>
              <w:t>Saut-d'Eau</w:t>
            </w:r>
          </w:p>
        </w:tc>
        <w:tc>
          <w:tcPr>
            <w:tcW w:w="625" w:type="pct"/>
            <w:tcBorders>
              <w:top w:val="nil"/>
              <w:left w:val="nil"/>
              <w:bottom w:val="single" w:sz="4" w:space="0" w:color="auto"/>
              <w:right w:val="single" w:sz="4" w:space="0" w:color="auto"/>
            </w:tcBorders>
            <w:shd w:val="clear" w:color="auto" w:fill="auto"/>
            <w:vAlign w:val="center"/>
            <w:hideMark/>
          </w:tcPr>
          <w:p w14:paraId="5362B935"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0D6800F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69FAE8D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59C34E6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FAES</w:t>
            </w:r>
          </w:p>
        </w:tc>
        <w:tc>
          <w:tcPr>
            <w:tcW w:w="701" w:type="pct"/>
            <w:tcBorders>
              <w:top w:val="nil"/>
              <w:left w:val="nil"/>
              <w:bottom w:val="single" w:sz="4" w:space="0" w:color="auto"/>
              <w:right w:val="single" w:sz="4" w:space="0" w:color="auto"/>
            </w:tcBorders>
            <w:shd w:val="clear" w:color="auto" w:fill="auto"/>
            <w:vAlign w:val="center"/>
            <w:hideMark/>
          </w:tcPr>
          <w:p w14:paraId="34A3BE8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KfW (PLCPDL)</w:t>
            </w:r>
          </w:p>
        </w:tc>
      </w:tr>
      <w:tr w:rsidR="00F927A2" w:rsidRPr="00645A24" w14:paraId="626015D6" w14:textId="77777777" w:rsidTr="00F927A2">
        <w:trPr>
          <w:trHeight w:val="1500"/>
        </w:trPr>
        <w:tc>
          <w:tcPr>
            <w:tcW w:w="445" w:type="pct"/>
            <w:vMerge/>
            <w:tcBorders>
              <w:top w:val="nil"/>
              <w:left w:val="single" w:sz="8" w:space="0" w:color="auto"/>
              <w:bottom w:val="single" w:sz="4" w:space="0" w:color="auto"/>
              <w:right w:val="single" w:sz="4" w:space="0" w:color="auto"/>
            </w:tcBorders>
            <w:vAlign w:val="center"/>
            <w:hideMark/>
          </w:tcPr>
          <w:p w14:paraId="33D0CE1A"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6C7F8C71"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743BB273"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3139D918" w14:textId="77777777" w:rsidR="00F927A2" w:rsidRPr="00645A24" w:rsidRDefault="00F927A2" w:rsidP="00F927A2">
            <w:pPr>
              <w:rPr>
                <w:rFonts w:ascii="Calibri" w:hAnsi="Calibri"/>
                <w:color w:val="000000"/>
                <w:sz w:val="20"/>
              </w:rPr>
            </w:pPr>
            <w:r w:rsidRPr="00645A24">
              <w:rPr>
                <w:rFonts w:ascii="Calibri" w:hAnsi="Calibri"/>
                <w:color w:val="000000"/>
                <w:sz w:val="20"/>
              </w:rPr>
              <w:t>Plan d’Aménagement,</w:t>
            </w:r>
            <w:r w:rsidRPr="00645A24">
              <w:rPr>
                <w:rFonts w:ascii="Calibri" w:hAnsi="Calibri"/>
                <w:color w:val="000000"/>
                <w:sz w:val="20"/>
              </w:rPr>
              <w:br/>
              <w:t xml:space="preserve">d’Embellissement et d’Extension de la Ville (PAEEV) </w:t>
            </w:r>
            <w:r w:rsidRPr="00645A24">
              <w:rPr>
                <w:rFonts w:ascii="Calibri" w:hAnsi="Calibri"/>
                <w:color w:val="000000"/>
                <w:sz w:val="20"/>
              </w:rPr>
              <w:br/>
              <w:t>+ Plan programme pluriannuel d’investissement</w:t>
            </w:r>
          </w:p>
        </w:tc>
        <w:tc>
          <w:tcPr>
            <w:tcW w:w="626" w:type="pct"/>
            <w:tcBorders>
              <w:top w:val="nil"/>
              <w:left w:val="nil"/>
              <w:bottom w:val="single" w:sz="4" w:space="0" w:color="auto"/>
              <w:right w:val="single" w:sz="4" w:space="0" w:color="auto"/>
            </w:tcBorders>
            <w:shd w:val="clear" w:color="auto" w:fill="auto"/>
            <w:vAlign w:val="center"/>
            <w:hideMark/>
          </w:tcPr>
          <w:p w14:paraId="134A362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Marché en cours d'attribution</w:t>
            </w:r>
          </w:p>
        </w:tc>
        <w:tc>
          <w:tcPr>
            <w:tcW w:w="625" w:type="pct"/>
            <w:tcBorders>
              <w:top w:val="nil"/>
              <w:left w:val="nil"/>
              <w:bottom w:val="single" w:sz="4" w:space="0" w:color="auto"/>
              <w:right w:val="single" w:sz="4" w:space="0" w:color="auto"/>
            </w:tcBorders>
            <w:shd w:val="clear" w:color="auto" w:fill="auto"/>
            <w:vAlign w:val="center"/>
            <w:hideMark/>
          </w:tcPr>
          <w:p w14:paraId="210D28A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2016</w:t>
            </w:r>
          </w:p>
        </w:tc>
        <w:tc>
          <w:tcPr>
            <w:tcW w:w="704" w:type="pct"/>
            <w:tcBorders>
              <w:top w:val="nil"/>
              <w:left w:val="nil"/>
              <w:bottom w:val="single" w:sz="4" w:space="0" w:color="auto"/>
              <w:right w:val="single" w:sz="4" w:space="0" w:color="auto"/>
            </w:tcBorders>
            <w:shd w:val="clear" w:color="auto" w:fill="auto"/>
            <w:vAlign w:val="center"/>
            <w:hideMark/>
          </w:tcPr>
          <w:p w14:paraId="10DC588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703CAA5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Banque Mondiale</w:t>
            </w:r>
          </w:p>
        </w:tc>
      </w:tr>
      <w:tr w:rsidR="00F927A2" w:rsidRPr="00645A24" w14:paraId="17B9E688"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1B32962D"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7EB7F13E"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71AEE0DD" w14:textId="77777777" w:rsidR="00F927A2" w:rsidRPr="00645A24" w:rsidRDefault="00F927A2" w:rsidP="00F927A2">
            <w:pPr>
              <w:jc w:val="center"/>
              <w:rPr>
                <w:rFonts w:ascii="Calibri" w:hAnsi="Calibri"/>
                <w:sz w:val="20"/>
              </w:rPr>
            </w:pPr>
            <w:r w:rsidRPr="00645A24">
              <w:rPr>
                <w:rFonts w:ascii="Calibri" w:hAnsi="Calibri"/>
                <w:sz w:val="20"/>
              </w:rPr>
              <w:t>Boucan-Carré</w:t>
            </w:r>
          </w:p>
        </w:tc>
        <w:tc>
          <w:tcPr>
            <w:tcW w:w="625" w:type="pct"/>
            <w:tcBorders>
              <w:top w:val="nil"/>
              <w:left w:val="nil"/>
              <w:bottom w:val="single" w:sz="4" w:space="0" w:color="auto"/>
              <w:right w:val="single" w:sz="4" w:space="0" w:color="auto"/>
            </w:tcBorders>
            <w:shd w:val="clear" w:color="auto" w:fill="auto"/>
            <w:vAlign w:val="center"/>
            <w:hideMark/>
          </w:tcPr>
          <w:p w14:paraId="5CF57C8A"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50B7968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2E1644B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2757A0A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FAES</w:t>
            </w:r>
          </w:p>
        </w:tc>
        <w:tc>
          <w:tcPr>
            <w:tcW w:w="701" w:type="pct"/>
            <w:tcBorders>
              <w:top w:val="nil"/>
              <w:left w:val="nil"/>
              <w:bottom w:val="single" w:sz="4" w:space="0" w:color="auto"/>
              <w:right w:val="single" w:sz="4" w:space="0" w:color="auto"/>
            </w:tcBorders>
            <w:shd w:val="clear" w:color="auto" w:fill="auto"/>
            <w:vAlign w:val="center"/>
            <w:hideMark/>
          </w:tcPr>
          <w:p w14:paraId="67BB4E5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KfW (PLCPDL)</w:t>
            </w:r>
          </w:p>
        </w:tc>
      </w:tr>
      <w:tr w:rsidR="00F927A2" w:rsidRPr="00645A24" w14:paraId="48554B1C" w14:textId="77777777" w:rsidTr="00F927A2">
        <w:trPr>
          <w:trHeight w:val="300"/>
        </w:trPr>
        <w:tc>
          <w:tcPr>
            <w:tcW w:w="445" w:type="pct"/>
            <w:vMerge w:val="restart"/>
            <w:tcBorders>
              <w:top w:val="nil"/>
              <w:left w:val="single" w:sz="8" w:space="0" w:color="auto"/>
              <w:bottom w:val="single" w:sz="4" w:space="0" w:color="auto"/>
              <w:right w:val="single" w:sz="4" w:space="0" w:color="auto"/>
            </w:tcBorders>
            <w:shd w:val="clear" w:color="000000" w:fill="FFFFFF"/>
            <w:vAlign w:val="center"/>
            <w:hideMark/>
          </w:tcPr>
          <w:p w14:paraId="51CDB158" w14:textId="77777777" w:rsidR="00F927A2" w:rsidRPr="00645A24" w:rsidRDefault="00F927A2" w:rsidP="00F927A2">
            <w:pPr>
              <w:jc w:val="center"/>
              <w:rPr>
                <w:rFonts w:ascii="Calibri" w:hAnsi="Calibri"/>
                <w:sz w:val="20"/>
              </w:rPr>
            </w:pPr>
            <w:r w:rsidRPr="00645A24">
              <w:rPr>
                <w:rFonts w:ascii="Calibri" w:hAnsi="Calibri"/>
                <w:sz w:val="20"/>
              </w:rPr>
              <w:t>Artibonite</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5B1950D0" w14:textId="77777777" w:rsidR="00F927A2" w:rsidRPr="00645A24" w:rsidRDefault="00F927A2" w:rsidP="00F927A2">
            <w:pPr>
              <w:jc w:val="center"/>
              <w:rPr>
                <w:rFonts w:ascii="Calibri" w:hAnsi="Calibri"/>
                <w:sz w:val="20"/>
              </w:rPr>
            </w:pPr>
            <w:r w:rsidRPr="00645A24">
              <w:rPr>
                <w:rFonts w:ascii="Calibri" w:hAnsi="Calibri"/>
                <w:sz w:val="20"/>
              </w:rPr>
              <w:t>Dessalines</w:t>
            </w:r>
          </w:p>
        </w:tc>
        <w:tc>
          <w:tcPr>
            <w:tcW w:w="626" w:type="pct"/>
            <w:tcBorders>
              <w:top w:val="nil"/>
              <w:left w:val="nil"/>
              <w:bottom w:val="single" w:sz="4" w:space="0" w:color="auto"/>
              <w:right w:val="single" w:sz="4" w:space="0" w:color="auto"/>
            </w:tcBorders>
            <w:shd w:val="clear" w:color="000000" w:fill="FFFFFF"/>
            <w:vAlign w:val="center"/>
            <w:hideMark/>
          </w:tcPr>
          <w:p w14:paraId="753E1F37" w14:textId="77777777" w:rsidR="00F927A2" w:rsidRPr="00645A24" w:rsidRDefault="00F927A2" w:rsidP="00F927A2">
            <w:pPr>
              <w:jc w:val="center"/>
              <w:rPr>
                <w:rFonts w:ascii="Calibri" w:hAnsi="Calibri"/>
                <w:sz w:val="20"/>
              </w:rPr>
            </w:pPr>
            <w:r w:rsidRPr="00645A24">
              <w:rPr>
                <w:rFonts w:ascii="Calibri" w:hAnsi="Calibri"/>
                <w:sz w:val="20"/>
              </w:rPr>
              <w:t>Dessalines</w:t>
            </w:r>
          </w:p>
        </w:tc>
        <w:tc>
          <w:tcPr>
            <w:tcW w:w="625" w:type="pct"/>
            <w:tcBorders>
              <w:top w:val="nil"/>
              <w:left w:val="nil"/>
              <w:bottom w:val="single" w:sz="4" w:space="0" w:color="auto"/>
              <w:right w:val="single" w:sz="4" w:space="0" w:color="auto"/>
            </w:tcBorders>
            <w:shd w:val="thinReverseDiagStripe" w:color="000000" w:fill="auto"/>
            <w:vAlign w:val="center"/>
            <w:hideMark/>
          </w:tcPr>
          <w:p w14:paraId="6B407125"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2241958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4911091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2D97B7E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3076603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72B9D244" w14:textId="77777777" w:rsidTr="00F927A2">
        <w:trPr>
          <w:trHeight w:val="900"/>
        </w:trPr>
        <w:tc>
          <w:tcPr>
            <w:tcW w:w="445" w:type="pct"/>
            <w:vMerge/>
            <w:tcBorders>
              <w:top w:val="nil"/>
              <w:left w:val="single" w:sz="8" w:space="0" w:color="auto"/>
              <w:bottom w:val="single" w:sz="4" w:space="0" w:color="auto"/>
              <w:right w:val="single" w:sz="4" w:space="0" w:color="auto"/>
            </w:tcBorders>
            <w:vAlign w:val="center"/>
            <w:hideMark/>
          </w:tcPr>
          <w:p w14:paraId="0B2F4F10"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30F8BCC8"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516EFF53" w14:textId="77777777" w:rsidR="00F927A2" w:rsidRPr="00645A24" w:rsidRDefault="00F927A2" w:rsidP="00F927A2">
            <w:pPr>
              <w:jc w:val="center"/>
              <w:rPr>
                <w:rFonts w:ascii="Calibri" w:hAnsi="Calibri"/>
                <w:sz w:val="20"/>
              </w:rPr>
            </w:pPr>
            <w:r w:rsidRPr="00645A24">
              <w:rPr>
                <w:rFonts w:ascii="Calibri" w:hAnsi="Calibri"/>
                <w:sz w:val="20"/>
              </w:rPr>
              <w:t>Desdunes</w:t>
            </w:r>
          </w:p>
        </w:tc>
        <w:tc>
          <w:tcPr>
            <w:tcW w:w="625" w:type="pct"/>
            <w:tcBorders>
              <w:top w:val="nil"/>
              <w:left w:val="nil"/>
              <w:bottom w:val="single" w:sz="4" w:space="0" w:color="auto"/>
              <w:right w:val="single" w:sz="4" w:space="0" w:color="auto"/>
            </w:tcBorders>
            <w:shd w:val="clear" w:color="auto" w:fill="auto"/>
            <w:vAlign w:val="center"/>
            <w:hideMark/>
          </w:tcPr>
          <w:p w14:paraId="2A45F59C"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58EC2F1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Validation prévue pour janvier 2016</w:t>
            </w:r>
          </w:p>
        </w:tc>
        <w:tc>
          <w:tcPr>
            <w:tcW w:w="625" w:type="pct"/>
            <w:tcBorders>
              <w:top w:val="nil"/>
              <w:left w:val="nil"/>
              <w:bottom w:val="single" w:sz="4" w:space="0" w:color="auto"/>
              <w:right w:val="single" w:sz="4" w:space="0" w:color="auto"/>
            </w:tcBorders>
            <w:shd w:val="clear" w:color="auto" w:fill="auto"/>
            <w:vAlign w:val="center"/>
            <w:hideMark/>
          </w:tcPr>
          <w:p w14:paraId="77D6B7B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2016</w:t>
            </w:r>
          </w:p>
        </w:tc>
        <w:tc>
          <w:tcPr>
            <w:tcW w:w="704" w:type="pct"/>
            <w:tcBorders>
              <w:top w:val="nil"/>
              <w:left w:val="nil"/>
              <w:bottom w:val="single" w:sz="4" w:space="0" w:color="auto"/>
              <w:right w:val="single" w:sz="4" w:space="0" w:color="auto"/>
            </w:tcBorders>
            <w:shd w:val="clear" w:color="auto" w:fill="auto"/>
            <w:vAlign w:val="center"/>
            <w:hideMark/>
          </w:tcPr>
          <w:p w14:paraId="035353E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Groupe d'action francophone pour l'environnement</w:t>
            </w:r>
          </w:p>
        </w:tc>
        <w:tc>
          <w:tcPr>
            <w:tcW w:w="701" w:type="pct"/>
            <w:tcBorders>
              <w:top w:val="nil"/>
              <w:left w:val="nil"/>
              <w:bottom w:val="single" w:sz="4" w:space="0" w:color="auto"/>
              <w:right w:val="single" w:sz="4" w:space="0" w:color="auto"/>
            </w:tcBorders>
            <w:shd w:val="clear" w:color="auto" w:fill="auto"/>
            <w:vAlign w:val="center"/>
            <w:hideMark/>
          </w:tcPr>
          <w:p w14:paraId="2EC5BB9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UE</w:t>
            </w:r>
          </w:p>
        </w:tc>
      </w:tr>
      <w:tr w:rsidR="00F927A2" w:rsidRPr="00645A24" w14:paraId="753DF7B7" w14:textId="77777777" w:rsidTr="00F927A2">
        <w:trPr>
          <w:trHeight w:val="600"/>
        </w:trPr>
        <w:tc>
          <w:tcPr>
            <w:tcW w:w="445" w:type="pct"/>
            <w:vMerge/>
            <w:tcBorders>
              <w:top w:val="nil"/>
              <w:left w:val="single" w:sz="8" w:space="0" w:color="auto"/>
              <w:bottom w:val="single" w:sz="4" w:space="0" w:color="auto"/>
              <w:right w:val="single" w:sz="4" w:space="0" w:color="auto"/>
            </w:tcBorders>
            <w:vAlign w:val="center"/>
            <w:hideMark/>
          </w:tcPr>
          <w:p w14:paraId="5DC45FB4"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519876E6"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61162EB8" w14:textId="77777777" w:rsidR="00F927A2" w:rsidRPr="00645A24" w:rsidRDefault="00F927A2" w:rsidP="00F927A2">
            <w:pPr>
              <w:jc w:val="center"/>
              <w:rPr>
                <w:rFonts w:ascii="Calibri" w:hAnsi="Calibri"/>
                <w:sz w:val="20"/>
              </w:rPr>
            </w:pPr>
            <w:r w:rsidRPr="00645A24">
              <w:rPr>
                <w:rFonts w:ascii="Calibri" w:hAnsi="Calibri"/>
                <w:sz w:val="20"/>
              </w:rPr>
              <w:t>Petite-Rivière-de-l'Artibonite</w:t>
            </w:r>
          </w:p>
        </w:tc>
        <w:tc>
          <w:tcPr>
            <w:tcW w:w="625" w:type="pct"/>
            <w:tcBorders>
              <w:top w:val="nil"/>
              <w:left w:val="nil"/>
              <w:bottom w:val="single" w:sz="4" w:space="0" w:color="auto"/>
              <w:right w:val="single" w:sz="4" w:space="0" w:color="auto"/>
            </w:tcBorders>
            <w:shd w:val="thinReverseDiagStripe" w:color="000000" w:fill="auto"/>
            <w:vAlign w:val="center"/>
            <w:hideMark/>
          </w:tcPr>
          <w:p w14:paraId="2B0B2887"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661E9B2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3F333EC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2BFB10D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59C1A75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68878E37"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65552762"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0ED4B6D7"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11772096" w14:textId="77777777" w:rsidR="00F927A2" w:rsidRPr="00645A24" w:rsidRDefault="00F927A2" w:rsidP="00F927A2">
            <w:pPr>
              <w:jc w:val="center"/>
              <w:rPr>
                <w:rFonts w:ascii="Calibri" w:hAnsi="Calibri"/>
                <w:sz w:val="20"/>
              </w:rPr>
            </w:pPr>
            <w:r w:rsidRPr="00645A24">
              <w:rPr>
                <w:rFonts w:ascii="Calibri" w:hAnsi="Calibri"/>
                <w:sz w:val="20"/>
              </w:rPr>
              <w:t>Grande-Saline</w:t>
            </w:r>
          </w:p>
        </w:tc>
        <w:tc>
          <w:tcPr>
            <w:tcW w:w="625" w:type="pct"/>
            <w:tcBorders>
              <w:top w:val="nil"/>
              <w:left w:val="nil"/>
              <w:bottom w:val="single" w:sz="4" w:space="0" w:color="auto"/>
              <w:right w:val="single" w:sz="4" w:space="0" w:color="auto"/>
            </w:tcBorders>
            <w:shd w:val="thinReverseDiagStripe" w:color="000000" w:fill="auto"/>
            <w:vAlign w:val="center"/>
            <w:hideMark/>
          </w:tcPr>
          <w:p w14:paraId="2229E31A"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3BFA104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035001C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2F605AA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1E817C3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0617B54D" w14:textId="77777777" w:rsidTr="00F927A2">
        <w:trPr>
          <w:trHeight w:val="600"/>
        </w:trPr>
        <w:tc>
          <w:tcPr>
            <w:tcW w:w="445" w:type="pct"/>
            <w:vMerge/>
            <w:tcBorders>
              <w:top w:val="nil"/>
              <w:left w:val="single" w:sz="8" w:space="0" w:color="auto"/>
              <w:bottom w:val="single" w:sz="4" w:space="0" w:color="auto"/>
              <w:right w:val="single" w:sz="4" w:space="0" w:color="auto"/>
            </w:tcBorders>
            <w:vAlign w:val="center"/>
            <w:hideMark/>
          </w:tcPr>
          <w:p w14:paraId="3367C952"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FA31380" w14:textId="77777777" w:rsidR="00F927A2" w:rsidRPr="00645A24" w:rsidRDefault="00F927A2" w:rsidP="00F927A2">
            <w:pPr>
              <w:jc w:val="center"/>
              <w:rPr>
                <w:rFonts w:ascii="Calibri" w:hAnsi="Calibri"/>
                <w:sz w:val="20"/>
              </w:rPr>
            </w:pPr>
            <w:r w:rsidRPr="00645A24">
              <w:rPr>
                <w:rFonts w:ascii="Calibri" w:hAnsi="Calibri"/>
                <w:sz w:val="20"/>
              </w:rPr>
              <w:t>Gonaïves</w:t>
            </w:r>
          </w:p>
        </w:tc>
        <w:tc>
          <w:tcPr>
            <w:tcW w:w="626" w:type="pct"/>
            <w:tcBorders>
              <w:top w:val="nil"/>
              <w:left w:val="nil"/>
              <w:bottom w:val="single" w:sz="4" w:space="0" w:color="auto"/>
              <w:right w:val="single" w:sz="4" w:space="0" w:color="auto"/>
            </w:tcBorders>
            <w:shd w:val="clear" w:color="000000" w:fill="FFFFFF"/>
            <w:vAlign w:val="center"/>
            <w:hideMark/>
          </w:tcPr>
          <w:p w14:paraId="1E2FDEA2" w14:textId="77777777" w:rsidR="00F927A2" w:rsidRPr="00645A24" w:rsidRDefault="00F927A2" w:rsidP="00F927A2">
            <w:pPr>
              <w:jc w:val="center"/>
              <w:rPr>
                <w:rFonts w:ascii="Calibri" w:hAnsi="Calibri"/>
                <w:sz w:val="20"/>
              </w:rPr>
            </w:pPr>
            <w:r w:rsidRPr="00645A24">
              <w:rPr>
                <w:rFonts w:ascii="Calibri" w:hAnsi="Calibri"/>
                <w:sz w:val="20"/>
              </w:rPr>
              <w:t>Les Gonaïves</w:t>
            </w:r>
          </w:p>
        </w:tc>
        <w:tc>
          <w:tcPr>
            <w:tcW w:w="625" w:type="pct"/>
            <w:tcBorders>
              <w:top w:val="nil"/>
              <w:left w:val="nil"/>
              <w:bottom w:val="single" w:sz="4" w:space="0" w:color="auto"/>
              <w:right w:val="single" w:sz="4" w:space="0" w:color="auto"/>
            </w:tcBorders>
            <w:shd w:val="clear" w:color="auto" w:fill="auto"/>
            <w:vAlign w:val="center"/>
            <w:hideMark/>
          </w:tcPr>
          <w:p w14:paraId="2D7CAB1E"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22BD759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En cours de réalisation</w:t>
            </w:r>
          </w:p>
        </w:tc>
        <w:tc>
          <w:tcPr>
            <w:tcW w:w="625" w:type="pct"/>
            <w:tcBorders>
              <w:top w:val="nil"/>
              <w:left w:val="nil"/>
              <w:bottom w:val="single" w:sz="4" w:space="0" w:color="auto"/>
              <w:right w:val="single" w:sz="4" w:space="0" w:color="auto"/>
            </w:tcBorders>
            <w:shd w:val="clear" w:color="auto" w:fill="auto"/>
            <w:vAlign w:val="center"/>
            <w:hideMark/>
          </w:tcPr>
          <w:p w14:paraId="5954031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2016</w:t>
            </w:r>
          </w:p>
        </w:tc>
        <w:tc>
          <w:tcPr>
            <w:tcW w:w="704" w:type="pct"/>
            <w:tcBorders>
              <w:top w:val="nil"/>
              <w:left w:val="nil"/>
              <w:bottom w:val="single" w:sz="4" w:space="0" w:color="auto"/>
              <w:right w:val="single" w:sz="4" w:space="0" w:color="auto"/>
            </w:tcBorders>
            <w:shd w:val="clear" w:color="auto" w:fill="auto"/>
            <w:vAlign w:val="center"/>
            <w:hideMark/>
          </w:tcPr>
          <w:p w14:paraId="07071A7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DEFI</w:t>
            </w:r>
          </w:p>
        </w:tc>
        <w:tc>
          <w:tcPr>
            <w:tcW w:w="701" w:type="pct"/>
            <w:tcBorders>
              <w:top w:val="nil"/>
              <w:left w:val="nil"/>
              <w:bottom w:val="single" w:sz="4" w:space="0" w:color="auto"/>
              <w:right w:val="single" w:sz="4" w:space="0" w:color="auto"/>
            </w:tcBorders>
            <w:shd w:val="clear" w:color="auto" w:fill="auto"/>
            <w:vAlign w:val="center"/>
            <w:hideMark/>
          </w:tcPr>
          <w:p w14:paraId="368E246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FAO</w:t>
            </w:r>
          </w:p>
        </w:tc>
      </w:tr>
      <w:tr w:rsidR="00F927A2" w:rsidRPr="00645A24" w14:paraId="42139083"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569306B1"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61748539"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4E27BC24" w14:textId="77777777" w:rsidR="00F927A2" w:rsidRPr="00645A24" w:rsidRDefault="00F927A2" w:rsidP="00F927A2">
            <w:pPr>
              <w:jc w:val="center"/>
              <w:rPr>
                <w:rFonts w:ascii="Calibri" w:hAnsi="Calibri"/>
                <w:sz w:val="20"/>
              </w:rPr>
            </w:pPr>
            <w:r w:rsidRPr="00645A24">
              <w:rPr>
                <w:rFonts w:ascii="Calibri" w:hAnsi="Calibri"/>
                <w:sz w:val="20"/>
              </w:rPr>
              <w:t>Ennery</w:t>
            </w:r>
          </w:p>
        </w:tc>
        <w:tc>
          <w:tcPr>
            <w:tcW w:w="625" w:type="pct"/>
            <w:tcBorders>
              <w:top w:val="nil"/>
              <w:left w:val="nil"/>
              <w:bottom w:val="single" w:sz="4" w:space="0" w:color="auto"/>
              <w:right w:val="single" w:sz="4" w:space="0" w:color="auto"/>
            </w:tcBorders>
            <w:shd w:val="clear" w:color="auto" w:fill="auto"/>
            <w:vAlign w:val="center"/>
            <w:hideMark/>
          </w:tcPr>
          <w:p w14:paraId="65698226"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1BB2DA2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3768B92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4794E27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DEFI</w:t>
            </w:r>
          </w:p>
        </w:tc>
        <w:tc>
          <w:tcPr>
            <w:tcW w:w="701" w:type="pct"/>
            <w:tcBorders>
              <w:top w:val="nil"/>
              <w:left w:val="nil"/>
              <w:bottom w:val="single" w:sz="4" w:space="0" w:color="auto"/>
              <w:right w:val="single" w:sz="4" w:space="0" w:color="auto"/>
            </w:tcBorders>
            <w:shd w:val="clear" w:color="auto" w:fill="auto"/>
            <w:vAlign w:val="center"/>
            <w:hideMark/>
          </w:tcPr>
          <w:p w14:paraId="35C0D76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FAO</w:t>
            </w:r>
          </w:p>
        </w:tc>
      </w:tr>
      <w:tr w:rsidR="00F927A2" w:rsidRPr="00645A24" w14:paraId="67914164"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039BB721"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07CD0FAF"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60DF63DF" w14:textId="77777777" w:rsidR="00F927A2" w:rsidRPr="00645A24" w:rsidRDefault="00F927A2" w:rsidP="00F927A2">
            <w:pPr>
              <w:jc w:val="center"/>
              <w:rPr>
                <w:rFonts w:ascii="Calibri" w:hAnsi="Calibri"/>
                <w:sz w:val="20"/>
              </w:rPr>
            </w:pPr>
            <w:r w:rsidRPr="00645A24">
              <w:rPr>
                <w:rFonts w:ascii="Calibri" w:hAnsi="Calibri"/>
                <w:sz w:val="20"/>
              </w:rPr>
              <w:t>L'Estère</w:t>
            </w:r>
          </w:p>
        </w:tc>
        <w:tc>
          <w:tcPr>
            <w:tcW w:w="625" w:type="pct"/>
            <w:tcBorders>
              <w:top w:val="nil"/>
              <w:left w:val="nil"/>
              <w:bottom w:val="single" w:sz="4" w:space="0" w:color="auto"/>
              <w:right w:val="single" w:sz="4" w:space="0" w:color="auto"/>
            </w:tcBorders>
            <w:shd w:val="thinReverseDiagStripe" w:color="000000" w:fill="auto"/>
            <w:vAlign w:val="center"/>
            <w:hideMark/>
          </w:tcPr>
          <w:p w14:paraId="75073DCC"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31DAA88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2C7F3E3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2881DC2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18E6C14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10E8BB91"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4A86848D"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597EC4B" w14:textId="77777777" w:rsidR="00F927A2" w:rsidRPr="00645A24" w:rsidRDefault="00F927A2" w:rsidP="00F927A2">
            <w:pPr>
              <w:jc w:val="center"/>
              <w:rPr>
                <w:rFonts w:ascii="Calibri" w:hAnsi="Calibri"/>
                <w:sz w:val="20"/>
              </w:rPr>
            </w:pPr>
            <w:r w:rsidRPr="00645A24">
              <w:rPr>
                <w:rFonts w:ascii="Calibri" w:hAnsi="Calibri"/>
                <w:sz w:val="20"/>
              </w:rPr>
              <w:t>Gros-Morne</w:t>
            </w:r>
          </w:p>
        </w:tc>
        <w:tc>
          <w:tcPr>
            <w:tcW w:w="626" w:type="pct"/>
            <w:tcBorders>
              <w:top w:val="nil"/>
              <w:left w:val="nil"/>
              <w:bottom w:val="single" w:sz="4" w:space="0" w:color="auto"/>
              <w:right w:val="single" w:sz="4" w:space="0" w:color="auto"/>
            </w:tcBorders>
            <w:shd w:val="clear" w:color="000000" w:fill="FFFFFF"/>
            <w:vAlign w:val="center"/>
            <w:hideMark/>
          </w:tcPr>
          <w:p w14:paraId="5050AF45" w14:textId="77777777" w:rsidR="00F927A2" w:rsidRPr="00645A24" w:rsidRDefault="00F927A2" w:rsidP="00F927A2">
            <w:pPr>
              <w:jc w:val="center"/>
              <w:rPr>
                <w:rFonts w:ascii="Calibri" w:hAnsi="Calibri"/>
                <w:sz w:val="20"/>
              </w:rPr>
            </w:pPr>
            <w:r w:rsidRPr="00645A24">
              <w:rPr>
                <w:rFonts w:ascii="Calibri" w:hAnsi="Calibri"/>
                <w:sz w:val="20"/>
              </w:rPr>
              <w:t>Anse-Rouge</w:t>
            </w:r>
          </w:p>
        </w:tc>
        <w:tc>
          <w:tcPr>
            <w:tcW w:w="625" w:type="pct"/>
            <w:tcBorders>
              <w:top w:val="nil"/>
              <w:left w:val="nil"/>
              <w:bottom w:val="single" w:sz="4" w:space="0" w:color="auto"/>
              <w:right w:val="single" w:sz="4" w:space="0" w:color="auto"/>
            </w:tcBorders>
            <w:shd w:val="thinReverseDiagStripe" w:color="000000" w:fill="auto"/>
            <w:vAlign w:val="center"/>
            <w:hideMark/>
          </w:tcPr>
          <w:p w14:paraId="4260C27B"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1511CF6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674ECA1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54AC5B4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73369B1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59C3BF44"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4B70670B"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322DE1C5"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253B1510" w14:textId="77777777" w:rsidR="00F927A2" w:rsidRPr="00645A24" w:rsidRDefault="00F927A2" w:rsidP="00F927A2">
            <w:pPr>
              <w:jc w:val="center"/>
              <w:rPr>
                <w:rFonts w:ascii="Calibri" w:hAnsi="Calibri"/>
                <w:sz w:val="20"/>
              </w:rPr>
            </w:pPr>
            <w:r w:rsidRPr="00645A24">
              <w:rPr>
                <w:rFonts w:ascii="Calibri" w:hAnsi="Calibri"/>
                <w:sz w:val="20"/>
              </w:rPr>
              <w:t>Gros-Morne</w:t>
            </w:r>
          </w:p>
        </w:tc>
        <w:tc>
          <w:tcPr>
            <w:tcW w:w="625" w:type="pct"/>
            <w:tcBorders>
              <w:top w:val="nil"/>
              <w:left w:val="nil"/>
              <w:bottom w:val="single" w:sz="4" w:space="0" w:color="auto"/>
              <w:right w:val="single" w:sz="4" w:space="0" w:color="auto"/>
            </w:tcBorders>
            <w:shd w:val="clear" w:color="auto" w:fill="auto"/>
            <w:vAlign w:val="center"/>
            <w:hideMark/>
          </w:tcPr>
          <w:p w14:paraId="66A3E020"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37DA193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450755C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anté 2012</w:t>
            </w:r>
          </w:p>
        </w:tc>
        <w:tc>
          <w:tcPr>
            <w:tcW w:w="704" w:type="pct"/>
            <w:tcBorders>
              <w:top w:val="nil"/>
              <w:left w:val="nil"/>
              <w:bottom w:val="single" w:sz="4" w:space="0" w:color="auto"/>
              <w:right w:val="single" w:sz="4" w:space="0" w:color="auto"/>
            </w:tcBorders>
            <w:shd w:val="clear" w:color="auto" w:fill="auto"/>
            <w:vAlign w:val="center"/>
            <w:hideMark/>
          </w:tcPr>
          <w:p w14:paraId="4571E57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CARE/CONS. IND</w:t>
            </w:r>
          </w:p>
        </w:tc>
        <w:tc>
          <w:tcPr>
            <w:tcW w:w="701" w:type="pct"/>
            <w:tcBorders>
              <w:top w:val="nil"/>
              <w:left w:val="nil"/>
              <w:bottom w:val="single" w:sz="4" w:space="0" w:color="auto"/>
              <w:right w:val="single" w:sz="4" w:space="0" w:color="auto"/>
            </w:tcBorders>
            <w:shd w:val="clear" w:color="auto" w:fill="auto"/>
            <w:vAlign w:val="center"/>
            <w:hideMark/>
          </w:tcPr>
          <w:p w14:paraId="3D7C047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ACDI</w:t>
            </w:r>
          </w:p>
        </w:tc>
      </w:tr>
      <w:tr w:rsidR="00F927A2" w:rsidRPr="00645A24" w14:paraId="3BF69B5E"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458D6779"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5CC769A4"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692CACDD" w14:textId="77777777" w:rsidR="00F927A2" w:rsidRPr="00645A24" w:rsidRDefault="00F927A2" w:rsidP="00F927A2">
            <w:pPr>
              <w:jc w:val="center"/>
              <w:rPr>
                <w:rFonts w:ascii="Calibri" w:hAnsi="Calibri"/>
                <w:sz w:val="20"/>
              </w:rPr>
            </w:pPr>
            <w:r w:rsidRPr="00645A24">
              <w:rPr>
                <w:rFonts w:ascii="Calibri" w:hAnsi="Calibri"/>
                <w:sz w:val="20"/>
              </w:rPr>
              <w:t>Terre-Neuve</w:t>
            </w:r>
          </w:p>
        </w:tc>
        <w:tc>
          <w:tcPr>
            <w:tcW w:w="625" w:type="pct"/>
            <w:tcBorders>
              <w:top w:val="nil"/>
              <w:left w:val="nil"/>
              <w:bottom w:val="single" w:sz="4" w:space="0" w:color="auto"/>
              <w:right w:val="single" w:sz="4" w:space="0" w:color="auto"/>
            </w:tcBorders>
            <w:shd w:val="thinReverseDiagStripe" w:color="000000" w:fill="auto"/>
            <w:vAlign w:val="center"/>
            <w:hideMark/>
          </w:tcPr>
          <w:p w14:paraId="71F096E3"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35D9854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74DB476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1B4F9E0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586F2BF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2E636F91"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7EB3298E"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A4E2692" w14:textId="77777777" w:rsidR="00F927A2" w:rsidRPr="00645A24" w:rsidRDefault="00F927A2" w:rsidP="00F927A2">
            <w:pPr>
              <w:jc w:val="center"/>
              <w:rPr>
                <w:rFonts w:ascii="Calibri" w:hAnsi="Calibri"/>
                <w:sz w:val="20"/>
              </w:rPr>
            </w:pPr>
            <w:r w:rsidRPr="00645A24">
              <w:rPr>
                <w:rFonts w:ascii="Calibri" w:hAnsi="Calibri"/>
                <w:sz w:val="20"/>
              </w:rPr>
              <w:t>Marmelade</w:t>
            </w:r>
          </w:p>
        </w:tc>
        <w:tc>
          <w:tcPr>
            <w:tcW w:w="626" w:type="pct"/>
            <w:tcBorders>
              <w:top w:val="nil"/>
              <w:left w:val="nil"/>
              <w:bottom w:val="single" w:sz="4" w:space="0" w:color="auto"/>
              <w:right w:val="single" w:sz="4" w:space="0" w:color="auto"/>
            </w:tcBorders>
            <w:shd w:val="clear" w:color="000000" w:fill="FFFFFF"/>
            <w:vAlign w:val="center"/>
            <w:hideMark/>
          </w:tcPr>
          <w:p w14:paraId="632A7DC9" w14:textId="77777777" w:rsidR="00F927A2" w:rsidRPr="00645A24" w:rsidRDefault="00F927A2" w:rsidP="00F927A2">
            <w:pPr>
              <w:jc w:val="center"/>
              <w:rPr>
                <w:rFonts w:ascii="Calibri" w:hAnsi="Calibri"/>
                <w:sz w:val="20"/>
              </w:rPr>
            </w:pPr>
            <w:r w:rsidRPr="00645A24">
              <w:rPr>
                <w:rFonts w:ascii="Calibri" w:hAnsi="Calibri"/>
                <w:sz w:val="20"/>
              </w:rPr>
              <w:t>Marmelade</w:t>
            </w:r>
          </w:p>
        </w:tc>
        <w:tc>
          <w:tcPr>
            <w:tcW w:w="625" w:type="pct"/>
            <w:tcBorders>
              <w:top w:val="nil"/>
              <w:left w:val="nil"/>
              <w:bottom w:val="single" w:sz="4" w:space="0" w:color="auto"/>
              <w:right w:val="single" w:sz="4" w:space="0" w:color="auto"/>
            </w:tcBorders>
            <w:shd w:val="clear" w:color="auto" w:fill="auto"/>
            <w:vAlign w:val="center"/>
            <w:hideMark/>
          </w:tcPr>
          <w:p w14:paraId="7028848C"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5D71EAB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7646520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02C6F2A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IFOS/FAO</w:t>
            </w:r>
          </w:p>
        </w:tc>
        <w:tc>
          <w:tcPr>
            <w:tcW w:w="701" w:type="pct"/>
            <w:tcBorders>
              <w:top w:val="nil"/>
              <w:left w:val="nil"/>
              <w:bottom w:val="single" w:sz="4" w:space="0" w:color="auto"/>
              <w:right w:val="single" w:sz="4" w:space="0" w:color="auto"/>
            </w:tcBorders>
            <w:shd w:val="clear" w:color="auto" w:fill="auto"/>
            <w:vAlign w:val="center"/>
            <w:hideMark/>
          </w:tcPr>
          <w:p w14:paraId="2557A50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FAO</w:t>
            </w:r>
          </w:p>
        </w:tc>
      </w:tr>
      <w:tr w:rsidR="00F927A2" w:rsidRPr="00645A24" w14:paraId="5F3FCCAF" w14:textId="77777777" w:rsidTr="00F927A2">
        <w:trPr>
          <w:trHeight w:val="600"/>
        </w:trPr>
        <w:tc>
          <w:tcPr>
            <w:tcW w:w="445" w:type="pct"/>
            <w:vMerge/>
            <w:tcBorders>
              <w:top w:val="nil"/>
              <w:left w:val="single" w:sz="8" w:space="0" w:color="auto"/>
              <w:bottom w:val="single" w:sz="4" w:space="0" w:color="auto"/>
              <w:right w:val="single" w:sz="4" w:space="0" w:color="auto"/>
            </w:tcBorders>
            <w:vAlign w:val="center"/>
            <w:hideMark/>
          </w:tcPr>
          <w:p w14:paraId="37BBCC9E"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3AA5930E" w14:textId="77777777" w:rsidR="00F927A2" w:rsidRPr="00645A24" w:rsidRDefault="00F927A2" w:rsidP="00F927A2">
            <w:pPr>
              <w:jc w:val="left"/>
              <w:rPr>
                <w:rFonts w:ascii="Calibri" w:hAnsi="Calibri"/>
                <w:sz w:val="20"/>
              </w:rPr>
            </w:pPr>
          </w:p>
        </w:tc>
        <w:tc>
          <w:tcPr>
            <w:tcW w:w="626" w:type="pct"/>
            <w:vMerge w:val="restart"/>
            <w:tcBorders>
              <w:top w:val="nil"/>
              <w:left w:val="single" w:sz="4" w:space="0" w:color="auto"/>
              <w:bottom w:val="single" w:sz="4" w:space="0" w:color="000000"/>
              <w:right w:val="single" w:sz="4" w:space="0" w:color="auto"/>
            </w:tcBorders>
            <w:shd w:val="clear" w:color="auto" w:fill="auto"/>
            <w:vAlign w:val="center"/>
            <w:hideMark/>
          </w:tcPr>
          <w:p w14:paraId="7D0748C3" w14:textId="77777777" w:rsidR="00F927A2" w:rsidRPr="00645A24" w:rsidRDefault="00F927A2" w:rsidP="00F927A2">
            <w:pPr>
              <w:jc w:val="center"/>
              <w:rPr>
                <w:rFonts w:ascii="Calibri" w:hAnsi="Calibri"/>
                <w:sz w:val="20"/>
              </w:rPr>
            </w:pPr>
            <w:r w:rsidRPr="00645A24">
              <w:rPr>
                <w:rFonts w:ascii="Calibri" w:hAnsi="Calibri"/>
                <w:sz w:val="20"/>
              </w:rPr>
              <w:t>Saint-Michel-de-l'Attalaye</w:t>
            </w:r>
          </w:p>
        </w:tc>
        <w:tc>
          <w:tcPr>
            <w:tcW w:w="625" w:type="pct"/>
            <w:tcBorders>
              <w:top w:val="nil"/>
              <w:left w:val="nil"/>
              <w:bottom w:val="single" w:sz="4" w:space="0" w:color="auto"/>
              <w:right w:val="single" w:sz="4" w:space="0" w:color="auto"/>
            </w:tcBorders>
            <w:shd w:val="clear" w:color="auto" w:fill="auto"/>
            <w:vAlign w:val="center"/>
            <w:hideMark/>
          </w:tcPr>
          <w:p w14:paraId="1B7F6863"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01D4681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4CA946A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2012</w:t>
            </w:r>
          </w:p>
        </w:tc>
        <w:tc>
          <w:tcPr>
            <w:tcW w:w="704" w:type="pct"/>
            <w:tcBorders>
              <w:top w:val="nil"/>
              <w:left w:val="nil"/>
              <w:bottom w:val="single" w:sz="4" w:space="0" w:color="auto"/>
              <w:right w:val="single" w:sz="4" w:space="0" w:color="auto"/>
            </w:tcBorders>
            <w:shd w:val="clear" w:color="auto" w:fill="auto"/>
            <w:vAlign w:val="center"/>
            <w:hideMark/>
          </w:tcPr>
          <w:p w14:paraId="1508D69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Consultant ind./oxfam Q</w:t>
            </w:r>
          </w:p>
        </w:tc>
        <w:tc>
          <w:tcPr>
            <w:tcW w:w="701" w:type="pct"/>
            <w:tcBorders>
              <w:top w:val="nil"/>
              <w:left w:val="nil"/>
              <w:bottom w:val="single" w:sz="4" w:space="0" w:color="auto"/>
              <w:right w:val="single" w:sz="4" w:space="0" w:color="auto"/>
            </w:tcBorders>
            <w:shd w:val="clear" w:color="auto" w:fill="auto"/>
            <w:vAlign w:val="center"/>
            <w:hideMark/>
          </w:tcPr>
          <w:p w14:paraId="0F1CCF0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ACDI</w:t>
            </w:r>
          </w:p>
        </w:tc>
      </w:tr>
      <w:tr w:rsidR="00F927A2" w:rsidRPr="00645A24" w14:paraId="4B50472F" w14:textId="77777777" w:rsidTr="00F927A2">
        <w:trPr>
          <w:trHeight w:val="1500"/>
        </w:trPr>
        <w:tc>
          <w:tcPr>
            <w:tcW w:w="445" w:type="pct"/>
            <w:vMerge/>
            <w:tcBorders>
              <w:top w:val="nil"/>
              <w:left w:val="single" w:sz="8" w:space="0" w:color="auto"/>
              <w:bottom w:val="single" w:sz="4" w:space="0" w:color="auto"/>
              <w:right w:val="single" w:sz="4" w:space="0" w:color="auto"/>
            </w:tcBorders>
            <w:vAlign w:val="center"/>
            <w:hideMark/>
          </w:tcPr>
          <w:p w14:paraId="2D9C40CC"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000000"/>
              <w:right w:val="single" w:sz="4" w:space="0" w:color="auto"/>
            </w:tcBorders>
            <w:vAlign w:val="center"/>
            <w:hideMark/>
          </w:tcPr>
          <w:p w14:paraId="5E6EA92D"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565CFFBC"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48CBA7B6" w14:textId="77777777" w:rsidR="00F927A2" w:rsidRPr="00645A24" w:rsidRDefault="00F927A2" w:rsidP="00F927A2">
            <w:pPr>
              <w:rPr>
                <w:rFonts w:ascii="Calibri" w:hAnsi="Calibri"/>
                <w:color w:val="000000"/>
                <w:sz w:val="20"/>
              </w:rPr>
            </w:pPr>
            <w:r w:rsidRPr="00645A24">
              <w:rPr>
                <w:rFonts w:ascii="Calibri" w:hAnsi="Calibri"/>
                <w:color w:val="000000"/>
                <w:sz w:val="20"/>
              </w:rPr>
              <w:t>Plan d’Aménagement,</w:t>
            </w:r>
            <w:r w:rsidRPr="00645A24">
              <w:rPr>
                <w:rFonts w:ascii="Calibri" w:hAnsi="Calibri"/>
                <w:color w:val="000000"/>
                <w:sz w:val="20"/>
              </w:rPr>
              <w:br/>
              <w:t xml:space="preserve">d’Embellissement et d’Extension de la Ville (PAEEV) </w:t>
            </w:r>
            <w:r w:rsidRPr="00645A24">
              <w:rPr>
                <w:rFonts w:ascii="Calibri" w:hAnsi="Calibri"/>
                <w:color w:val="000000"/>
                <w:sz w:val="20"/>
              </w:rPr>
              <w:br/>
              <w:t>+ Plan programme pluriannuel d’investissement</w:t>
            </w:r>
          </w:p>
        </w:tc>
        <w:tc>
          <w:tcPr>
            <w:tcW w:w="626" w:type="pct"/>
            <w:tcBorders>
              <w:top w:val="nil"/>
              <w:left w:val="nil"/>
              <w:bottom w:val="single" w:sz="4" w:space="0" w:color="auto"/>
              <w:right w:val="single" w:sz="4" w:space="0" w:color="auto"/>
            </w:tcBorders>
            <w:shd w:val="clear" w:color="auto" w:fill="auto"/>
            <w:vAlign w:val="center"/>
            <w:hideMark/>
          </w:tcPr>
          <w:p w14:paraId="47EDD7D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Marché en cours d'attribution</w:t>
            </w:r>
          </w:p>
        </w:tc>
        <w:tc>
          <w:tcPr>
            <w:tcW w:w="625" w:type="pct"/>
            <w:tcBorders>
              <w:top w:val="nil"/>
              <w:left w:val="nil"/>
              <w:bottom w:val="single" w:sz="4" w:space="0" w:color="auto"/>
              <w:right w:val="single" w:sz="4" w:space="0" w:color="auto"/>
            </w:tcBorders>
            <w:shd w:val="clear" w:color="auto" w:fill="auto"/>
            <w:vAlign w:val="center"/>
            <w:hideMark/>
          </w:tcPr>
          <w:p w14:paraId="0A7E546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2016</w:t>
            </w:r>
          </w:p>
        </w:tc>
        <w:tc>
          <w:tcPr>
            <w:tcW w:w="704" w:type="pct"/>
            <w:tcBorders>
              <w:top w:val="nil"/>
              <w:left w:val="nil"/>
              <w:bottom w:val="single" w:sz="4" w:space="0" w:color="auto"/>
              <w:right w:val="single" w:sz="4" w:space="0" w:color="auto"/>
            </w:tcBorders>
            <w:shd w:val="clear" w:color="auto" w:fill="auto"/>
            <w:vAlign w:val="center"/>
            <w:hideMark/>
          </w:tcPr>
          <w:p w14:paraId="2B79ED6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7F967D4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Banque Mondiale</w:t>
            </w:r>
          </w:p>
        </w:tc>
      </w:tr>
      <w:tr w:rsidR="00F927A2" w:rsidRPr="00645A24" w14:paraId="774E53E6"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61C7B9CD"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62FE49C" w14:textId="77777777" w:rsidR="00F927A2" w:rsidRPr="00645A24" w:rsidRDefault="00F927A2" w:rsidP="00F927A2">
            <w:pPr>
              <w:jc w:val="center"/>
              <w:rPr>
                <w:rFonts w:ascii="Calibri" w:hAnsi="Calibri"/>
                <w:sz w:val="20"/>
              </w:rPr>
            </w:pPr>
            <w:r w:rsidRPr="00645A24">
              <w:rPr>
                <w:rFonts w:ascii="Calibri" w:hAnsi="Calibri"/>
                <w:sz w:val="20"/>
              </w:rPr>
              <w:t>Saint-Marc</w:t>
            </w:r>
          </w:p>
        </w:tc>
        <w:tc>
          <w:tcPr>
            <w:tcW w:w="626" w:type="pct"/>
            <w:tcBorders>
              <w:top w:val="nil"/>
              <w:left w:val="nil"/>
              <w:bottom w:val="single" w:sz="4" w:space="0" w:color="auto"/>
              <w:right w:val="single" w:sz="4" w:space="0" w:color="auto"/>
            </w:tcBorders>
            <w:shd w:val="clear" w:color="000000" w:fill="FFFFFF"/>
            <w:vAlign w:val="center"/>
            <w:hideMark/>
          </w:tcPr>
          <w:p w14:paraId="3662072B" w14:textId="77777777" w:rsidR="00F927A2" w:rsidRPr="00645A24" w:rsidRDefault="00F927A2" w:rsidP="00F927A2">
            <w:pPr>
              <w:jc w:val="center"/>
              <w:rPr>
                <w:rFonts w:ascii="Calibri" w:hAnsi="Calibri"/>
                <w:sz w:val="20"/>
              </w:rPr>
            </w:pPr>
            <w:r w:rsidRPr="00645A24">
              <w:rPr>
                <w:rFonts w:ascii="Calibri" w:hAnsi="Calibri"/>
                <w:sz w:val="20"/>
              </w:rPr>
              <w:t>La Chapelle</w:t>
            </w:r>
          </w:p>
        </w:tc>
        <w:tc>
          <w:tcPr>
            <w:tcW w:w="625" w:type="pct"/>
            <w:tcBorders>
              <w:top w:val="nil"/>
              <w:left w:val="nil"/>
              <w:bottom w:val="single" w:sz="4" w:space="0" w:color="auto"/>
              <w:right w:val="single" w:sz="4" w:space="0" w:color="auto"/>
            </w:tcBorders>
            <w:shd w:val="thinReverseDiagStripe" w:color="000000" w:fill="auto"/>
            <w:vAlign w:val="center"/>
            <w:hideMark/>
          </w:tcPr>
          <w:p w14:paraId="69B9D5EF"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19511F7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5830284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4A866A7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21AFFB7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39707678" w14:textId="77777777" w:rsidTr="00F927A2">
        <w:trPr>
          <w:trHeight w:val="600"/>
        </w:trPr>
        <w:tc>
          <w:tcPr>
            <w:tcW w:w="445" w:type="pct"/>
            <w:vMerge/>
            <w:tcBorders>
              <w:top w:val="nil"/>
              <w:left w:val="single" w:sz="8" w:space="0" w:color="auto"/>
              <w:bottom w:val="single" w:sz="4" w:space="0" w:color="auto"/>
              <w:right w:val="single" w:sz="4" w:space="0" w:color="auto"/>
            </w:tcBorders>
            <w:vAlign w:val="center"/>
            <w:hideMark/>
          </w:tcPr>
          <w:p w14:paraId="12F598B1"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72EF74C5" w14:textId="77777777" w:rsidR="00F927A2" w:rsidRPr="00645A24" w:rsidRDefault="00F927A2" w:rsidP="00F927A2">
            <w:pPr>
              <w:jc w:val="left"/>
              <w:rPr>
                <w:rFonts w:ascii="Calibri" w:hAnsi="Calibri"/>
                <w:sz w:val="20"/>
              </w:rPr>
            </w:pPr>
          </w:p>
        </w:tc>
        <w:tc>
          <w:tcPr>
            <w:tcW w:w="62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75FABCA" w14:textId="77777777" w:rsidR="00F927A2" w:rsidRPr="00645A24" w:rsidRDefault="00F927A2" w:rsidP="00F927A2">
            <w:pPr>
              <w:jc w:val="center"/>
              <w:rPr>
                <w:rFonts w:ascii="Calibri" w:hAnsi="Calibri"/>
                <w:sz w:val="20"/>
              </w:rPr>
            </w:pPr>
            <w:r w:rsidRPr="00645A24">
              <w:rPr>
                <w:rFonts w:ascii="Calibri" w:hAnsi="Calibri"/>
                <w:sz w:val="20"/>
              </w:rPr>
              <w:t>Saint-Marc</w:t>
            </w:r>
          </w:p>
        </w:tc>
        <w:tc>
          <w:tcPr>
            <w:tcW w:w="625" w:type="pct"/>
            <w:tcBorders>
              <w:top w:val="nil"/>
              <w:left w:val="nil"/>
              <w:bottom w:val="single" w:sz="4" w:space="0" w:color="auto"/>
              <w:right w:val="single" w:sz="4" w:space="0" w:color="auto"/>
            </w:tcBorders>
            <w:shd w:val="clear" w:color="auto" w:fill="auto"/>
            <w:vAlign w:val="center"/>
            <w:hideMark/>
          </w:tcPr>
          <w:p w14:paraId="5C4E58E5"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 + Plan d'Investissement Municipal</w:t>
            </w:r>
          </w:p>
        </w:tc>
        <w:tc>
          <w:tcPr>
            <w:tcW w:w="626" w:type="pct"/>
            <w:tcBorders>
              <w:top w:val="nil"/>
              <w:left w:val="nil"/>
              <w:bottom w:val="single" w:sz="4" w:space="0" w:color="auto"/>
              <w:right w:val="single" w:sz="4" w:space="0" w:color="auto"/>
            </w:tcBorders>
            <w:shd w:val="clear" w:color="auto" w:fill="auto"/>
            <w:vAlign w:val="center"/>
            <w:hideMark/>
          </w:tcPr>
          <w:p w14:paraId="44B5345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76A5BDB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2011</w:t>
            </w:r>
          </w:p>
        </w:tc>
        <w:tc>
          <w:tcPr>
            <w:tcW w:w="704" w:type="pct"/>
            <w:tcBorders>
              <w:top w:val="nil"/>
              <w:left w:val="nil"/>
              <w:bottom w:val="single" w:sz="4" w:space="0" w:color="auto"/>
              <w:right w:val="single" w:sz="4" w:space="0" w:color="auto"/>
            </w:tcBorders>
            <w:shd w:val="clear" w:color="auto" w:fill="auto"/>
            <w:vAlign w:val="center"/>
            <w:hideMark/>
          </w:tcPr>
          <w:p w14:paraId="4F6B82E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LOKAL (TetraTech)</w:t>
            </w:r>
          </w:p>
        </w:tc>
        <w:tc>
          <w:tcPr>
            <w:tcW w:w="701" w:type="pct"/>
            <w:tcBorders>
              <w:top w:val="nil"/>
              <w:left w:val="nil"/>
              <w:bottom w:val="single" w:sz="4" w:space="0" w:color="auto"/>
              <w:right w:val="single" w:sz="4" w:space="0" w:color="auto"/>
            </w:tcBorders>
            <w:shd w:val="clear" w:color="auto" w:fill="auto"/>
            <w:vAlign w:val="center"/>
            <w:hideMark/>
          </w:tcPr>
          <w:p w14:paraId="6A89899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6885FE1D" w14:textId="77777777" w:rsidTr="00F927A2">
        <w:trPr>
          <w:trHeight w:val="1200"/>
        </w:trPr>
        <w:tc>
          <w:tcPr>
            <w:tcW w:w="445" w:type="pct"/>
            <w:vMerge/>
            <w:tcBorders>
              <w:top w:val="nil"/>
              <w:left w:val="single" w:sz="8" w:space="0" w:color="auto"/>
              <w:bottom w:val="single" w:sz="4" w:space="0" w:color="auto"/>
              <w:right w:val="single" w:sz="4" w:space="0" w:color="auto"/>
            </w:tcBorders>
            <w:vAlign w:val="center"/>
            <w:hideMark/>
          </w:tcPr>
          <w:p w14:paraId="2A7DA2CD"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30DB57B5"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69C08E4C"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1B1FE7C2" w14:textId="77777777" w:rsidR="00F927A2" w:rsidRPr="00645A24" w:rsidRDefault="00F927A2" w:rsidP="00F927A2">
            <w:pPr>
              <w:rPr>
                <w:rFonts w:ascii="Calibri" w:hAnsi="Calibri"/>
                <w:color w:val="000000"/>
                <w:sz w:val="20"/>
              </w:rPr>
            </w:pPr>
            <w:r w:rsidRPr="00645A24">
              <w:rPr>
                <w:rFonts w:ascii="Calibri" w:hAnsi="Calibri"/>
                <w:color w:val="000000"/>
                <w:sz w:val="20"/>
              </w:rPr>
              <w:t>Plan de Financement des Services Publics Communaux (PFC)</w:t>
            </w:r>
          </w:p>
        </w:tc>
        <w:tc>
          <w:tcPr>
            <w:tcW w:w="626" w:type="pct"/>
            <w:tcBorders>
              <w:top w:val="nil"/>
              <w:left w:val="nil"/>
              <w:bottom w:val="single" w:sz="4" w:space="0" w:color="auto"/>
              <w:right w:val="single" w:sz="4" w:space="0" w:color="auto"/>
            </w:tcBorders>
            <w:shd w:val="clear" w:color="auto" w:fill="auto"/>
            <w:vAlign w:val="center"/>
            <w:hideMark/>
          </w:tcPr>
          <w:p w14:paraId="320AB16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5F44918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2015</w:t>
            </w:r>
          </w:p>
        </w:tc>
        <w:tc>
          <w:tcPr>
            <w:tcW w:w="704" w:type="pct"/>
            <w:tcBorders>
              <w:top w:val="nil"/>
              <w:left w:val="nil"/>
              <w:bottom w:val="single" w:sz="4" w:space="0" w:color="auto"/>
              <w:right w:val="single" w:sz="4" w:space="0" w:color="auto"/>
            </w:tcBorders>
            <w:shd w:val="clear" w:color="auto" w:fill="auto"/>
            <w:vAlign w:val="center"/>
            <w:hideMark/>
          </w:tcPr>
          <w:p w14:paraId="64901BC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LOKAL+ (TetraTech) + Group InterConsult</w:t>
            </w:r>
          </w:p>
        </w:tc>
        <w:tc>
          <w:tcPr>
            <w:tcW w:w="701" w:type="pct"/>
            <w:tcBorders>
              <w:top w:val="nil"/>
              <w:left w:val="nil"/>
              <w:bottom w:val="single" w:sz="4" w:space="0" w:color="auto"/>
              <w:right w:val="single" w:sz="4" w:space="0" w:color="auto"/>
            </w:tcBorders>
            <w:shd w:val="clear" w:color="auto" w:fill="auto"/>
            <w:vAlign w:val="center"/>
            <w:hideMark/>
          </w:tcPr>
          <w:p w14:paraId="0787319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24BFAECD" w14:textId="77777777" w:rsidTr="00F927A2">
        <w:trPr>
          <w:trHeight w:val="900"/>
        </w:trPr>
        <w:tc>
          <w:tcPr>
            <w:tcW w:w="445" w:type="pct"/>
            <w:vMerge/>
            <w:tcBorders>
              <w:top w:val="nil"/>
              <w:left w:val="single" w:sz="8" w:space="0" w:color="auto"/>
              <w:bottom w:val="single" w:sz="4" w:space="0" w:color="auto"/>
              <w:right w:val="single" w:sz="4" w:space="0" w:color="auto"/>
            </w:tcBorders>
            <w:vAlign w:val="center"/>
            <w:hideMark/>
          </w:tcPr>
          <w:p w14:paraId="77728855"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7FE510FF"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11CA0B0A"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0F16309D"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6153B06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Pas encore de validation municipale</w:t>
            </w:r>
          </w:p>
        </w:tc>
        <w:tc>
          <w:tcPr>
            <w:tcW w:w="625" w:type="pct"/>
            <w:tcBorders>
              <w:top w:val="nil"/>
              <w:left w:val="nil"/>
              <w:bottom w:val="single" w:sz="4" w:space="0" w:color="auto"/>
              <w:right w:val="single" w:sz="4" w:space="0" w:color="auto"/>
            </w:tcBorders>
            <w:shd w:val="clear" w:color="auto" w:fill="auto"/>
            <w:vAlign w:val="center"/>
            <w:hideMark/>
          </w:tcPr>
          <w:p w14:paraId="62A44B0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2015</w:t>
            </w:r>
          </w:p>
        </w:tc>
        <w:tc>
          <w:tcPr>
            <w:tcW w:w="704" w:type="pct"/>
            <w:tcBorders>
              <w:top w:val="nil"/>
              <w:left w:val="nil"/>
              <w:bottom w:val="single" w:sz="4" w:space="0" w:color="auto"/>
              <w:right w:val="single" w:sz="4" w:space="0" w:color="auto"/>
            </w:tcBorders>
            <w:shd w:val="clear" w:color="auto" w:fill="auto"/>
            <w:vAlign w:val="center"/>
            <w:hideMark/>
          </w:tcPr>
          <w:p w14:paraId="53DFD21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ATL/CHERGODD</w:t>
            </w:r>
          </w:p>
        </w:tc>
        <w:tc>
          <w:tcPr>
            <w:tcW w:w="701" w:type="pct"/>
            <w:tcBorders>
              <w:top w:val="nil"/>
              <w:left w:val="nil"/>
              <w:bottom w:val="single" w:sz="4" w:space="0" w:color="auto"/>
              <w:right w:val="single" w:sz="4" w:space="0" w:color="auto"/>
            </w:tcBorders>
            <w:shd w:val="clear" w:color="auto" w:fill="auto"/>
            <w:vAlign w:val="center"/>
            <w:hideMark/>
          </w:tcPr>
          <w:p w14:paraId="4C8BA82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PARLOQ</w:t>
            </w:r>
          </w:p>
        </w:tc>
      </w:tr>
      <w:tr w:rsidR="00F927A2" w:rsidRPr="00645A24" w14:paraId="6D48CCF7" w14:textId="77777777" w:rsidTr="00F927A2">
        <w:trPr>
          <w:trHeight w:val="600"/>
        </w:trPr>
        <w:tc>
          <w:tcPr>
            <w:tcW w:w="445" w:type="pct"/>
            <w:vMerge/>
            <w:tcBorders>
              <w:top w:val="nil"/>
              <w:left w:val="single" w:sz="8" w:space="0" w:color="auto"/>
              <w:bottom w:val="single" w:sz="4" w:space="0" w:color="auto"/>
              <w:right w:val="single" w:sz="4" w:space="0" w:color="auto"/>
            </w:tcBorders>
            <w:vAlign w:val="center"/>
            <w:hideMark/>
          </w:tcPr>
          <w:p w14:paraId="68A1A9E3"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1CFF6B3E"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0DC1F415"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64BD72D6" w14:textId="77777777" w:rsidR="00F927A2" w:rsidRPr="00645A24" w:rsidRDefault="00F927A2" w:rsidP="00F927A2">
            <w:pPr>
              <w:rPr>
                <w:rFonts w:ascii="Calibri" w:hAnsi="Calibri"/>
                <w:color w:val="000000"/>
                <w:sz w:val="20"/>
              </w:rPr>
            </w:pPr>
            <w:r w:rsidRPr="00645A24">
              <w:rPr>
                <w:rFonts w:ascii="Calibri" w:hAnsi="Calibri"/>
                <w:color w:val="000000"/>
                <w:sz w:val="20"/>
              </w:rPr>
              <w:t>Esquisse de plan d'urbanisme pour la ville</w:t>
            </w:r>
          </w:p>
        </w:tc>
        <w:tc>
          <w:tcPr>
            <w:tcW w:w="626" w:type="pct"/>
            <w:tcBorders>
              <w:top w:val="nil"/>
              <w:left w:val="nil"/>
              <w:bottom w:val="single" w:sz="4" w:space="0" w:color="auto"/>
              <w:right w:val="single" w:sz="4" w:space="0" w:color="auto"/>
            </w:tcBorders>
            <w:shd w:val="clear" w:color="auto" w:fill="auto"/>
            <w:vAlign w:val="center"/>
            <w:hideMark/>
          </w:tcPr>
          <w:p w14:paraId="52EB783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2E6F0B0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7507D95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492A0D30" w14:textId="77777777" w:rsidR="00F927A2" w:rsidRPr="00645A24" w:rsidRDefault="00F927A2" w:rsidP="00F927A2">
            <w:pPr>
              <w:jc w:val="center"/>
              <w:rPr>
                <w:rFonts w:ascii="Calibri" w:hAnsi="Calibri"/>
                <w:sz w:val="20"/>
              </w:rPr>
            </w:pPr>
            <w:r w:rsidRPr="00645A24">
              <w:rPr>
                <w:rFonts w:ascii="Calibri" w:hAnsi="Calibri"/>
                <w:sz w:val="20"/>
              </w:rPr>
              <w:t>FRH (PARLOQ)</w:t>
            </w:r>
          </w:p>
        </w:tc>
      </w:tr>
      <w:tr w:rsidR="00F927A2" w:rsidRPr="00645A24" w14:paraId="0ED62BB6" w14:textId="77777777" w:rsidTr="00F927A2">
        <w:trPr>
          <w:trHeight w:val="600"/>
        </w:trPr>
        <w:tc>
          <w:tcPr>
            <w:tcW w:w="445" w:type="pct"/>
            <w:vMerge/>
            <w:tcBorders>
              <w:top w:val="nil"/>
              <w:left w:val="single" w:sz="8" w:space="0" w:color="auto"/>
              <w:bottom w:val="single" w:sz="4" w:space="0" w:color="auto"/>
              <w:right w:val="single" w:sz="4" w:space="0" w:color="auto"/>
            </w:tcBorders>
            <w:vAlign w:val="center"/>
            <w:hideMark/>
          </w:tcPr>
          <w:p w14:paraId="1CEC1A77"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28C00F17"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6B0FA03F"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5183883F" w14:textId="77777777" w:rsidR="00F927A2" w:rsidRPr="00645A24" w:rsidRDefault="00F927A2" w:rsidP="00F927A2">
            <w:pPr>
              <w:rPr>
                <w:rFonts w:ascii="Calibri" w:hAnsi="Calibri"/>
                <w:color w:val="000000"/>
                <w:sz w:val="20"/>
              </w:rPr>
            </w:pPr>
            <w:r w:rsidRPr="00645A24">
              <w:rPr>
                <w:rFonts w:ascii="Calibri" w:hAnsi="Calibri"/>
                <w:color w:val="000000"/>
                <w:sz w:val="20"/>
              </w:rPr>
              <w:t>Esquisse de schéma d'aménagement de la commune</w:t>
            </w:r>
          </w:p>
        </w:tc>
        <w:tc>
          <w:tcPr>
            <w:tcW w:w="626" w:type="pct"/>
            <w:tcBorders>
              <w:top w:val="nil"/>
              <w:left w:val="nil"/>
              <w:bottom w:val="single" w:sz="4" w:space="0" w:color="auto"/>
              <w:right w:val="single" w:sz="4" w:space="0" w:color="auto"/>
            </w:tcBorders>
            <w:shd w:val="clear" w:color="auto" w:fill="auto"/>
            <w:vAlign w:val="center"/>
            <w:hideMark/>
          </w:tcPr>
          <w:p w14:paraId="3E0EC05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En attente de validation</w:t>
            </w:r>
          </w:p>
        </w:tc>
        <w:tc>
          <w:tcPr>
            <w:tcW w:w="625" w:type="pct"/>
            <w:tcBorders>
              <w:top w:val="nil"/>
              <w:left w:val="nil"/>
              <w:bottom w:val="single" w:sz="4" w:space="0" w:color="auto"/>
              <w:right w:val="single" w:sz="4" w:space="0" w:color="auto"/>
            </w:tcBorders>
            <w:shd w:val="clear" w:color="auto" w:fill="auto"/>
            <w:vAlign w:val="center"/>
            <w:hideMark/>
          </w:tcPr>
          <w:p w14:paraId="56F683B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4A277B0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67A70E22" w14:textId="77777777" w:rsidR="00F927A2" w:rsidRPr="00645A24" w:rsidRDefault="00F927A2" w:rsidP="00F927A2">
            <w:pPr>
              <w:jc w:val="center"/>
              <w:rPr>
                <w:rFonts w:ascii="Calibri" w:hAnsi="Calibri"/>
                <w:sz w:val="20"/>
              </w:rPr>
            </w:pPr>
            <w:r w:rsidRPr="00645A24">
              <w:rPr>
                <w:rFonts w:ascii="Calibri" w:hAnsi="Calibri"/>
                <w:sz w:val="20"/>
              </w:rPr>
              <w:t>FRH (PARLOQ)</w:t>
            </w:r>
          </w:p>
        </w:tc>
      </w:tr>
      <w:tr w:rsidR="00F927A2" w:rsidRPr="00645A24" w14:paraId="54F1DD77" w14:textId="77777777" w:rsidTr="00F927A2">
        <w:trPr>
          <w:trHeight w:val="300"/>
        </w:trPr>
        <w:tc>
          <w:tcPr>
            <w:tcW w:w="445" w:type="pct"/>
            <w:vMerge/>
            <w:tcBorders>
              <w:top w:val="nil"/>
              <w:left w:val="single" w:sz="8" w:space="0" w:color="auto"/>
              <w:bottom w:val="single" w:sz="4" w:space="0" w:color="auto"/>
              <w:right w:val="single" w:sz="4" w:space="0" w:color="auto"/>
            </w:tcBorders>
            <w:vAlign w:val="center"/>
            <w:hideMark/>
          </w:tcPr>
          <w:p w14:paraId="4957942C"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3FDC3885"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7E712CAA" w14:textId="77777777" w:rsidR="00F927A2" w:rsidRPr="00645A24" w:rsidRDefault="00F927A2" w:rsidP="00F927A2">
            <w:pPr>
              <w:jc w:val="center"/>
              <w:rPr>
                <w:rFonts w:ascii="Calibri" w:hAnsi="Calibri"/>
                <w:sz w:val="20"/>
              </w:rPr>
            </w:pPr>
            <w:r w:rsidRPr="00645A24">
              <w:rPr>
                <w:rFonts w:ascii="Calibri" w:hAnsi="Calibri"/>
                <w:sz w:val="20"/>
              </w:rPr>
              <w:t>Verrettes</w:t>
            </w:r>
          </w:p>
        </w:tc>
        <w:tc>
          <w:tcPr>
            <w:tcW w:w="625" w:type="pct"/>
            <w:tcBorders>
              <w:top w:val="nil"/>
              <w:left w:val="nil"/>
              <w:bottom w:val="single" w:sz="4" w:space="0" w:color="auto"/>
              <w:right w:val="single" w:sz="4" w:space="0" w:color="auto"/>
            </w:tcBorders>
            <w:shd w:val="thinReverseDiagStripe" w:color="000000" w:fill="auto"/>
            <w:vAlign w:val="center"/>
            <w:hideMark/>
          </w:tcPr>
          <w:p w14:paraId="56CB7A9B"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572B681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37454E1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78D28FD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40E60F9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49FF3BF1" w14:textId="77777777" w:rsidTr="00F927A2">
        <w:trPr>
          <w:trHeight w:val="870"/>
        </w:trPr>
        <w:tc>
          <w:tcPr>
            <w:tcW w:w="445" w:type="pct"/>
            <w:vMerge w:val="restart"/>
            <w:tcBorders>
              <w:top w:val="nil"/>
              <w:left w:val="single" w:sz="8" w:space="0" w:color="auto"/>
              <w:bottom w:val="single" w:sz="4" w:space="0" w:color="000000"/>
              <w:right w:val="single" w:sz="4" w:space="0" w:color="auto"/>
            </w:tcBorders>
            <w:shd w:val="clear" w:color="000000" w:fill="FFFFFF"/>
            <w:vAlign w:val="center"/>
            <w:hideMark/>
          </w:tcPr>
          <w:p w14:paraId="5DC9F97E" w14:textId="77777777" w:rsidR="00F927A2" w:rsidRPr="00645A24" w:rsidRDefault="00F927A2" w:rsidP="00F927A2">
            <w:pPr>
              <w:jc w:val="center"/>
              <w:rPr>
                <w:rFonts w:ascii="Calibri" w:hAnsi="Calibri"/>
                <w:sz w:val="20"/>
              </w:rPr>
            </w:pPr>
            <w:r w:rsidRPr="00645A24">
              <w:rPr>
                <w:rFonts w:ascii="Calibri" w:hAnsi="Calibri"/>
                <w:sz w:val="20"/>
              </w:rPr>
              <w:t>Nord</w:t>
            </w:r>
          </w:p>
        </w:tc>
        <w:tc>
          <w:tcPr>
            <w:tcW w:w="1899" w:type="pct"/>
            <w:gridSpan w:val="3"/>
            <w:tcBorders>
              <w:top w:val="single" w:sz="4" w:space="0" w:color="auto"/>
              <w:left w:val="nil"/>
              <w:bottom w:val="single" w:sz="4" w:space="0" w:color="auto"/>
              <w:right w:val="single" w:sz="4" w:space="0" w:color="000000"/>
            </w:tcBorders>
            <w:shd w:val="clear" w:color="auto" w:fill="auto"/>
            <w:vAlign w:val="center"/>
            <w:hideMark/>
          </w:tcPr>
          <w:p w14:paraId="287539C1" w14:textId="77777777" w:rsidR="00F927A2" w:rsidRPr="00645A24" w:rsidRDefault="00F927A2" w:rsidP="00F927A2">
            <w:pPr>
              <w:rPr>
                <w:rFonts w:ascii="Calibri" w:hAnsi="Calibri"/>
                <w:color w:val="000000"/>
                <w:sz w:val="20"/>
              </w:rPr>
            </w:pPr>
            <w:r w:rsidRPr="00645A24">
              <w:rPr>
                <w:rFonts w:ascii="Calibri" w:hAnsi="Calibri"/>
                <w:color w:val="000000"/>
                <w:sz w:val="20"/>
              </w:rPr>
              <w:t>Esquisse de schéma d'aménagement du pôle de Cap-Haïtien (ce territoire comprend les arrondissements d’Acul-du-Nord et de Cap-Haïtien)</w:t>
            </w:r>
          </w:p>
        </w:tc>
        <w:tc>
          <w:tcPr>
            <w:tcW w:w="626" w:type="pct"/>
            <w:tcBorders>
              <w:top w:val="nil"/>
              <w:left w:val="nil"/>
              <w:bottom w:val="single" w:sz="4" w:space="0" w:color="auto"/>
              <w:right w:val="single" w:sz="4" w:space="0" w:color="auto"/>
            </w:tcBorders>
            <w:shd w:val="clear" w:color="auto" w:fill="auto"/>
            <w:vAlign w:val="center"/>
            <w:hideMark/>
          </w:tcPr>
          <w:p w14:paraId="343578E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En attente de validation</w:t>
            </w:r>
          </w:p>
        </w:tc>
        <w:tc>
          <w:tcPr>
            <w:tcW w:w="625" w:type="pct"/>
            <w:tcBorders>
              <w:top w:val="nil"/>
              <w:left w:val="nil"/>
              <w:bottom w:val="single" w:sz="4" w:space="0" w:color="auto"/>
              <w:right w:val="single" w:sz="4" w:space="0" w:color="auto"/>
            </w:tcBorders>
            <w:shd w:val="clear" w:color="auto" w:fill="auto"/>
            <w:vAlign w:val="center"/>
            <w:hideMark/>
          </w:tcPr>
          <w:p w14:paraId="026D17C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2E370F6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1156CCE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FRH (PARLOQ)</w:t>
            </w:r>
          </w:p>
        </w:tc>
      </w:tr>
      <w:tr w:rsidR="00F927A2" w:rsidRPr="00645A24" w14:paraId="42368D39"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5FAB62B7"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CF70256" w14:textId="77777777" w:rsidR="00F927A2" w:rsidRPr="00645A24" w:rsidRDefault="00F927A2" w:rsidP="00F927A2">
            <w:pPr>
              <w:jc w:val="center"/>
              <w:rPr>
                <w:rFonts w:ascii="Calibri" w:hAnsi="Calibri"/>
                <w:sz w:val="20"/>
              </w:rPr>
            </w:pPr>
            <w:r w:rsidRPr="00645A24">
              <w:rPr>
                <w:rFonts w:ascii="Calibri" w:hAnsi="Calibri"/>
                <w:sz w:val="20"/>
              </w:rPr>
              <w:t>Cap-Haïtien</w:t>
            </w:r>
          </w:p>
        </w:tc>
        <w:tc>
          <w:tcPr>
            <w:tcW w:w="62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B2180BF" w14:textId="77777777" w:rsidR="00F927A2" w:rsidRPr="00645A24" w:rsidRDefault="00F927A2" w:rsidP="00F927A2">
            <w:pPr>
              <w:jc w:val="center"/>
              <w:rPr>
                <w:rFonts w:ascii="Calibri" w:hAnsi="Calibri"/>
                <w:sz w:val="20"/>
              </w:rPr>
            </w:pPr>
            <w:r w:rsidRPr="00645A24">
              <w:rPr>
                <w:rFonts w:ascii="Calibri" w:hAnsi="Calibri"/>
                <w:sz w:val="20"/>
              </w:rPr>
              <w:t>Cap-Haïtien</w:t>
            </w:r>
          </w:p>
        </w:tc>
        <w:tc>
          <w:tcPr>
            <w:tcW w:w="625" w:type="pct"/>
            <w:tcBorders>
              <w:top w:val="nil"/>
              <w:left w:val="nil"/>
              <w:bottom w:val="single" w:sz="4" w:space="0" w:color="auto"/>
              <w:right w:val="single" w:sz="4" w:space="0" w:color="auto"/>
            </w:tcBorders>
            <w:shd w:val="clear" w:color="auto" w:fill="auto"/>
            <w:vAlign w:val="center"/>
            <w:hideMark/>
          </w:tcPr>
          <w:p w14:paraId="0F55019F"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4B2BE94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6EA0612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2011</w:t>
            </w:r>
          </w:p>
        </w:tc>
        <w:tc>
          <w:tcPr>
            <w:tcW w:w="704" w:type="pct"/>
            <w:tcBorders>
              <w:top w:val="nil"/>
              <w:left w:val="nil"/>
              <w:bottom w:val="single" w:sz="4" w:space="0" w:color="auto"/>
              <w:right w:val="single" w:sz="4" w:space="0" w:color="auto"/>
            </w:tcBorders>
            <w:shd w:val="clear" w:color="auto" w:fill="auto"/>
            <w:vAlign w:val="center"/>
            <w:hideMark/>
          </w:tcPr>
          <w:p w14:paraId="19BC807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LOKAL (TetraTech)</w:t>
            </w:r>
          </w:p>
        </w:tc>
        <w:tc>
          <w:tcPr>
            <w:tcW w:w="701" w:type="pct"/>
            <w:tcBorders>
              <w:top w:val="nil"/>
              <w:left w:val="nil"/>
              <w:bottom w:val="single" w:sz="4" w:space="0" w:color="auto"/>
              <w:right w:val="single" w:sz="4" w:space="0" w:color="auto"/>
            </w:tcBorders>
            <w:shd w:val="clear" w:color="auto" w:fill="auto"/>
            <w:vAlign w:val="center"/>
            <w:hideMark/>
          </w:tcPr>
          <w:p w14:paraId="6F98566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100AD0D7" w14:textId="77777777" w:rsidTr="00F927A2">
        <w:trPr>
          <w:trHeight w:val="1200"/>
        </w:trPr>
        <w:tc>
          <w:tcPr>
            <w:tcW w:w="445" w:type="pct"/>
            <w:vMerge/>
            <w:tcBorders>
              <w:top w:val="nil"/>
              <w:left w:val="single" w:sz="8" w:space="0" w:color="auto"/>
              <w:bottom w:val="single" w:sz="4" w:space="0" w:color="000000"/>
              <w:right w:val="single" w:sz="4" w:space="0" w:color="auto"/>
            </w:tcBorders>
            <w:vAlign w:val="center"/>
            <w:hideMark/>
          </w:tcPr>
          <w:p w14:paraId="41D4905C"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12B2EC4C"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751FCF09"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60568BA5" w14:textId="77777777" w:rsidR="00F927A2" w:rsidRPr="00645A24" w:rsidRDefault="00F927A2" w:rsidP="00F927A2">
            <w:pPr>
              <w:rPr>
                <w:rFonts w:ascii="Calibri" w:hAnsi="Calibri"/>
                <w:color w:val="000000"/>
                <w:sz w:val="20"/>
              </w:rPr>
            </w:pPr>
            <w:r w:rsidRPr="00645A24">
              <w:rPr>
                <w:rFonts w:ascii="Calibri" w:hAnsi="Calibri"/>
                <w:color w:val="000000"/>
                <w:sz w:val="20"/>
              </w:rPr>
              <w:t>Plan de Financement des Services Publics Communaux (PFC)</w:t>
            </w:r>
          </w:p>
        </w:tc>
        <w:tc>
          <w:tcPr>
            <w:tcW w:w="626" w:type="pct"/>
            <w:tcBorders>
              <w:top w:val="nil"/>
              <w:left w:val="nil"/>
              <w:bottom w:val="single" w:sz="4" w:space="0" w:color="auto"/>
              <w:right w:val="single" w:sz="4" w:space="0" w:color="auto"/>
            </w:tcBorders>
            <w:shd w:val="clear" w:color="auto" w:fill="auto"/>
            <w:vAlign w:val="center"/>
            <w:hideMark/>
          </w:tcPr>
          <w:p w14:paraId="7338310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4DBEA01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2014</w:t>
            </w:r>
          </w:p>
        </w:tc>
        <w:tc>
          <w:tcPr>
            <w:tcW w:w="704" w:type="pct"/>
            <w:tcBorders>
              <w:top w:val="nil"/>
              <w:left w:val="nil"/>
              <w:bottom w:val="single" w:sz="4" w:space="0" w:color="auto"/>
              <w:right w:val="single" w:sz="4" w:space="0" w:color="auto"/>
            </w:tcBorders>
            <w:shd w:val="clear" w:color="auto" w:fill="auto"/>
            <w:vAlign w:val="center"/>
            <w:hideMark/>
          </w:tcPr>
          <w:p w14:paraId="25100FE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LOKAL+ (TetraTech) + Group InterConsult</w:t>
            </w:r>
          </w:p>
        </w:tc>
        <w:tc>
          <w:tcPr>
            <w:tcW w:w="701" w:type="pct"/>
            <w:tcBorders>
              <w:top w:val="nil"/>
              <w:left w:val="nil"/>
              <w:bottom w:val="single" w:sz="4" w:space="0" w:color="auto"/>
              <w:right w:val="single" w:sz="4" w:space="0" w:color="auto"/>
            </w:tcBorders>
            <w:shd w:val="clear" w:color="auto" w:fill="auto"/>
            <w:vAlign w:val="center"/>
            <w:hideMark/>
          </w:tcPr>
          <w:p w14:paraId="743E2B2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6E364A3C" w14:textId="77777777" w:rsidTr="00F927A2">
        <w:trPr>
          <w:trHeight w:val="600"/>
        </w:trPr>
        <w:tc>
          <w:tcPr>
            <w:tcW w:w="445" w:type="pct"/>
            <w:vMerge/>
            <w:tcBorders>
              <w:top w:val="nil"/>
              <w:left w:val="single" w:sz="8" w:space="0" w:color="auto"/>
              <w:bottom w:val="single" w:sz="4" w:space="0" w:color="000000"/>
              <w:right w:val="single" w:sz="4" w:space="0" w:color="auto"/>
            </w:tcBorders>
            <w:vAlign w:val="center"/>
            <w:hideMark/>
          </w:tcPr>
          <w:p w14:paraId="09FA6ED9"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677B2AC9"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7B254472"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5FBFCB0A" w14:textId="77777777" w:rsidR="00F927A2" w:rsidRPr="00645A24" w:rsidRDefault="00F927A2" w:rsidP="00F927A2">
            <w:pPr>
              <w:rPr>
                <w:rFonts w:ascii="Calibri" w:hAnsi="Calibri"/>
                <w:color w:val="000000"/>
                <w:sz w:val="20"/>
              </w:rPr>
            </w:pPr>
            <w:r w:rsidRPr="00645A24">
              <w:rPr>
                <w:rFonts w:ascii="Calibri" w:hAnsi="Calibri"/>
                <w:color w:val="000000"/>
                <w:sz w:val="20"/>
              </w:rPr>
              <w:t>Esquisse de plan d'urbanisme pour la ville</w:t>
            </w:r>
          </w:p>
        </w:tc>
        <w:tc>
          <w:tcPr>
            <w:tcW w:w="626" w:type="pct"/>
            <w:tcBorders>
              <w:top w:val="nil"/>
              <w:left w:val="nil"/>
              <w:bottom w:val="single" w:sz="4" w:space="0" w:color="auto"/>
              <w:right w:val="single" w:sz="4" w:space="0" w:color="auto"/>
            </w:tcBorders>
            <w:shd w:val="clear" w:color="auto" w:fill="auto"/>
            <w:vAlign w:val="center"/>
            <w:hideMark/>
          </w:tcPr>
          <w:p w14:paraId="5BDD21C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4D651B9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3AE0635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4D4F171B" w14:textId="77777777" w:rsidR="00F927A2" w:rsidRPr="00645A24" w:rsidRDefault="00F927A2" w:rsidP="00F927A2">
            <w:pPr>
              <w:jc w:val="center"/>
              <w:rPr>
                <w:rFonts w:ascii="Calibri" w:hAnsi="Calibri"/>
                <w:sz w:val="20"/>
              </w:rPr>
            </w:pPr>
            <w:r w:rsidRPr="00645A24">
              <w:rPr>
                <w:rFonts w:ascii="Calibri" w:hAnsi="Calibri"/>
                <w:sz w:val="20"/>
              </w:rPr>
              <w:t>FRH (PARLOQ)</w:t>
            </w:r>
          </w:p>
        </w:tc>
      </w:tr>
      <w:tr w:rsidR="00F927A2" w:rsidRPr="00645A24" w14:paraId="72ABCC2B"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33CAE16D"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0936CF5E" w14:textId="77777777" w:rsidR="00F927A2" w:rsidRPr="00645A24" w:rsidRDefault="00F927A2" w:rsidP="00F927A2">
            <w:pPr>
              <w:jc w:val="left"/>
              <w:rPr>
                <w:rFonts w:ascii="Calibri" w:hAnsi="Calibri"/>
                <w:sz w:val="20"/>
              </w:rPr>
            </w:pPr>
          </w:p>
        </w:tc>
        <w:tc>
          <w:tcPr>
            <w:tcW w:w="62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6BE088A" w14:textId="77777777" w:rsidR="00F927A2" w:rsidRPr="00645A24" w:rsidRDefault="00F927A2" w:rsidP="00F927A2">
            <w:pPr>
              <w:jc w:val="center"/>
              <w:rPr>
                <w:rFonts w:ascii="Calibri" w:hAnsi="Calibri"/>
                <w:sz w:val="20"/>
              </w:rPr>
            </w:pPr>
            <w:r w:rsidRPr="00645A24">
              <w:rPr>
                <w:rFonts w:ascii="Calibri" w:hAnsi="Calibri"/>
                <w:sz w:val="20"/>
              </w:rPr>
              <w:t> Limonade</w:t>
            </w:r>
          </w:p>
        </w:tc>
        <w:tc>
          <w:tcPr>
            <w:tcW w:w="625" w:type="pct"/>
            <w:tcBorders>
              <w:top w:val="nil"/>
              <w:left w:val="nil"/>
              <w:bottom w:val="single" w:sz="4" w:space="0" w:color="auto"/>
              <w:right w:val="single" w:sz="4" w:space="0" w:color="auto"/>
            </w:tcBorders>
            <w:shd w:val="clear" w:color="auto" w:fill="auto"/>
            <w:vAlign w:val="center"/>
            <w:hideMark/>
          </w:tcPr>
          <w:p w14:paraId="135A633D"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0D9DCB1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7985FAF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23F9B0F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KNFP</w:t>
            </w:r>
          </w:p>
        </w:tc>
        <w:tc>
          <w:tcPr>
            <w:tcW w:w="701" w:type="pct"/>
            <w:tcBorders>
              <w:top w:val="nil"/>
              <w:left w:val="nil"/>
              <w:bottom w:val="single" w:sz="4" w:space="0" w:color="auto"/>
              <w:right w:val="single" w:sz="4" w:space="0" w:color="auto"/>
            </w:tcBorders>
            <w:shd w:val="clear" w:color="auto" w:fill="auto"/>
            <w:vAlign w:val="center"/>
            <w:hideMark/>
          </w:tcPr>
          <w:p w14:paraId="3D07E36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UE</w:t>
            </w:r>
          </w:p>
        </w:tc>
      </w:tr>
      <w:tr w:rsidR="00F927A2" w:rsidRPr="00645A24" w14:paraId="5D0C116A" w14:textId="77777777" w:rsidTr="00F927A2">
        <w:trPr>
          <w:trHeight w:val="1200"/>
        </w:trPr>
        <w:tc>
          <w:tcPr>
            <w:tcW w:w="445" w:type="pct"/>
            <w:vMerge/>
            <w:tcBorders>
              <w:top w:val="nil"/>
              <w:left w:val="single" w:sz="8" w:space="0" w:color="auto"/>
              <w:bottom w:val="single" w:sz="4" w:space="0" w:color="000000"/>
              <w:right w:val="single" w:sz="4" w:space="0" w:color="auto"/>
            </w:tcBorders>
            <w:vAlign w:val="center"/>
            <w:hideMark/>
          </w:tcPr>
          <w:p w14:paraId="43C48116"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6498FF62"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5C8A3D00"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3E530024" w14:textId="77777777" w:rsidR="00F927A2" w:rsidRPr="00645A24" w:rsidRDefault="00F927A2" w:rsidP="00F927A2">
            <w:pPr>
              <w:rPr>
                <w:rFonts w:ascii="Calibri" w:hAnsi="Calibri"/>
                <w:color w:val="000000"/>
                <w:sz w:val="20"/>
              </w:rPr>
            </w:pPr>
            <w:r w:rsidRPr="00645A24">
              <w:rPr>
                <w:rFonts w:ascii="Calibri" w:hAnsi="Calibri"/>
                <w:color w:val="000000"/>
                <w:sz w:val="20"/>
              </w:rPr>
              <w:t>Plan de Financement des Services Publics Communaux (PFC)</w:t>
            </w:r>
          </w:p>
        </w:tc>
        <w:tc>
          <w:tcPr>
            <w:tcW w:w="626" w:type="pct"/>
            <w:tcBorders>
              <w:top w:val="nil"/>
              <w:left w:val="nil"/>
              <w:bottom w:val="single" w:sz="4" w:space="0" w:color="auto"/>
              <w:right w:val="single" w:sz="4" w:space="0" w:color="auto"/>
            </w:tcBorders>
            <w:shd w:val="clear" w:color="auto" w:fill="auto"/>
            <w:vAlign w:val="center"/>
            <w:hideMark/>
          </w:tcPr>
          <w:p w14:paraId="1139487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5D9C9E9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2015</w:t>
            </w:r>
          </w:p>
        </w:tc>
        <w:tc>
          <w:tcPr>
            <w:tcW w:w="704" w:type="pct"/>
            <w:tcBorders>
              <w:top w:val="nil"/>
              <w:left w:val="nil"/>
              <w:bottom w:val="single" w:sz="4" w:space="0" w:color="auto"/>
              <w:right w:val="single" w:sz="4" w:space="0" w:color="auto"/>
            </w:tcBorders>
            <w:shd w:val="clear" w:color="auto" w:fill="auto"/>
            <w:vAlign w:val="center"/>
            <w:hideMark/>
          </w:tcPr>
          <w:p w14:paraId="5C7DFA8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LOKAL+ (TetraTech) + Group InterConsult</w:t>
            </w:r>
          </w:p>
        </w:tc>
        <w:tc>
          <w:tcPr>
            <w:tcW w:w="701" w:type="pct"/>
            <w:tcBorders>
              <w:top w:val="nil"/>
              <w:left w:val="nil"/>
              <w:bottom w:val="single" w:sz="4" w:space="0" w:color="auto"/>
              <w:right w:val="single" w:sz="4" w:space="0" w:color="auto"/>
            </w:tcBorders>
            <w:shd w:val="clear" w:color="auto" w:fill="auto"/>
            <w:vAlign w:val="center"/>
            <w:hideMark/>
          </w:tcPr>
          <w:p w14:paraId="67FFD7F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525D9D87" w14:textId="77777777" w:rsidTr="00F927A2">
        <w:trPr>
          <w:trHeight w:val="600"/>
        </w:trPr>
        <w:tc>
          <w:tcPr>
            <w:tcW w:w="445" w:type="pct"/>
            <w:vMerge/>
            <w:tcBorders>
              <w:top w:val="nil"/>
              <w:left w:val="single" w:sz="8" w:space="0" w:color="auto"/>
              <w:bottom w:val="single" w:sz="4" w:space="0" w:color="000000"/>
              <w:right w:val="single" w:sz="4" w:space="0" w:color="auto"/>
            </w:tcBorders>
            <w:vAlign w:val="center"/>
            <w:hideMark/>
          </w:tcPr>
          <w:p w14:paraId="3304F9AF"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60EB70CF"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4353A4EB"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7AEA9E8A" w14:textId="77777777" w:rsidR="00F927A2" w:rsidRPr="00645A24" w:rsidRDefault="00F927A2" w:rsidP="00F927A2">
            <w:pPr>
              <w:rPr>
                <w:rFonts w:ascii="Calibri" w:hAnsi="Calibri"/>
                <w:color w:val="000000"/>
                <w:sz w:val="20"/>
              </w:rPr>
            </w:pPr>
            <w:r w:rsidRPr="00645A24">
              <w:rPr>
                <w:rFonts w:ascii="Calibri" w:hAnsi="Calibri"/>
                <w:color w:val="000000"/>
                <w:sz w:val="20"/>
              </w:rPr>
              <w:t>Esquisse de plan d'urbanisme pour la ville</w:t>
            </w:r>
          </w:p>
        </w:tc>
        <w:tc>
          <w:tcPr>
            <w:tcW w:w="626" w:type="pct"/>
            <w:tcBorders>
              <w:top w:val="nil"/>
              <w:left w:val="nil"/>
              <w:bottom w:val="single" w:sz="4" w:space="0" w:color="auto"/>
              <w:right w:val="single" w:sz="4" w:space="0" w:color="auto"/>
            </w:tcBorders>
            <w:shd w:val="clear" w:color="auto" w:fill="auto"/>
            <w:vAlign w:val="center"/>
            <w:hideMark/>
          </w:tcPr>
          <w:p w14:paraId="15D105C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0ED8521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1BD1A37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547973D5" w14:textId="77777777" w:rsidR="00F927A2" w:rsidRPr="00645A24" w:rsidRDefault="00F927A2" w:rsidP="00F927A2">
            <w:pPr>
              <w:jc w:val="center"/>
              <w:rPr>
                <w:rFonts w:ascii="Calibri" w:hAnsi="Calibri"/>
                <w:sz w:val="20"/>
              </w:rPr>
            </w:pPr>
            <w:r w:rsidRPr="00645A24">
              <w:rPr>
                <w:rFonts w:ascii="Calibri" w:hAnsi="Calibri"/>
                <w:sz w:val="20"/>
              </w:rPr>
              <w:t>FRH (PARLOQ)</w:t>
            </w:r>
          </w:p>
        </w:tc>
      </w:tr>
      <w:tr w:rsidR="00F927A2" w:rsidRPr="00645A24" w14:paraId="74CA8DD6" w14:textId="77777777" w:rsidTr="00F927A2">
        <w:trPr>
          <w:trHeight w:val="1200"/>
        </w:trPr>
        <w:tc>
          <w:tcPr>
            <w:tcW w:w="445" w:type="pct"/>
            <w:vMerge/>
            <w:tcBorders>
              <w:top w:val="nil"/>
              <w:left w:val="single" w:sz="8" w:space="0" w:color="auto"/>
              <w:bottom w:val="single" w:sz="4" w:space="0" w:color="000000"/>
              <w:right w:val="single" w:sz="4" w:space="0" w:color="auto"/>
            </w:tcBorders>
            <w:vAlign w:val="center"/>
            <w:hideMark/>
          </w:tcPr>
          <w:p w14:paraId="6C711424"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491E8996"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33911789"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6040A6A7" w14:textId="77777777" w:rsidR="00F927A2" w:rsidRPr="00645A24" w:rsidRDefault="00F927A2" w:rsidP="00F927A2">
            <w:pPr>
              <w:rPr>
                <w:rFonts w:ascii="Calibri" w:hAnsi="Calibri"/>
                <w:color w:val="000000"/>
                <w:sz w:val="20"/>
                <w:lang w:val="en-IE"/>
              </w:rPr>
            </w:pPr>
            <w:r w:rsidRPr="00645A24">
              <w:rPr>
                <w:rFonts w:ascii="Calibri" w:hAnsi="Calibri"/>
                <w:color w:val="000000"/>
                <w:sz w:val="20"/>
                <w:lang w:val="en-IE"/>
              </w:rPr>
              <w:t>Urban and Infrastructure Development Plan</w:t>
            </w:r>
          </w:p>
        </w:tc>
        <w:tc>
          <w:tcPr>
            <w:tcW w:w="626" w:type="pct"/>
            <w:tcBorders>
              <w:top w:val="nil"/>
              <w:left w:val="nil"/>
              <w:bottom w:val="single" w:sz="4" w:space="0" w:color="auto"/>
              <w:right w:val="single" w:sz="4" w:space="0" w:color="auto"/>
            </w:tcBorders>
            <w:shd w:val="clear" w:color="auto" w:fill="auto"/>
            <w:vAlign w:val="center"/>
            <w:hideMark/>
          </w:tcPr>
          <w:p w14:paraId="2B46443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En cours de réalisation</w:t>
            </w:r>
          </w:p>
        </w:tc>
        <w:tc>
          <w:tcPr>
            <w:tcW w:w="625" w:type="pct"/>
            <w:tcBorders>
              <w:top w:val="nil"/>
              <w:left w:val="nil"/>
              <w:bottom w:val="single" w:sz="4" w:space="0" w:color="auto"/>
              <w:right w:val="single" w:sz="4" w:space="0" w:color="auto"/>
            </w:tcBorders>
            <w:shd w:val="clear" w:color="auto" w:fill="auto"/>
            <w:vAlign w:val="center"/>
            <w:hideMark/>
          </w:tcPr>
          <w:p w14:paraId="41B49D6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2016</w:t>
            </w:r>
          </w:p>
        </w:tc>
        <w:tc>
          <w:tcPr>
            <w:tcW w:w="704" w:type="pct"/>
            <w:tcBorders>
              <w:top w:val="nil"/>
              <w:left w:val="nil"/>
              <w:bottom w:val="single" w:sz="4" w:space="0" w:color="auto"/>
              <w:right w:val="single" w:sz="4" w:space="0" w:color="auto"/>
            </w:tcBorders>
            <w:shd w:val="clear" w:color="auto" w:fill="auto"/>
            <w:vAlign w:val="center"/>
            <w:hideMark/>
          </w:tcPr>
          <w:p w14:paraId="4906FF3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Consortium Genser / AC&amp;A / HR&amp;A / Global Communities</w:t>
            </w:r>
          </w:p>
        </w:tc>
        <w:tc>
          <w:tcPr>
            <w:tcW w:w="701" w:type="pct"/>
            <w:tcBorders>
              <w:top w:val="nil"/>
              <w:left w:val="nil"/>
              <w:bottom w:val="single" w:sz="4" w:space="0" w:color="auto"/>
              <w:right w:val="single" w:sz="4" w:space="0" w:color="auto"/>
            </w:tcBorders>
            <w:shd w:val="clear" w:color="auto" w:fill="auto"/>
            <w:vAlign w:val="center"/>
            <w:hideMark/>
          </w:tcPr>
          <w:p w14:paraId="2C7A8EF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BID (ESCI)</w:t>
            </w:r>
          </w:p>
        </w:tc>
      </w:tr>
      <w:tr w:rsidR="00F927A2" w:rsidRPr="00645A24" w14:paraId="20B1F340" w14:textId="77777777" w:rsidTr="00F927A2">
        <w:trPr>
          <w:trHeight w:val="600"/>
        </w:trPr>
        <w:tc>
          <w:tcPr>
            <w:tcW w:w="445" w:type="pct"/>
            <w:vMerge/>
            <w:tcBorders>
              <w:top w:val="nil"/>
              <w:left w:val="single" w:sz="8" w:space="0" w:color="auto"/>
              <w:bottom w:val="single" w:sz="4" w:space="0" w:color="000000"/>
              <w:right w:val="single" w:sz="4" w:space="0" w:color="auto"/>
            </w:tcBorders>
            <w:vAlign w:val="center"/>
            <w:hideMark/>
          </w:tcPr>
          <w:p w14:paraId="19B0463A"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1A82DFBC"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29CDFFC6" w14:textId="77777777" w:rsidR="00F927A2" w:rsidRPr="00645A24" w:rsidRDefault="00F927A2" w:rsidP="00F927A2">
            <w:pPr>
              <w:jc w:val="center"/>
              <w:rPr>
                <w:rFonts w:ascii="Calibri" w:hAnsi="Calibri"/>
                <w:sz w:val="20"/>
              </w:rPr>
            </w:pPr>
            <w:r w:rsidRPr="00645A24">
              <w:rPr>
                <w:rFonts w:ascii="Calibri" w:hAnsi="Calibri"/>
                <w:sz w:val="20"/>
              </w:rPr>
              <w:t>Quartier-Morin</w:t>
            </w:r>
          </w:p>
        </w:tc>
        <w:tc>
          <w:tcPr>
            <w:tcW w:w="625" w:type="pct"/>
            <w:tcBorders>
              <w:top w:val="nil"/>
              <w:left w:val="nil"/>
              <w:bottom w:val="single" w:sz="4" w:space="0" w:color="auto"/>
              <w:right w:val="single" w:sz="4" w:space="0" w:color="auto"/>
            </w:tcBorders>
            <w:shd w:val="clear" w:color="auto" w:fill="auto"/>
            <w:vAlign w:val="center"/>
            <w:hideMark/>
          </w:tcPr>
          <w:p w14:paraId="5EDA058D" w14:textId="77777777" w:rsidR="00F927A2" w:rsidRPr="00645A24" w:rsidRDefault="00F927A2" w:rsidP="00F927A2">
            <w:pPr>
              <w:rPr>
                <w:rFonts w:ascii="Calibri" w:hAnsi="Calibri"/>
                <w:color w:val="000000"/>
                <w:sz w:val="20"/>
              </w:rPr>
            </w:pPr>
            <w:r w:rsidRPr="00645A24">
              <w:rPr>
                <w:rFonts w:ascii="Calibri" w:hAnsi="Calibri"/>
                <w:color w:val="000000"/>
                <w:sz w:val="20"/>
              </w:rPr>
              <w:t>Esquisse de plan d'urbanisme pour la ville</w:t>
            </w:r>
          </w:p>
        </w:tc>
        <w:tc>
          <w:tcPr>
            <w:tcW w:w="626" w:type="pct"/>
            <w:tcBorders>
              <w:top w:val="nil"/>
              <w:left w:val="nil"/>
              <w:bottom w:val="single" w:sz="4" w:space="0" w:color="auto"/>
              <w:right w:val="single" w:sz="4" w:space="0" w:color="auto"/>
            </w:tcBorders>
            <w:shd w:val="clear" w:color="auto" w:fill="auto"/>
            <w:vAlign w:val="center"/>
            <w:hideMark/>
          </w:tcPr>
          <w:p w14:paraId="6D13DC0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2DEC97F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688DB03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1EAE52FA" w14:textId="77777777" w:rsidR="00F927A2" w:rsidRPr="00645A24" w:rsidRDefault="00F927A2" w:rsidP="00F927A2">
            <w:pPr>
              <w:jc w:val="center"/>
              <w:rPr>
                <w:rFonts w:ascii="Calibri" w:hAnsi="Calibri"/>
                <w:sz w:val="20"/>
              </w:rPr>
            </w:pPr>
            <w:r w:rsidRPr="00645A24">
              <w:rPr>
                <w:rFonts w:ascii="Calibri" w:hAnsi="Calibri"/>
                <w:sz w:val="20"/>
              </w:rPr>
              <w:t>FRH (PARLOQ)</w:t>
            </w:r>
          </w:p>
        </w:tc>
      </w:tr>
      <w:tr w:rsidR="00F927A2" w:rsidRPr="00645A24" w14:paraId="7C4E8F20"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65CD9B17"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BC3AE14" w14:textId="77777777" w:rsidR="00F927A2" w:rsidRPr="00645A24" w:rsidRDefault="00F927A2" w:rsidP="00F927A2">
            <w:pPr>
              <w:jc w:val="center"/>
              <w:rPr>
                <w:rFonts w:ascii="Calibri" w:hAnsi="Calibri"/>
                <w:sz w:val="20"/>
              </w:rPr>
            </w:pPr>
            <w:r w:rsidRPr="00645A24">
              <w:rPr>
                <w:rFonts w:ascii="Calibri" w:hAnsi="Calibri"/>
                <w:sz w:val="20"/>
              </w:rPr>
              <w:t>Acul-du-Nord</w:t>
            </w:r>
          </w:p>
        </w:tc>
        <w:tc>
          <w:tcPr>
            <w:tcW w:w="62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CF9FE3F" w14:textId="77777777" w:rsidR="00F927A2" w:rsidRPr="00645A24" w:rsidRDefault="00F927A2" w:rsidP="00F927A2">
            <w:pPr>
              <w:jc w:val="center"/>
              <w:rPr>
                <w:rFonts w:ascii="Calibri" w:hAnsi="Calibri"/>
                <w:sz w:val="20"/>
              </w:rPr>
            </w:pPr>
            <w:r w:rsidRPr="00645A24">
              <w:rPr>
                <w:rFonts w:ascii="Calibri" w:hAnsi="Calibri"/>
                <w:sz w:val="20"/>
              </w:rPr>
              <w:t>Acul-du-Nord</w:t>
            </w:r>
          </w:p>
        </w:tc>
        <w:tc>
          <w:tcPr>
            <w:tcW w:w="625" w:type="pct"/>
            <w:tcBorders>
              <w:top w:val="nil"/>
              <w:left w:val="nil"/>
              <w:bottom w:val="single" w:sz="4" w:space="0" w:color="auto"/>
              <w:right w:val="single" w:sz="4" w:space="0" w:color="auto"/>
            </w:tcBorders>
            <w:shd w:val="clear" w:color="auto" w:fill="auto"/>
            <w:vAlign w:val="center"/>
            <w:hideMark/>
          </w:tcPr>
          <w:p w14:paraId="5D9B8D94"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339346A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340B218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2011</w:t>
            </w:r>
          </w:p>
        </w:tc>
        <w:tc>
          <w:tcPr>
            <w:tcW w:w="704" w:type="pct"/>
            <w:tcBorders>
              <w:top w:val="nil"/>
              <w:left w:val="nil"/>
              <w:bottom w:val="single" w:sz="4" w:space="0" w:color="auto"/>
              <w:right w:val="single" w:sz="4" w:space="0" w:color="auto"/>
            </w:tcBorders>
            <w:shd w:val="clear" w:color="auto" w:fill="auto"/>
            <w:vAlign w:val="center"/>
            <w:hideMark/>
          </w:tcPr>
          <w:p w14:paraId="2A1136B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LOKAL (TetraTech)</w:t>
            </w:r>
          </w:p>
        </w:tc>
        <w:tc>
          <w:tcPr>
            <w:tcW w:w="701" w:type="pct"/>
            <w:tcBorders>
              <w:top w:val="nil"/>
              <w:left w:val="nil"/>
              <w:bottom w:val="single" w:sz="4" w:space="0" w:color="auto"/>
              <w:right w:val="single" w:sz="4" w:space="0" w:color="auto"/>
            </w:tcBorders>
            <w:shd w:val="clear" w:color="auto" w:fill="auto"/>
            <w:vAlign w:val="center"/>
            <w:hideMark/>
          </w:tcPr>
          <w:p w14:paraId="716CF70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7F4C6F48" w14:textId="77777777" w:rsidTr="00F927A2">
        <w:trPr>
          <w:trHeight w:val="1200"/>
        </w:trPr>
        <w:tc>
          <w:tcPr>
            <w:tcW w:w="445" w:type="pct"/>
            <w:vMerge/>
            <w:tcBorders>
              <w:top w:val="nil"/>
              <w:left w:val="single" w:sz="8" w:space="0" w:color="auto"/>
              <w:bottom w:val="single" w:sz="4" w:space="0" w:color="000000"/>
              <w:right w:val="single" w:sz="4" w:space="0" w:color="auto"/>
            </w:tcBorders>
            <w:vAlign w:val="center"/>
            <w:hideMark/>
          </w:tcPr>
          <w:p w14:paraId="6CD5C3EC"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5FCA13F7"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666CE5D6"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7ABA2D49" w14:textId="77777777" w:rsidR="00F927A2" w:rsidRPr="00645A24" w:rsidRDefault="00F927A2" w:rsidP="00F927A2">
            <w:pPr>
              <w:rPr>
                <w:rFonts w:ascii="Calibri" w:hAnsi="Calibri"/>
                <w:color w:val="000000"/>
                <w:sz w:val="20"/>
              </w:rPr>
            </w:pPr>
            <w:r w:rsidRPr="00645A24">
              <w:rPr>
                <w:rFonts w:ascii="Calibri" w:hAnsi="Calibri"/>
                <w:color w:val="000000"/>
                <w:sz w:val="20"/>
              </w:rPr>
              <w:t>Plan de Financement des Services Publics Communaux (PFC)</w:t>
            </w:r>
          </w:p>
        </w:tc>
        <w:tc>
          <w:tcPr>
            <w:tcW w:w="626" w:type="pct"/>
            <w:tcBorders>
              <w:top w:val="nil"/>
              <w:left w:val="nil"/>
              <w:bottom w:val="single" w:sz="4" w:space="0" w:color="auto"/>
              <w:right w:val="single" w:sz="4" w:space="0" w:color="auto"/>
            </w:tcBorders>
            <w:shd w:val="clear" w:color="auto" w:fill="auto"/>
            <w:vAlign w:val="center"/>
            <w:hideMark/>
          </w:tcPr>
          <w:p w14:paraId="536854F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64903C8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2015</w:t>
            </w:r>
          </w:p>
        </w:tc>
        <w:tc>
          <w:tcPr>
            <w:tcW w:w="704" w:type="pct"/>
            <w:tcBorders>
              <w:top w:val="nil"/>
              <w:left w:val="nil"/>
              <w:bottom w:val="single" w:sz="4" w:space="0" w:color="auto"/>
              <w:right w:val="single" w:sz="4" w:space="0" w:color="auto"/>
            </w:tcBorders>
            <w:shd w:val="clear" w:color="auto" w:fill="auto"/>
            <w:vAlign w:val="center"/>
            <w:hideMark/>
          </w:tcPr>
          <w:p w14:paraId="0C6FEF9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LOKAL+ (TetraTech) + Group InterConsult</w:t>
            </w:r>
          </w:p>
        </w:tc>
        <w:tc>
          <w:tcPr>
            <w:tcW w:w="701" w:type="pct"/>
            <w:tcBorders>
              <w:top w:val="nil"/>
              <w:left w:val="nil"/>
              <w:bottom w:val="single" w:sz="4" w:space="0" w:color="auto"/>
              <w:right w:val="single" w:sz="4" w:space="0" w:color="auto"/>
            </w:tcBorders>
            <w:shd w:val="clear" w:color="auto" w:fill="auto"/>
            <w:vAlign w:val="center"/>
            <w:hideMark/>
          </w:tcPr>
          <w:p w14:paraId="3D479C8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6F638E3A" w14:textId="77777777" w:rsidTr="00F927A2">
        <w:trPr>
          <w:trHeight w:val="600"/>
        </w:trPr>
        <w:tc>
          <w:tcPr>
            <w:tcW w:w="445" w:type="pct"/>
            <w:vMerge/>
            <w:tcBorders>
              <w:top w:val="nil"/>
              <w:left w:val="single" w:sz="8" w:space="0" w:color="auto"/>
              <w:bottom w:val="single" w:sz="4" w:space="0" w:color="000000"/>
              <w:right w:val="single" w:sz="4" w:space="0" w:color="auto"/>
            </w:tcBorders>
            <w:vAlign w:val="center"/>
            <w:hideMark/>
          </w:tcPr>
          <w:p w14:paraId="32561C9C"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2C946577" w14:textId="77777777" w:rsidR="00F927A2" w:rsidRPr="00645A24" w:rsidRDefault="00F927A2" w:rsidP="00F927A2">
            <w:pPr>
              <w:jc w:val="left"/>
              <w:rPr>
                <w:rFonts w:ascii="Calibri" w:hAnsi="Calibri"/>
                <w:sz w:val="20"/>
              </w:rPr>
            </w:pPr>
          </w:p>
        </w:tc>
        <w:tc>
          <w:tcPr>
            <w:tcW w:w="626" w:type="pct"/>
            <w:vMerge/>
            <w:tcBorders>
              <w:top w:val="nil"/>
              <w:left w:val="single" w:sz="4" w:space="0" w:color="auto"/>
              <w:bottom w:val="single" w:sz="4" w:space="0" w:color="000000"/>
              <w:right w:val="single" w:sz="4" w:space="0" w:color="auto"/>
            </w:tcBorders>
            <w:vAlign w:val="center"/>
            <w:hideMark/>
          </w:tcPr>
          <w:p w14:paraId="54054312" w14:textId="77777777" w:rsidR="00F927A2" w:rsidRPr="00645A24" w:rsidRDefault="00F927A2" w:rsidP="00F927A2">
            <w:pPr>
              <w:jc w:val="left"/>
              <w:rPr>
                <w:rFonts w:ascii="Calibri" w:hAnsi="Calibri"/>
                <w:sz w:val="20"/>
              </w:rPr>
            </w:pPr>
          </w:p>
        </w:tc>
        <w:tc>
          <w:tcPr>
            <w:tcW w:w="625" w:type="pct"/>
            <w:tcBorders>
              <w:top w:val="nil"/>
              <w:left w:val="nil"/>
              <w:bottom w:val="single" w:sz="4" w:space="0" w:color="auto"/>
              <w:right w:val="single" w:sz="4" w:space="0" w:color="auto"/>
            </w:tcBorders>
            <w:shd w:val="clear" w:color="auto" w:fill="auto"/>
            <w:vAlign w:val="center"/>
            <w:hideMark/>
          </w:tcPr>
          <w:p w14:paraId="68EAF642" w14:textId="77777777" w:rsidR="00F927A2" w:rsidRPr="00645A24" w:rsidRDefault="00F927A2" w:rsidP="00F927A2">
            <w:pPr>
              <w:rPr>
                <w:rFonts w:ascii="Calibri" w:hAnsi="Calibri"/>
                <w:color w:val="000000"/>
                <w:sz w:val="20"/>
              </w:rPr>
            </w:pPr>
            <w:r w:rsidRPr="00645A24">
              <w:rPr>
                <w:rFonts w:ascii="Calibri" w:hAnsi="Calibri"/>
                <w:color w:val="000000"/>
                <w:sz w:val="20"/>
              </w:rPr>
              <w:t>Esquisse de plan d'urbanisme pour la ville</w:t>
            </w:r>
          </w:p>
        </w:tc>
        <w:tc>
          <w:tcPr>
            <w:tcW w:w="626" w:type="pct"/>
            <w:tcBorders>
              <w:top w:val="nil"/>
              <w:left w:val="nil"/>
              <w:bottom w:val="single" w:sz="4" w:space="0" w:color="auto"/>
              <w:right w:val="single" w:sz="4" w:space="0" w:color="auto"/>
            </w:tcBorders>
            <w:shd w:val="clear" w:color="auto" w:fill="auto"/>
            <w:vAlign w:val="center"/>
            <w:hideMark/>
          </w:tcPr>
          <w:p w14:paraId="18F6315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37CEED7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1879679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0487F8E1" w14:textId="77777777" w:rsidR="00F927A2" w:rsidRPr="00645A24" w:rsidRDefault="00F927A2" w:rsidP="00F927A2">
            <w:pPr>
              <w:jc w:val="center"/>
              <w:rPr>
                <w:rFonts w:ascii="Calibri" w:hAnsi="Calibri"/>
                <w:sz w:val="20"/>
              </w:rPr>
            </w:pPr>
            <w:r w:rsidRPr="00645A24">
              <w:rPr>
                <w:rFonts w:ascii="Calibri" w:hAnsi="Calibri"/>
                <w:sz w:val="20"/>
              </w:rPr>
              <w:t>FRH (PARLOQ)</w:t>
            </w:r>
          </w:p>
        </w:tc>
      </w:tr>
      <w:tr w:rsidR="00F927A2" w:rsidRPr="00645A24" w14:paraId="3D966E9D" w14:textId="77777777" w:rsidTr="00F927A2">
        <w:trPr>
          <w:trHeight w:val="600"/>
        </w:trPr>
        <w:tc>
          <w:tcPr>
            <w:tcW w:w="445" w:type="pct"/>
            <w:vMerge/>
            <w:tcBorders>
              <w:top w:val="nil"/>
              <w:left w:val="single" w:sz="8" w:space="0" w:color="auto"/>
              <w:bottom w:val="single" w:sz="4" w:space="0" w:color="000000"/>
              <w:right w:val="single" w:sz="4" w:space="0" w:color="auto"/>
            </w:tcBorders>
            <w:vAlign w:val="center"/>
            <w:hideMark/>
          </w:tcPr>
          <w:p w14:paraId="595433A4"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0E4DFC10"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60CBB15A" w14:textId="77777777" w:rsidR="00F927A2" w:rsidRPr="00645A24" w:rsidRDefault="00F927A2" w:rsidP="00F927A2">
            <w:pPr>
              <w:jc w:val="center"/>
              <w:rPr>
                <w:rFonts w:ascii="Calibri" w:hAnsi="Calibri"/>
                <w:sz w:val="20"/>
              </w:rPr>
            </w:pPr>
            <w:r w:rsidRPr="00645A24">
              <w:rPr>
                <w:rFonts w:ascii="Calibri" w:hAnsi="Calibri"/>
                <w:sz w:val="20"/>
              </w:rPr>
              <w:t>Plaine-du-Nord</w:t>
            </w:r>
          </w:p>
        </w:tc>
        <w:tc>
          <w:tcPr>
            <w:tcW w:w="625" w:type="pct"/>
            <w:tcBorders>
              <w:top w:val="nil"/>
              <w:left w:val="nil"/>
              <w:bottom w:val="single" w:sz="4" w:space="0" w:color="auto"/>
              <w:right w:val="single" w:sz="4" w:space="0" w:color="auto"/>
            </w:tcBorders>
            <w:shd w:val="clear" w:color="auto" w:fill="auto"/>
            <w:vAlign w:val="center"/>
            <w:hideMark/>
          </w:tcPr>
          <w:p w14:paraId="015FA4BD" w14:textId="77777777" w:rsidR="00F927A2" w:rsidRPr="00645A24" w:rsidRDefault="00F927A2" w:rsidP="00F927A2">
            <w:pPr>
              <w:rPr>
                <w:rFonts w:ascii="Calibri" w:hAnsi="Calibri"/>
                <w:color w:val="000000"/>
                <w:sz w:val="20"/>
              </w:rPr>
            </w:pPr>
            <w:r w:rsidRPr="00645A24">
              <w:rPr>
                <w:rFonts w:ascii="Calibri" w:hAnsi="Calibri"/>
                <w:color w:val="000000"/>
                <w:sz w:val="20"/>
              </w:rPr>
              <w:t>Esquisse de plan d'urbanisme pour la ville</w:t>
            </w:r>
          </w:p>
        </w:tc>
        <w:tc>
          <w:tcPr>
            <w:tcW w:w="626" w:type="pct"/>
            <w:tcBorders>
              <w:top w:val="nil"/>
              <w:left w:val="nil"/>
              <w:bottom w:val="single" w:sz="4" w:space="0" w:color="auto"/>
              <w:right w:val="single" w:sz="4" w:space="0" w:color="auto"/>
            </w:tcBorders>
            <w:shd w:val="clear" w:color="auto" w:fill="auto"/>
            <w:vAlign w:val="center"/>
            <w:hideMark/>
          </w:tcPr>
          <w:p w14:paraId="4D3F8E5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1A45B6B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7F7E83F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339A32AA" w14:textId="77777777" w:rsidR="00F927A2" w:rsidRPr="00645A24" w:rsidRDefault="00F927A2" w:rsidP="00F927A2">
            <w:pPr>
              <w:jc w:val="center"/>
              <w:rPr>
                <w:rFonts w:ascii="Calibri" w:hAnsi="Calibri"/>
                <w:sz w:val="20"/>
              </w:rPr>
            </w:pPr>
            <w:r w:rsidRPr="00645A24">
              <w:rPr>
                <w:rFonts w:ascii="Calibri" w:hAnsi="Calibri"/>
                <w:sz w:val="20"/>
              </w:rPr>
              <w:t>FRH (PARLOQ)</w:t>
            </w:r>
          </w:p>
        </w:tc>
      </w:tr>
      <w:tr w:rsidR="00F927A2" w:rsidRPr="00645A24" w14:paraId="40C7C14D" w14:textId="77777777" w:rsidTr="00F927A2">
        <w:trPr>
          <w:trHeight w:val="600"/>
        </w:trPr>
        <w:tc>
          <w:tcPr>
            <w:tcW w:w="445" w:type="pct"/>
            <w:vMerge/>
            <w:tcBorders>
              <w:top w:val="nil"/>
              <w:left w:val="single" w:sz="8" w:space="0" w:color="auto"/>
              <w:bottom w:val="single" w:sz="4" w:space="0" w:color="000000"/>
              <w:right w:val="single" w:sz="4" w:space="0" w:color="auto"/>
            </w:tcBorders>
            <w:vAlign w:val="center"/>
            <w:hideMark/>
          </w:tcPr>
          <w:p w14:paraId="4F1E421E"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56DB64DE"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39B98F09" w14:textId="77777777" w:rsidR="00F927A2" w:rsidRPr="00645A24" w:rsidRDefault="00F927A2" w:rsidP="00F927A2">
            <w:pPr>
              <w:jc w:val="center"/>
              <w:rPr>
                <w:rFonts w:ascii="Calibri" w:hAnsi="Calibri"/>
                <w:sz w:val="20"/>
              </w:rPr>
            </w:pPr>
            <w:r w:rsidRPr="00645A24">
              <w:rPr>
                <w:rFonts w:ascii="Calibri" w:hAnsi="Calibri"/>
                <w:sz w:val="20"/>
              </w:rPr>
              <w:t>Milot</w:t>
            </w:r>
          </w:p>
        </w:tc>
        <w:tc>
          <w:tcPr>
            <w:tcW w:w="625" w:type="pct"/>
            <w:tcBorders>
              <w:top w:val="nil"/>
              <w:left w:val="nil"/>
              <w:bottom w:val="single" w:sz="4" w:space="0" w:color="auto"/>
              <w:right w:val="single" w:sz="4" w:space="0" w:color="auto"/>
            </w:tcBorders>
            <w:shd w:val="clear" w:color="auto" w:fill="auto"/>
            <w:vAlign w:val="center"/>
            <w:hideMark/>
          </w:tcPr>
          <w:p w14:paraId="1EB125D0" w14:textId="77777777" w:rsidR="00F927A2" w:rsidRPr="00645A24" w:rsidRDefault="00F927A2" w:rsidP="00F927A2">
            <w:pPr>
              <w:rPr>
                <w:rFonts w:ascii="Calibri" w:hAnsi="Calibri"/>
                <w:color w:val="000000"/>
                <w:sz w:val="20"/>
              </w:rPr>
            </w:pPr>
            <w:r w:rsidRPr="00645A24">
              <w:rPr>
                <w:rFonts w:ascii="Calibri" w:hAnsi="Calibri"/>
                <w:color w:val="000000"/>
                <w:sz w:val="20"/>
              </w:rPr>
              <w:t>Esquisse de plan d'urbanisme pour la ville</w:t>
            </w:r>
          </w:p>
        </w:tc>
        <w:tc>
          <w:tcPr>
            <w:tcW w:w="626" w:type="pct"/>
            <w:tcBorders>
              <w:top w:val="nil"/>
              <w:left w:val="nil"/>
              <w:bottom w:val="single" w:sz="4" w:space="0" w:color="auto"/>
              <w:right w:val="single" w:sz="4" w:space="0" w:color="auto"/>
            </w:tcBorders>
            <w:shd w:val="clear" w:color="auto" w:fill="auto"/>
            <w:vAlign w:val="center"/>
            <w:hideMark/>
          </w:tcPr>
          <w:p w14:paraId="0D04525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79D87D4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2013</w:t>
            </w:r>
          </w:p>
        </w:tc>
        <w:tc>
          <w:tcPr>
            <w:tcW w:w="704" w:type="pct"/>
            <w:tcBorders>
              <w:top w:val="nil"/>
              <w:left w:val="nil"/>
              <w:bottom w:val="single" w:sz="4" w:space="0" w:color="auto"/>
              <w:right w:val="single" w:sz="4" w:space="0" w:color="auto"/>
            </w:tcBorders>
            <w:shd w:val="clear" w:color="auto" w:fill="auto"/>
            <w:vAlign w:val="center"/>
            <w:hideMark/>
          </w:tcPr>
          <w:p w14:paraId="014B995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IBI DAA</w:t>
            </w:r>
          </w:p>
        </w:tc>
        <w:tc>
          <w:tcPr>
            <w:tcW w:w="701" w:type="pct"/>
            <w:tcBorders>
              <w:top w:val="nil"/>
              <w:left w:val="nil"/>
              <w:bottom w:val="single" w:sz="4" w:space="0" w:color="auto"/>
              <w:right w:val="single" w:sz="4" w:space="0" w:color="auto"/>
            </w:tcBorders>
            <w:shd w:val="clear" w:color="auto" w:fill="auto"/>
            <w:vAlign w:val="center"/>
            <w:hideMark/>
          </w:tcPr>
          <w:p w14:paraId="4C465215" w14:textId="77777777" w:rsidR="00F927A2" w:rsidRPr="00645A24" w:rsidRDefault="00F927A2" w:rsidP="00F927A2">
            <w:pPr>
              <w:jc w:val="center"/>
              <w:rPr>
                <w:rFonts w:ascii="Calibri" w:hAnsi="Calibri"/>
                <w:sz w:val="20"/>
              </w:rPr>
            </w:pPr>
            <w:r w:rsidRPr="00645A24">
              <w:rPr>
                <w:rFonts w:ascii="Calibri" w:hAnsi="Calibri"/>
                <w:sz w:val="20"/>
              </w:rPr>
              <w:t>FRH (PARLOQ)</w:t>
            </w:r>
          </w:p>
        </w:tc>
      </w:tr>
      <w:tr w:rsidR="00F927A2" w:rsidRPr="00645A24" w14:paraId="34623B85"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4A4F8BD3"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B40A39" w14:textId="77777777" w:rsidR="00F927A2" w:rsidRPr="00645A24" w:rsidRDefault="00F927A2" w:rsidP="00F927A2">
            <w:pPr>
              <w:jc w:val="center"/>
              <w:rPr>
                <w:rFonts w:ascii="Calibri" w:hAnsi="Calibri"/>
                <w:sz w:val="20"/>
              </w:rPr>
            </w:pPr>
            <w:r w:rsidRPr="00645A24">
              <w:rPr>
                <w:rFonts w:ascii="Calibri" w:hAnsi="Calibri"/>
                <w:sz w:val="20"/>
              </w:rPr>
              <w:t>Borgne</w:t>
            </w:r>
          </w:p>
        </w:tc>
        <w:tc>
          <w:tcPr>
            <w:tcW w:w="626" w:type="pct"/>
            <w:tcBorders>
              <w:top w:val="nil"/>
              <w:left w:val="nil"/>
              <w:bottom w:val="single" w:sz="4" w:space="0" w:color="auto"/>
              <w:right w:val="single" w:sz="4" w:space="0" w:color="auto"/>
            </w:tcBorders>
            <w:shd w:val="clear" w:color="000000" w:fill="FFFFFF"/>
            <w:vAlign w:val="center"/>
            <w:hideMark/>
          </w:tcPr>
          <w:p w14:paraId="5DF90E1D" w14:textId="77777777" w:rsidR="00F927A2" w:rsidRPr="00645A24" w:rsidRDefault="00F927A2" w:rsidP="00F927A2">
            <w:pPr>
              <w:jc w:val="center"/>
              <w:rPr>
                <w:rFonts w:ascii="Calibri" w:hAnsi="Calibri"/>
                <w:sz w:val="20"/>
              </w:rPr>
            </w:pPr>
            <w:r w:rsidRPr="00645A24">
              <w:rPr>
                <w:rFonts w:ascii="Calibri" w:hAnsi="Calibri"/>
                <w:sz w:val="20"/>
              </w:rPr>
              <w:t>Borgne</w:t>
            </w:r>
          </w:p>
        </w:tc>
        <w:tc>
          <w:tcPr>
            <w:tcW w:w="625" w:type="pct"/>
            <w:tcBorders>
              <w:top w:val="nil"/>
              <w:left w:val="nil"/>
              <w:bottom w:val="single" w:sz="4" w:space="0" w:color="auto"/>
              <w:right w:val="single" w:sz="4" w:space="0" w:color="auto"/>
            </w:tcBorders>
            <w:shd w:val="thinReverseDiagStripe" w:color="000000" w:fill="auto"/>
            <w:vAlign w:val="center"/>
            <w:hideMark/>
          </w:tcPr>
          <w:p w14:paraId="369F4D78"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186BD3C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7BA760D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5F39F34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4D363A2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43DC01DC"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37922420"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7C80AC0C"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6F55530D" w14:textId="77777777" w:rsidR="00F927A2" w:rsidRPr="00645A24" w:rsidRDefault="00F927A2" w:rsidP="00F927A2">
            <w:pPr>
              <w:jc w:val="center"/>
              <w:rPr>
                <w:rFonts w:ascii="Calibri" w:hAnsi="Calibri"/>
                <w:sz w:val="20"/>
              </w:rPr>
            </w:pPr>
            <w:r w:rsidRPr="00645A24">
              <w:rPr>
                <w:rFonts w:ascii="Calibri" w:hAnsi="Calibri"/>
                <w:sz w:val="20"/>
              </w:rPr>
              <w:t>Port-Margot</w:t>
            </w:r>
          </w:p>
        </w:tc>
        <w:tc>
          <w:tcPr>
            <w:tcW w:w="625" w:type="pct"/>
            <w:tcBorders>
              <w:top w:val="nil"/>
              <w:left w:val="nil"/>
              <w:bottom w:val="single" w:sz="4" w:space="0" w:color="auto"/>
              <w:right w:val="single" w:sz="4" w:space="0" w:color="auto"/>
            </w:tcBorders>
            <w:shd w:val="thinReverseDiagStripe" w:color="000000" w:fill="auto"/>
            <w:vAlign w:val="center"/>
            <w:hideMark/>
          </w:tcPr>
          <w:p w14:paraId="375FFBF4"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78519E9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6E3D4C8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40AEFE2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1459609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1F089670" w14:textId="77777777" w:rsidTr="00F927A2">
        <w:trPr>
          <w:trHeight w:val="600"/>
        </w:trPr>
        <w:tc>
          <w:tcPr>
            <w:tcW w:w="445" w:type="pct"/>
            <w:vMerge/>
            <w:tcBorders>
              <w:top w:val="nil"/>
              <w:left w:val="single" w:sz="8" w:space="0" w:color="auto"/>
              <w:bottom w:val="single" w:sz="4" w:space="0" w:color="000000"/>
              <w:right w:val="single" w:sz="4" w:space="0" w:color="auto"/>
            </w:tcBorders>
            <w:vAlign w:val="center"/>
            <w:hideMark/>
          </w:tcPr>
          <w:p w14:paraId="6A402FCF"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3B76FEB4" w14:textId="77777777" w:rsidR="00F927A2" w:rsidRPr="00645A24" w:rsidRDefault="00F927A2" w:rsidP="00F927A2">
            <w:pPr>
              <w:jc w:val="center"/>
              <w:rPr>
                <w:rFonts w:ascii="Calibri" w:hAnsi="Calibri"/>
                <w:sz w:val="20"/>
              </w:rPr>
            </w:pPr>
            <w:r w:rsidRPr="00645A24">
              <w:rPr>
                <w:rFonts w:ascii="Calibri" w:hAnsi="Calibri"/>
                <w:sz w:val="20"/>
              </w:rPr>
              <w:t>Grande-Rivière-du-Nord</w:t>
            </w:r>
          </w:p>
        </w:tc>
        <w:tc>
          <w:tcPr>
            <w:tcW w:w="626" w:type="pct"/>
            <w:tcBorders>
              <w:top w:val="nil"/>
              <w:left w:val="nil"/>
              <w:bottom w:val="single" w:sz="4" w:space="0" w:color="auto"/>
              <w:right w:val="single" w:sz="4" w:space="0" w:color="auto"/>
            </w:tcBorders>
            <w:shd w:val="clear" w:color="000000" w:fill="FFFFFF"/>
            <w:vAlign w:val="center"/>
            <w:hideMark/>
          </w:tcPr>
          <w:p w14:paraId="5F160572" w14:textId="77777777" w:rsidR="00F927A2" w:rsidRPr="00645A24" w:rsidRDefault="00F927A2" w:rsidP="00F927A2">
            <w:pPr>
              <w:jc w:val="center"/>
              <w:rPr>
                <w:rFonts w:ascii="Calibri" w:hAnsi="Calibri"/>
                <w:sz w:val="20"/>
              </w:rPr>
            </w:pPr>
            <w:r w:rsidRPr="00645A24">
              <w:rPr>
                <w:rFonts w:ascii="Calibri" w:hAnsi="Calibri"/>
                <w:sz w:val="20"/>
              </w:rPr>
              <w:t>Grande-Rivière-du-Nord</w:t>
            </w:r>
          </w:p>
        </w:tc>
        <w:tc>
          <w:tcPr>
            <w:tcW w:w="625" w:type="pct"/>
            <w:tcBorders>
              <w:top w:val="nil"/>
              <w:left w:val="nil"/>
              <w:bottom w:val="single" w:sz="4" w:space="0" w:color="auto"/>
              <w:right w:val="single" w:sz="4" w:space="0" w:color="auto"/>
            </w:tcBorders>
            <w:shd w:val="thinReverseDiagStripe" w:color="000000" w:fill="auto"/>
            <w:vAlign w:val="center"/>
            <w:hideMark/>
          </w:tcPr>
          <w:p w14:paraId="6ADBE03F"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1036B81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1E401C4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1C8A6B5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05440F3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3CB7DDCF"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277FF7EB"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7356B2CE"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60169121" w14:textId="77777777" w:rsidR="00F927A2" w:rsidRPr="00645A24" w:rsidRDefault="00F927A2" w:rsidP="00F927A2">
            <w:pPr>
              <w:jc w:val="center"/>
              <w:rPr>
                <w:rFonts w:ascii="Calibri" w:hAnsi="Calibri"/>
                <w:sz w:val="20"/>
              </w:rPr>
            </w:pPr>
            <w:r w:rsidRPr="00645A24">
              <w:rPr>
                <w:rFonts w:ascii="Calibri" w:hAnsi="Calibri"/>
                <w:sz w:val="20"/>
              </w:rPr>
              <w:t>Bahon</w:t>
            </w:r>
          </w:p>
        </w:tc>
        <w:tc>
          <w:tcPr>
            <w:tcW w:w="625" w:type="pct"/>
            <w:tcBorders>
              <w:top w:val="nil"/>
              <w:left w:val="nil"/>
              <w:bottom w:val="single" w:sz="4" w:space="0" w:color="auto"/>
              <w:right w:val="single" w:sz="4" w:space="0" w:color="auto"/>
            </w:tcBorders>
            <w:shd w:val="thinReverseDiagStripe" w:color="000000" w:fill="auto"/>
            <w:vAlign w:val="center"/>
            <w:hideMark/>
          </w:tcPr>
          <w:p w14:paraId="5CCA8869"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60E013C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0F63F89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094461E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1F6D3C8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686F9389"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74C53513"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C9202CD" w14:textId="77777777" w:rsidR="00F927A2" w:rsidRPr="00645A24" w:rsidRDefault="00F927A2" w:rsidP="00F927A2">
            <w:pPr>
              <w:jc w:val="center"/>
              <w:rPr>
                <w:rFonts w:ascii="Calibri" w:hAnsi="Calibri"/>
                <w:sz w:val="20"/>
              </w:rPr>
            </w:pPr>
            <w:r w:rsidRPr="00645A24">
              <w:rPr>
                <w:rFonts w:ascii="Calibri" w:hAnsi="Calibri"/>
                <w:sz w:val="20"/>
              </w:rPr>
              <w:t>Limbé</w:t>
            </w:r>
          </w:p>
        </w:tc>
        <w:tc>
          <w:tcPr>
            <w:tcW w:w="626" w:type="pct"/>
            <w:tcBorders>
              <w:top w:val="nil"/>
              <w:left w:val="nil"/>
              <w:bottom w:val="single" w:sz="4" w:space="0" w:color="auto"/>
              <w:right w:val="single" w:sz="4" w:space="0" w:color="auto"/>
            </w:tcBorders>
            <w:shd w:val="clear" w:color="000000" w:fill="FFFFFF"/>
            <w:vAlign w:val="center"/>
            <w:hideMark/>
          </w:tcPr>
          <w:p w14:paraId="188257B4" w14:textId="77777777" w:rsidR="00F927A2" w:rsidRPr="00645A24" w:rsidRDefault="00F927A2" w:rsidP="00F927A2">
            <w:pPr>
              <w:jc w:val="center"/>
              <w:rPr>
                <w:rFonts w:ascii="Calibri" w:hAnsi="Calibri"/>
                <w:sz w:val="20"/>
              </w:rPr>
            </w:pPr>
            <w:r w:rsidRPr="00645A24">
              <w:rPr>
                <w:rFonts w:ascii="Calibri" w:hAnsi="Calibri"/>
                <w:sz w:val="20"/>
              </w:rPr>
              <w:t>Limbé</w:t>
            </w:r>
          </w:p>
        </w:tc>
        <w:tc>
          <w:tcPr>
            <w:tcW w:w="625" w:type="pct"/>
            <w:tcBorders>
              <w:top w:val="nil"/>
              <w:left w:val="nil"/>
              <w:bottom w:val="single" w:sz="4" w:space="0" w:color="auto"/>
              <w:right w:val="single" w:sz="4" w:space="0" w:color="auto"/>
            </w:tcBorders>
            <w:shd w:val="clear" w:color="auto" w:fill="auto"/>
            <w:vAlign w:val="center"/>
            <w:hideMark/>
          </w:tcPr>
          <w:p w14:paraId="5B6B5713"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3FF8671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3796D7F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2011</w:t>
            </w:r>
          </w:p>
        </w:tc>
        <w:tc>
          <w:tcPr>
            <w:tcW w:w="704" w:type="pct"/>
            <w:tcBorders>
              <w:top w:val="nil"/>
              <w:left w:val="nil"/>
              <w:bottom w:val="single" w:sz="4" w:space="0" w:color="auto"/>
              <w:right w:val="single" w:sz="4" w:space="0" w:color="auto"/>
            </w:tcBorders>
            <w:shd w:val="clear" w:color="auto" w:fill="auto"/>
            <w:vAlign w:val="center"/>
            <w:hideMark/>
          </w:tcPr>
          <w:p w14:paraId="30E8AC19"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LOKAL (TetraTech)</w:t>
            </w:r>
          </w:p>
        </w:tc>
        <w:tc>
          <w:tcPr>
            <w:tcW w:w="701" w:type="pct"/>
            <w:tcBorders>
              <w:top w:val="nil"/>
              <w:left w:val="nil"/>
              <w:bottom w:val="single" w:sz="4" w:space="0" w:color="auto"/>
              <w:right w:val="single" w:sz="4" w:space="0" w:color="auto"/>
            </w:tcBorders>
            <w:shd w:val="clear" w:color="auto" w:fill="auto"/>
            <w:vAlign w:val="center"/>
            <w:hideMark/>
          </w:tcPr>
          <w:p w14:paraId="691F14D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04F81072"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1B7BCC48"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7758B401"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20FE8001" w14:textId="77777777" w:rsidR="00F927A2" w:rsidRPr="00645A24" w:rsidRDefault="00F927A2" w:rsidP="00F927A2">
            <w:pPr>
              <w:jc w:val="center"/>
              <w:rPr>
                <w:rFonts w:ascii="Calibri" w:hAnsi="Calibri"/>
                <w:sz w:val="20"/>
              </w:rPr>
            </w:pPr>
            <w:r w:rsidRPr="00645A24">
              <w:rPr>
                <w:rFonts w:ascii="Calibri" w:hAnsi="Calibri"/>
                <w:sz w:val="20"/>
              </w:rPr>
              <w:t>Bas-Limbé</w:t>
            </w:r>
          </w:p>
        </w:tc>
        <w:tc>
          <w:tcPr>
            <w:tcW w:w="625" w:type="pct"/>
            <w:tcBorders>
              <w:top w:val="nil"/>
              <w:left w:val="nil"/>
              <w:bottom w:val="single" w:sz="4" w:space="0" w:color="auto"/>
              <w:right w:val="single" w:sz="4" w:space="0" w:color="auto"/>
            </w:tcBorders>
            <w:shd w:val="clear" w:color="auto" w:fill="auto"/>
            <w:vAlign w:val="center"/>
            <w:hideMark/>
          </w:tcPr>
          <w:p w14:paraId="5E8160BB"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2468D2E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646EDF9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2011</w:t>
            </w:r>
          </w:p>
        </w:tc>
        <w:tc>
          <w:tcPr>
            <w:tcW w:w="704" w:type="pct"/>
            <w:tcBorders>
              <w:top w:val="nil"/>
              <w:left w:val="nil"/>
              <w:bottom w:val="single" w:sz="4" w:space="0" w:color="auto"/>
              <w:right w:val="single" w:sz="4" w:space="0" w:color="auto"/>
            </w:tcBorders>
            <w:shd w:val="clear" w:color="auto" w:fill="auto"/>
            <w:vAlign w:val="center"/>
            <w:hideMark/>
          </w:tcPr>
          <w:p w14:paraId="0C85C775"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LOKAL (TetraTech)</w:t>
            </w:r>
          </w:p>
        </w:tc>
        <w:tc>
          <w:tcPr>
            <w:tcW w:w="701" w:type="pct"/>
            <w:tcBorders>
              <w:top w:val="nil"/>
              <w:left w:val="nil"/>
              <w:bottom w:val="single" w:sz="4" w:space="0" w:color="auto"/>
              <w:right w:val="single" w:sz="4" w:space="0" w:color="auto"/>
            </w:tcBorders>
            <w:shd w:val="clear" w:color="auto" w:fill="auto"/>
            <w:vAlign w:val="center"/>
            <w:hideMark/>
          </w:tcPr>
          <w:p w14:paraId="03418E2D"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USAID</w:t>
            </w:r>
          </w:p>
        </w:tc>
      </w:tr>
      <w:tr w:rsidR="00F927A2" w:rsidRPr="00645A24" w14:paraId="4AA26364"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3B9B8C74"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596820F6" w14:textId="77777777" w:rsidR="00F927A2" w:rsidRPr="00645A24" w:rsidRDefault="00F927A2" w:rsidP="00F927A2">
            <w:pPr>
              <w:jc w:val="center"/>
              <w:rPr>
                <w:rFonts w:ascii="Calibri" w:hAnsi="Calibri"/>
                <w:sz w:val="20"/>
              </w:rPr>
            </w:pPr>
            <w:r w:rsidRPr="00645A24">
              <w:rPr>
                <w:rFonts w:ascii="Calibri" w:hAnsi="Calibri"/>
                <w:sz w:val="20"/>
              </w:rPr>
              <w:t>Plaisance</w:t>
            </w:r>
          </w:p>
        </w:tc>
        <w:tc>
          <w:tcPr>
            <w:tcW w:w="626" w:type="pct"/>
            <w:tcBorders>
              <w:top w:val="nil"/>
              <w:left w:val="nil"/>
              <w:bottom w:val="single" w:sz="4" w:space="0" w:color="auto"/>
              <w:right w:val="single" w:sz="4" w:space="0" w:color="auto"/>
            </w:tcBorders>
            <w:shd w:val="clear" w:color="000000" w:fill="FFFFFF"/>
            <w:vAlign w:val="center"/>
            <w:hideMark/>
          </w:tcPr>
          <w:p w14:paraId="0AC55E54" w14:textId="77777777" w:rsidR="00F927A2" w:rsidRPr="00645A24" w:rsidRDefault="00F927A2" w:rsidP="00F927A2">
            <w:pPr>
              <w:jc w:val="center"/>
              <w:rPr>
                <w:rFonts w:ascii="Calibri" w:hAnsi="Calibri"/>
                <w:sz w:val="20"/>
              </w:rPr>
            </w:pPr>
            <w:r w:rsidRPr="00645A24">
              <w:rPr>
                <w:rFonts w:ascii="Calibri" w:hAnsi="Calibri"/>
                <w:sz w:val="20"/>
              </w:rPr>
              <w:t>Plaisance</w:t>
            </w:r>
          </w:p>
        </w:tc>
        <w:tc>
          <w:tcPr>
            <w:tcW w:w="625" w:type="pct"/>
            <w:tcBorders>
              <w:top w:val="nil"/>
              <w:left w:val="nil"/>
              <w:bottom w:val="single" w:sz="4" w:space="0" w:color="auto"/>
              <w:right w:val="single" w:sz="4" w:space="0" w:color="auto"/>
            </w:tcBorders>
            <w:shd w:val="clear" w:color="auto" w:fill="auto"/>
            <w:vAlign w:val="center"/>
            <w:hideMark/>
          </w:tcPr>
          <w:p w14:paraId="50C071A4"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01D4721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4E2A1AE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4056C006"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5B11882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r>
      <w:tr w:rsidR="00F927A2" w:rsidRPr="00645A24" w14:paraId="1A2A71A2"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52CBD7E2"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7125C9CC"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51BB8900" w14:textId="77777777" w:rsidR="00F927A2" w:rsidRPr="00645A24" w:rsidRDefault="00F927A2" w:rsidP="00F927A2">
            <w:pPr>
              <w:jc w:val="center"/>
              <w:rPr>
                <w:rFonts w:ascii="Calibri" w:hAnsi="Calibri"/>
                <w:sz w:val="20"/>
              </w:rPr>
            </w:pPr>
            <w:r w:rsidRPr="00645A24">
              <w:rPr>
                <w:rFonts w:ascii="Calibri" w:hAnsi="Calibri"/>
                <w:sz w:val="20"/>
              </w:rPr>
              <w:t>Pilate</w:t>
            </w:r>
          </w:p>
        </w:tc>
        <w:tc>
          <w:tcPr>
            <w:tcW w:w="625" w:type="pct"/>
            <w:tcBorders>
              <w:top w:val="nil"/>
              <w:left w:val="nil"/>
              <w:bottom w:val="single" w:sz="4" w:space="0" w:color="auto"/>
              <w:right w:val="single" w:sz="4" w:space="0" w:color="auto"/>
            </w:tcBorders>
            <w:shd w:val="clear" w:color="auto" w:fill="auto"/>
            <w:vAlign w:val="center"/>
            <w:hideMark/>
          </w:tcPr>
          <w:p w14:paraId="2283A270"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2EFB699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7E0DD96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745B578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6F39DEEF"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r>
      <w:tr w:rsidR="00F927A2" w:rsidRPr="00645A24" w14:paraId="1F9EFEAA"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69562299" w14:textId="77777777" w:rsidR="00F927A2" w:rsidRPr="00645A24" w:rsidRDefault="00F927A2" w:rsidP="00F927A2">
            <w:pPr>
              <w:jc w:val="left"/>
              <w:rPr>
                <w:rFonts w:ascii="Calibri" w:hAnsi="Calibri"/>
                <w:sz w:val="20"/>
              </w:rPr>
            </w:pP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87A441D" w14:textId="77777777" w:rsidR="00F927A2" w:rsidRPr="00645A24" w:rsidRDefault="00F927A2" w:rsidP="00F927A2">
            <w:pPr>
              <w:jc w:val="center"/>
              <w:rPr>
                <w:rFonts w:ascii="Calibri" w:hAnsi="Calibri"/>
                <w:sz w:val="20"/>
              </w:rPr>
            </w:pPr>
            <w:r w:rsidRPr="00645A24">
              <w:rPr>
                <w:rFonts w:ascii="Calibri" w:hAnsi="Calibri"/>
                <w:sz w:val="20"/>
              </w:rPr>
              <w:t>Saint-Raphaël</w:t>
            </w:r>
          </w:p>
        </w:tc>
        <w:tc>
          <w:tcPr>
            <w:tcW w:w="626" w:type="pct"/>
            <w:tcBorders>
              <w:top w:val="nil"/>
              <w:left w:val="nil"/>
              <w:bottom w:val="single" w:sz="4" w:space="0" w:color="auto"/>
              <w:right w:val="single" w:sz="4" w:space="0" w:color="auto"/>
            </w:tcBorders>
            <w:shd w:val="clear" w:color="000000" w:fill="FFFFFF"/>
            <w:vAlign w:val="center"/>
            <w:hideMark/>
          </w:tcPr>
          <w:p w14:paraId="7593E207" w14:textId="77777777" w:rsidR="00F927A2" w:rsidRPr="00645A24" w:rsidRDefault="00F927A2" w:rsidP="00F927A2">
            <w:pPr>
              <w:jc w:val="center"/>
              <w:rPr>
                <w:rFonts w:ascii="Calibri" w:hAnsi="Calibri"/>
                <w:sz w:val="20"/>
              </w:rPr>
            </w:pPr>
            <w:r w:rsidRPr="00645A24">
              <w:rPr>
                <w:rFonts w:ascii="Calibri" w:hAnsi="Calibri"/>
                <w:sz w:val="20"/>
              </w:rPr>
              <w:t>Dondon</w:t>
            </w:r>
          </w:p>
        </w:tc>
        <w:tc>
          <w:tcPr>
            <w:tcW w:w="625" w:type="pct"/>
            <w:tcBorders>
              <w:top w:val="nil"/>
              <w:left w:val="nil"/>
              <w:bottom w:val="single" w:sz="4" w:space="0" w:color="auto"/>
              <w:right w:val="single" w:sz="4" w:space="0" w:color="auto"/>
            </w:tcBorders>
            <w:shd w:val="thinReverseDiagStripe" w:color="000000" w:fill="auto"/>
            <w:vAlign w:val="center"/>
            <w:hideMark/>
          </w:tcPr>
          <w:p w14:paraId="45530A0C"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1DB55098"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4FE18FB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1B5337A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628B934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17601371" w14:textId="77777777" w:rsidTr="00F927A2">
        <w:trPr>
          <w:trHeight w:val="1500"/>
        </w:trPr>
        <w:tc>
          <w:tcPr>
            <w:tcW w:w="445" w:type="pct"/>
            <w:vMerge/>
            <w:tcBorders>
              <w:top w:val="nil"/>
              <w:left w:val="single" w:sz="8" w:space="0" w:color="auto"/>
              <w:bottom w:val="single" w:sz="4" w:space="0" w:color="000000"/>
              <w:right w:val="single" w:sz="4" w:space="0" w:color="auto"/>
            </w:tcBorders>
            <w:vAlign w:val="center"/>
            <w:hideMark/>
          </w:tcPr>
          <w:p w14:paraId="319C85BE"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5CC39686"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auto" w:fill="auto"/>
            <w:vAlign w:val="center"/>
            <w:hideMark/>
          </w:tcPr>
          <w:p w14:paraId="56727DFA" w14:textId="77777777" w:rsidR="00F927A2" w:rsidRPr="00645A24" w:rsidRDefault="00F927A2" w:rsidP="00F927A2">
            <w:pPr>
              <w:jc w:val="center"/>
              <w:rPr>
                <w:rFonts w:ascii="Calibri" w:hAnsi="Calibri"/>
                <w:sz w:val="20"/>
              </w:rPr>
            </w:pPr>
            <w:r w:rsidRPr="00645A24">
              <w:rPr>
                <w:rFonts w:ascii="Calibri" w:hAnsi="Calibri"/>
                <w:sz w:val="20"/>
              </w:rPr>
              <w:t>Saint-Raphaël</w:t>
            </w:r>
          </w:p>
        </w:tc>
        <w:tc>
          <w:tcPr>
            <w:tcW w:w="625" w:type="pct"/>
            <w:tcBorders>
              <w:top w:val="nil"/>
              <w:left w:val="nil"/>
              <w:bottom w:val="single" w:sz="4" w:space="0" w:color="auto"/>
              <w:right w:val="single" w:sz="4" w:space="0" w:color="auto"/>
            </w:tcBorders>
            <w:shd w:val="clear" w:color="auto" w:fill="auto"/>
            <w:vAlign w:val="center"/>
            <w:hideMark/>
          </w:tcPr>
          <w:p w14:paraId="0157BDDC" w14:textId="77777777" w:rsidR="00F927A2" w:rsidRPr="00645A24" w:rsidRDefault="00F927A2" w:rsidP="00F927A2">
            <w:pPr>
              <w:rPr>
                <w:rFonts w:ascii="Calibri" w:hAnsi="Calibri"/>
                <w:color w:val="000000"/>
                <w:sz w:val="20"/>
              </w:rPr>
            </w:pPr>
            <w:r w:rsidRPr="00645A24">
              <w:rPr>
                <w:rFonts w:ascii="Calibri" w:hAnsi="Calibri"/>
                <w:color w:val="000000"/>
                <w:sz w:val="20"/>
              </w:rPr>
              <w:t>Plan d’Aménagement,</w:t>
            </w:r>
            <w:r w:rsidRPr="00645A24">
              <w:rPr>
                <w:rFonts w:ascii="Calibri" w:hAnsi="Calibri"/>
                <w:color w:val="000000"/>
                <w:sz w:val="20"/>
              </w:rPr>
              <w:br/>
              <w:t xml:space="preserve">d’Embellissement et d’Extension de la Ville (PAEEV) </w:t>
            </w:r>
            <w:r w:rsidRPr="00645A24">
              <w:rPr>
                <w:rFonts w:ascii="Calibri" w:hAnsi="Calibri"/>
                <w:color w:val="000000"/>
                <w:sz w:val="20"/>
              </w:rPr>
              <w:br/>
              <w:t>+ Plan programme pluriannuel d’investissement</w:t>
            </w:r>
          </w:p>
        </w:tc>
        <w:tc>
          <w:tcPr>
            <w:tcW w:w="626" w:type="pct"/>
            <w:tcBorders>
              <w:top w:val="nil"/>
              <w:left w:val="nil"/>
              <w:bottom w:val="single" w:sz="4" w:space="0" w:color="auto"/>
              <w:right w:val="single" w:sz="4" w:space="0" w:color="auto"/>
            </w:tcBorders>
            <w:shd w:val="clear" w:color="auto" w:fill="auto"/>
            <w:vAlign w:val="center"/>
            <w:hideMark/>
          </w:tcPr>
          <w:p w14:paraId="1E1B52D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Marché en cours d'attribution</w:t>
            </w:r>
          </w:p>
        </w:tc>
        <w:tc>
          <w:tcPr>
            <w:tcW w:w="625" w:type="pct"/>
            <w:tcBorders>
              <w:top w:val="nil"/>
              <w:left w:val="nil"/>
              <w:bottom w:val="single" w:sz="4" w:space="0" w:color="auto"/>
              <w:right w:val="single" w:sz="4" w:space="0" w:color="auto"/>
            </w:tcBorders>
            <w:shd w:val="clear" w:color="auto" w:fill="auto"/>
            <w:vAlign w:val="center"/>
            <w:hideMark/>
          </w:tcPr>
          <w:p w14:paraId="19454172"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2016</w:t>
            </w:r>
          </w:p>
        </w:tc>
        <w:tc>
          <w:tcPr>
            <w:tcW w:w="704" w:type="pct"/>
            <w:tcBorders>
              <w:top w:val="nil"/>
              <w:left w:val="nil"/>
              <w:bottom w:val="single" w:sz="4" w:space="0" w:color="auto"/>
              <w:right w:val="single" w:sz="4" w:space="0" w:color="auto"/>
            </w:tcBorders>
            <w:shd w:val="clear" w:color="auto" w:fill="auto"/>
            <w:vAlign w:val="center"/>
            <w:hideMark/>
          </w:tcPr>
          <w:p w14:paraId="10EC7AC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c>
          <w:tcPr>
            <w:tcW w:w="701" w:type="pct"/>
            <w:tcBorders>
              <w:top w:val="nil"/>
              <w:left w:val="nil"/>
              <w:bottom w:val="single" w:sz="4" w:space="0" w:color="auto"/>
              <w:right w:val="single" w:sz="4" w:space="0" w:color="auto"/>
            </w:tcBorders>
            <w:shd w:val="clear" w:color="auto" w:fill="auto"/>
            <w:vAlign w:val="center"/>
            <w:hideMark/>
          </w:tcPr>
          <w:p w14:paraId="5B2E397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Banque Mondiale</w:t>
            </w:r>
          </w:p>
        </w:tc>
      </w:tr>
      <w:tr w:rsidR="00F927A2" w:rsidRPr="00645A24" w14:paraId="22411D02"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5BD6997C"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52CB162B"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541E4D95" w14:textId="77777777" w:rsidR="00F927A2" w:rsidRPr="00645A24" w:rsidRDefault="00F927A2" w:rsidP="00F927A2">
            <w:pPr>
              <w:jc w:val="center"/>
              <w:rPr>
                <w:rFonts w:ascii="Calibri" w:hAnsi="Calibri"/>
                <w:sz w:val="20"/>
              </w:rPr>
            </w:pPr>
            <w:r w:rsidRPr="00645A24">
              <w:rPr>
                <w:rFonts w:ascii="Calibri" w:hAnsi="Calibri"/>
                <w:sz w:val="20"/>
              </w:rPr>
              <w:t>Ranquitte</w:t>
            </w:r>
          </w:p>
        </w:tc>
        <w:tc>
          <w:tcPr>
            <w:tcW w:w="625" w:type="pct"/>
            <w:tcBorders>
              <w:top w:val="nil"/>
              <w:left w:val="nil"/>
              <w:bottom w:val="single" w:sz="4" w:space="0" w:color="auto"/>
              <w:right w:val="single" w:sz="4" w:space="0" w:color="auto"/>
            </w:tcBorders>
            <w:shd w:val="clear" w:color="auto" w:fill="auto"/>
            <w:vAlign w:val="center"/>
            <w:hideMark/>
          </w:tcPr>
          <w:p w14:paraId="29931E6E" w14:textId="77777777" w:rsidR="00F927A2" w:rsidRPr="00645A24" w:rsidRDefault="00F927A2" w:rsidP="00F927A2">
            <w:pPr>
              <w:rPr>
                <w:rFonts w:ascii="Calibri" w:hAnsi="Calibri"/>
                <w:color w:val="000000"/>
                <w:sz w:val="20"/>
              </w:rPr>
            </w:pPr>
            <w:r w:rsidRPr="00645A24">
              <w:rPr>
                <w:rFonts w:ascii="Calibri" w:hAnsi="Calibri"/>
                <w:color w:val="000000"/>
                <w:sz w:val="20"/>
              </w:rPr>
              <w:t>Plan communal de développement</w:t>
            </w:r>
          </w:p>
        </w:tc>
        <w:tc>
          <w:tcPr>
            <w:tcW w:w="626" w:type="pct"/>
            <w:tcBorders>
              <w:top w:val="nil"/>
              <w:left w:val="nil"/>
              <w:bottom w:val="single" w:sz="4" w:space="0" w:color="auto"/>
              <w:right w:val="single" w:sz="4" w:space="0" w:color="auto"/>
            </w:tcBorders>
            <w:shd w:val="clear" w:color="auto" w:fill="auto"/>
            <w:vAlign w:val="center"/>
            <w:hideMark/>
          </w:tcPr>
          <w:p w14:paraId="0C03188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Validé</w:t>
            </w:r>
          </w:p>
        </w:tc>
        <w:tc>
          <w:tcPr>
            <w:tcW w:w="625" w:type="pct"/>
            <w:tcBorders>
              <w:top w:val="nil"/>
              <w:left w:val="nil"/>
              <w:bottom w:val="single" w:sz="4" w:space="0" w:color="auto"/>
              <w:right w:val="single" w:sz="4" w:space="0" w:color="auto"/>
            </w:tcBorders>
            <w:shd w:val="clear" w:color="auto" w:fill="auto"/>
            <w:vAlign w:val="center"/>
            <w:hideMark/>
          </w:tcPr>
          <w:p w14:paraId="6DD0160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post 2012</w:t>
            </w:r>
          </w:p>
        </w:tc>
        <w:tc>
          <w:tcPr>
            <w:tcW w:w="704" w:type="pct"/>
            <w:tcBorders>
              <w:top w:val="nil"/>
              <w:left w:val="nil"/>
              <w:bottom w:val="single" w:sz="4" w:space="0" w:color="auto"/>
              <w:right w:val="single" w:sz="4" w:space="0" w:color="auto"/>
            </w:tcBorders>
            <w:shd w:val="clear" w:color="auto" w:fill="auto"/>
            <w:vAlign w:val="center"/>
            <w:hideMark/>
          </w:tcPr>
          <w:p w14:paraId="62EB0754"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CECI</w:t>
            </w:r>
          </w:p>
        </w:tc>
        <w:tc>
          <w:tcPr>
            <w:tcW w:w="701" w:type="pct"/>
            <w:tcBorders>
              <w:top w:val="nil"/>
              <w:left w:val="nil"/>
              <w:bottom w:val="single" w:sz="4" w:space="0" w:color="auto"/>
              <w:right w:val="single" w:sz="4" w:space="0" w:color="auto"/>
            </w:tcBorders>
            <w:shd w:val="clear" w:color="auto" w:fill="auto"/>
            <w:vAlign w:val="center"/>
            <w:hideMark/>
          </w:tcPr>
          <w:p w14:paraId="6D84FF40"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w:t>
            </w:r>
          </w:p>
        </w:tc>
      </w:tr>
      <w:tr w:rsidR="00F927A2" w:rsidRPr="00645A24" w14:paraId="3D5BE6FC"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370298CA"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79AC46A9"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611FB3F5" w14:textId="77777777" w:rsidR="00F927A2" w:rsidRPr="00645A24" w:rsidRDefault="00F927A2" w:rsidP="00F927A2">
            <w:pPr>
              <w:jc w:val="center"/>
              <w:rPr>
                <w:rFonts w:ascii="Calibri" w:hAnsi="Calibri"/>
                <w:sz w:val="20"/>
              </w:rPr>
            </w:pPr>
            <w:r w:rsidRPr="00645A24">
              <w:rPr>
                <w:rFonts w:ascii="Calibri" w:hAnsi="Calibri"/>
                <w:sz w:val="20"/>
              </w:rPr>
              <w:t>Pignon</w:t>
            </w:r>
          </w:p>
        </w:tc>
        <w:tc>
          <w:tcPr>
            <w:tcW w:w="625" w:type="pct"/>
            <w:tcBorders>
              <w:top w:val="nil"/>
              <w:left w:val="nil"/>
              <w:bottom w:val="single" w:sz="4" w:space="0" w:color="auto"/>
              <w:right w:val="single" w:sz="4" w:space="0" w:color="auto"/>
            </w:tcBorders>
            <w:shd w:val="thinReverseDiagStripe" w:color="000000" w:fill="auto"/>
            <w:vAlign w:val="center"/>
            <w:hideMark/>
          </w:tcPr>
          <w:p w14:paraId="1847B3DE"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11CC1AC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5E2BF093"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56B91EA7"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16D9D20C"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r w:rsidR="00F927A2" w:rsidRPr="00645A24" w14:paraId="56C2F761" w14:textId="77777777" w:rsidTr="00F927A2">
        <w:trPr>
          <w:trHeight w:val="300"/>
        </w:trPr>
        <w:tc>
          <w:tcPr>
            <w:tcW w:w="445" w:type="pct"/>
            <w:vMerge/>
            <w:tcBorders>
              <w:top w:val="nil"/>
              <w:left w:val="single" w:sz="8" w:space="0" w:color="auto"/>
              <w:bottom w:val="single" w:sz="4" w:space="0" w:color="000000"/>
              <w:right w:val="single" w:sz="4" w:space="0" w:color="auto"/>
            </w:tcBorders>
            <w:vAlign w:val="center"/>
            <w:hideMark/>
          </w:tcPr>
          <w:p w14:paraId="09B9161C" w14:textId="77777777" w:rsidR="00F927A2" w:rsidRPr="00645A24" w:rsidRDefault="00F927A2" w:rsidP="00F927A2">
            <w:pPr>
              <w:jc w:val="left"/>
              <w:rPr>
                <w:rFonts w:ascii="Calibri" w:hAnsi="Calibri"/>
                <w:sz w:val="20"/>
              </w:rPr>
            </w:pPr>
          </w:p>
        </w:tc>
        <w:tc>
          <w:tcPr>
            <w:tcW w:w="648" w:type="pct"/>
            <w:vMerge/>
            <w:tcBorders>
              <w:top w:val="nil"/>
              <w:left w:val="single" w:sz="4" w:space="0" w:color="auto"/>
              <w:bottom w:val="single" w:sz="4" w:space="0" w:color="auto"/>
              <w:right w:val="single" w:sz="4" w:space="0" w:color="auto"/>
            </w:tcBorders>
            <w:vAlign w:val="center"/>
            <w:hideMark/>
          </w:tcPr>
          <w:p w14:paraId="1C91EB5E" w14:textId="77777777" w:rsidR="00F927A2" w:rsidRPr="00645A24" w:rsidRDefault="00F927A2" w:rsidP="00F927A2">
            <w:pPr>
              <w:jc w:val="left"/>
              <w:rPr>
                <w:rFonts w:ascii="Calibri" w:hAnsi="Calibri"/>
                <w:sz w:val="20"/>
              </w:rPr>
            </w:pPr>
          </w:p>
        </w:tc>
        <w:tc>
          <w:tcPr>
            <w:tcW w:w="626" w:type="pct"/>
            <w:tcBorders>
              <w:top w:val="nil"/>
              <w:left w:val="nil"/>
              <w:bottom w:val="single" w:sz="4" w:space="0" w:color="auto"/>
              <w:right w:val="single" w:sz="4" w:space="0" w:color="auto"/>
            </w:tcBorders>
            <w:shd w:val="clear" w:color="000000" w:fill="FFFFFF"/>
            <w:vAlign w:val="center"/>
            <w:hideMark/>
          </w:tcPr>
          <w:p w14:paraId="24FF3BA8" w14:textId="77777777" w:rsidR="00F927A2" w:rsidRPr="00645A24" w:rsidRDefault="00F927A2" w:rsidP="00F927A2">
            <w:pPr>
              <w:jc w:val="center"/>
              <w:rPr>
                <w:rFonts w:ascii="Calibri" w:hAnsi="Calibri"/>
                <w:sz w:val="20"/>
              </w:rPr>
            </w:pPr>
            <w:r w:rsidRPr="00645A24">
              <w:rPr>
                <w:rFonts w:ascii="Calibri" w:hAnsi="Calibri"/>
                <w:sz w:val="20"/>
              </w:rPr>
              <w:t>La Victoire</w:t>
            </w:r>
          </w:p>
        </w:tc>
        <w:tc>
          <w:tcPr>
            <w:tcW w:w="625" w:type="pct"/>
            <w:tcBorders>
              <w:top w:val="nil"/>
              <w:left w:val="nil"/>
              <w:bottom w:val="single" w:sz="4" w:space="0" w:color="auto"/>
              <w:right w:val="single" w:sz="4" w:space="0" w:color="auto"/>
            </w:tcBorders>
            <w:shd w:val="thinReverseDiagStripe" w:color="000000" w:fill="auto"/>
            <w:vAlign w:val="center"/>
            <w:hideMark/>
          </w:tcPr>
          <w:p w14:paraId="6EA072F2" w14:textId="77777777" w:rsidR="00F927A2" w:rsidRPr="00645A24" w:rsidRDefault="00F927A2" w:rsidP="00F927A2">
            <w:pPr>
              <w:rPr>
                <w:rFonts w:ascii="Calibri" w:hAnsi="Calibri"/>
                <w:color w:val="000000"/>
                <w:sz w:val="20"/>
              </w:rPr>
            </w:pPr>
            <w:r w:rsidRPr="00645A24">
              <w:rPr>
                <w:rFonts w:ascii="Calibri" w:hAnsi="Calibri"/>
                <w:color w:val="000000"/>
                <w:sz w:val="20"/>
              </w:rPr>
              <w:t> </w:t>
            </w:r>
          </w:p>
        </w:tc>
        <w:tc>
          <w:tcPr>
            <w:tcW w:w="626" w:type="pct"/>
            <w:tcBorders>
              <w:top w:val="nil"/>
              <w:left w:val="nil"/>
              <w:bottom w:val="single" w:sz="4" w:space="0" w:color="auto"/>
              <w:right w:val="single" w:sz="4" w:space="0" w:color="auto"/>
            </w:tcBorders>
            <w:shd w:val="thinReverseDiagStripe" w:color="000000" w:fill="auto"/>
            <w:vAlign w:val="center"/>
            <w:hideMark/>
          </w:tcPr>
          <w:p w14:paraId="1C66A2BB"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625" w:type="pct"/>
            <w:tcBorders>
              <w:top w:val="nil"/>
              <w:left w:val="nil"/>
              <w:bottom w:val="single" w:sz="4" w:space="0" w:color="auto"/>
              <w:right w:val="single" w:sz="4" w:space="0" w:color="auto"/>
            </w:tcBorders>
            <w:shd w:val="thinReverseDiagStripe" w:color="000000" w:fill="auto"/>
            <w:vAlign w:val="center"/>
            <w:hideMark/>
          </w:tcPr>
          <w:p w14:paraId="287D9A4E"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4" w:type="pct"/>
            <w:tcBorders>
              <w:top w:val="nil"/>
              <w:left w:val="nil"/>
              <w:bottom w:val="single" w:sz="4" w:space="0" w:color="auto"/>
              <w:right w:val="single" w:sz="4" w:space="0" w:color="auto"/>
            </w:tcBorders>
            <w:shd w:val="thinReverseDiagStripe" w:color="000000" w:fill="auto"/>
            <w:vAlign w:val="center"/>
            <w:hideMark/>
          </w:tcPr>
          <w:p w14:paraId="759568EA"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c>
          <w:tcPr>
            <w:tcW w:w="701" w:type="pct"/>
            <w:tcBorders>
              <w:top w:val="nil"/>
              <w:left w:val="nil"/>
              <w:bottom w:val="single" w:sz="4" w:space="0" w:color="auto"/>
              <w:right w:val="single" w:sz="4" w:space="0" w:color="auto"/>
            </w:tcBorders>
            <w:shd w:val="thinReverseDiagStripe" w:color="000000" w:fill="auto"/>
            <w:vAlign w:val="center"/>
            <w:hideMark/>
          </w:tcPr>
          <w:p w14:paraId="7FE6DD41" w14:textId="77777777" w:rsidR="00F927A2" w:rsidRPr="00645A24" w:rsidRDefault="00F927A2" w:rsidP="00F927A2">
            <w:pPr>
              <w:jc w:val="center"/>
              <w:rPr>
                <w:rFonts w:ascii="Calibri" w:hAnsi="Calibri"/>
                <w:color w:val="000000"/>
                <w:sz w:val="20"/>
              </w:rPr>
            </w:pPr>
            <w:r w:rsidRPr="00645A24">
              <w:rPr>
                <w:rFonts w:ascii="Calibri" w:hAnsi="Calibri"/>
                <w:color w:val="000000"/>
                <w:sz w:val="20"/>
              </w:rPr>
              <w:t> </w:t>
            </w:r>
          </w:p>
        </w:tc>
      </w:tr>
    </w:tbl>
    <w:p w14:paraId="10992C51" w14:textId="77777777" w:rsidR="00F927A2" w:rsidRPr="00B516A7" w:rsidRDefault="00F927A2" w:rsidP="00F927A2"/>
    <w:p w14:paraId="5F45DE5D" w14:textId="77777777" w:rsidR="00F927A2" w:rsidRDefault="00F927A2" w:rsidP="00F927A2">
      <w:pPr>
        <w:pStyle w:val="Heading3"/>
        <w:pageBreakBefore/>
        <w:numPr>
          <w:ilvl w:val="0"/>
          <w:numId w:val="0"/>
        </w:numPr>
        <w:ind w:left="851" w:hanging="851"/>
      </w:pPr>
      <w:bookmarkStart w:id="46" w:name="_Toc468189956"/>
      <w:r>
        <w:t>Annexe 2 : L’observatoire des services et du Patrimoine urbains de Nouakchott</w:t>
      </w:r>
      <w:bookmarkEnd w:id="46"/>
    </w:p>
    <w:p w14:paraId="167085CE" w14:textId="77777777" w:rsidR="00F927A2" w:rsidRDefault="00F927A2" w:rsidP="00F927A2">
      <w:r>
        <w:t xml:space="preserve">L’observatoire des services et du Patrimoine urbains de Nouakchott a été mis en place avec un appui dans un premier temps du GRET puis de la coopération française. </w:t>
      </w:r>
    </w:p>
    <w:p w14:paraId="75C9F883" w14:textId="77777777" w:rsidR="00F927A2" w:rsidRDefault="00F927A2" w:rsidP="00F927A2">
      <w:r>
        <w:t>Il a été mis en place au sein de la Communauté urbaine de Nouakchott (CUN) par arrêté et les agents travaillant pour la cellule technique ont été nommés par note de service. Le dispositif étant limité à la communauté urbaine, le cadre légal est donc relativement facile à mettre en place d’un point de vue légal et juridique.</w:t>
      </w:r>
    </w:p>
    <w:p w14:paraId="604FC122" w14:textId="116D7A39" w:rsidR="00F927A2" w:rsidRDefault="00F927A2" w:rsidP="00F927A2">
      <w:r w:rsidRPr="00404FC6">
        <w:rPr>
          <w:b/>
        </w:rPr>
        <w:t>Personne ressource</w:t>
      </w:r>
      <w:r>
        <w:t xml:space="preserve"> : </w:t>
      </w:r>
      <w:r w:rsidRPr="00D658D4">
        <w:t xml:space="preserve">Cheikh Tijani o/ Cheikh Mohamedou, ancien membre de l'équipe GRET qui a poursuivi ensuite en tant que personnel de la Communauté Urbaine de Nouakchott. Il dispose de toute la mémoire du projet de BDU/observatoire : </w:t>
      </w:r>
      <w:hyperlink r:id="rId40" w:history="1">
        <w:r w:rsidRPr="00714EBD">
          <w:rPr>
            <w:rStyle w:val="Hyperlink"/>
          </w:rPr>
          <w:t>tijani_yeye@yahoo.fr</w:t>
        </w:r>
      </w:hyperlink>
      <w:r>
        <w:t xml:space="preserve"> </w:t>
      </w:r>
    </w:p>
    <w:p w14:paraId="6EB125D1" w14:textId="77777777" w:rsidR="00F927A2" w:rsidRDefault="00F927A2" w:rsidP="00F927A2"/>
    <w:p w14:paraId="1D04B56B" w14:textId="77777777" w:rsidR="00F927A2" w:rsidRPr="00645A24" w:rsidRDefault="00F927A2" w:rsidP="00F927A2">
      <w:pPr>
        <w:pStyle w:val="Heading3"/>
        <w:pageBreakBefore/>
        <w:numPr>
          <w:ilvl w:val="0"/>
          <w:numId w:val="0"/>
        </w:numPr>
        <w:ind w:left="851" w:hanging="851"/>
      </w:pPr>
      <w:bookmarkStart w:id="47" w:name="_Toc468189957"/>
      <w:r>
        <w:t>Annexe 3</w:t>
      </w:r>
      <w:r w:rsidRPr="00645A24">
        <w:t> : Le Malaysian Urban Indicators Network (MURNInets)</w:t>
      </w:r>
      <w:bookmarkEnd w:id="47"/>
    </w:p>
    <w:p w14:paraId="58B09253" w14:textId="77777777" w:rsidR="00F927A2" w:rsidRPr="00430A25" w:rsidRDefault="00F927A2" w:rsidP="00F927A2">
      <w:r w:rsidRPr="00430A25">
        <w:t xml:space="preserve">Les autorités Malaisiennes ont considéré que l’utilisation d’indicateurs doit être un outil pour communiquer de l’information aux politiques : l’information brute est souvent difficile à utiliser directement, leur traitement via une matrice d’indicateurs permet de créer une forme simplifié de l’information, plus pratique et appréhendable au niveau politique que des données statistiques complexes. </w:t>
      </w:r>
    </w:p>
    <w:p w14:paraId="08EA6CCC" w14:textId="77777777" w:rsidR="00F927A2" w:rsidRPr="00430A25" w:rsidRDefault="00F927A2" w:rsidP="00F927A2">
      <w:r w:rsidRPr="00430A25">
        <w:t>Les données brutes sont en effet nécessaires aux scientifiques et aux experts alors que les politiques nécessitent des données agrégées pour prendre des décisions. Enfin, le public et les aménageurs ont besoin de formes plus simples d’indicateurs agrégés. C’est la création de ces trois strates d’information qui ont conduit leur raisonnement.</w:t>
      </w:r>
    </w:p>
    <w:p w14:paraId="245C7E24" w14:textId="77777777" w:rsidR="00F927A2" w:rsidRPr="00430A25" w:rsidRDefault="00F927A2" w:rsidP="00F927A2">
      <w:r w:rsidRPr="00430A25">
        <w:t xml:space="preserve">La Malaisie disposait déjà d’une culture du suivi-évaluation par indicateurs (développement d’un indice pondéré de la qualité de vie, indice pondéré des centralités des services urbains). Ils ont mis en place à partir de 2002 sur six villes test, puis élargie à l’ensemble du territoire, le Malaysian Urban Indicators Network (MURNInets) qui est un pool d’indicateurs urbains basé sur la liste d’indicateurs urbains développé par l’UN Habitat. </w:t>
      </w:r>
    </w:p>
    <w:p w14:paraId="0B5FEF1E" w14:textId="77777777" w:rsidR="00F927A2" w:rsidRPr="00F927A2" w:rsidRDefault="00F927A2" w:rsidP="00F927A2">
      <w:pPr>
        <w:rPr>
          <w:rFonts w:ascii="Calibri" w:hAnsi="Calibri"/>
          <w:lang w:val="en-IE"/>
        </w:rPr>
      </w:pPr>
      <w:r w:rsidRPr="00F927A2">
        <w:rPr>
          <w:rFonts w:ascii="Calibri" w:hAnsi="Calibri"/>
          <w:lang w:val="en-IE"/>
        </w:rPr>
        <w:t>It was initiated by the Federal Department of Town and Country Planning (FDTCP), Peninsular Malaysia under the Ministry of Urban wellbeing, Housing and Local Government.</w:t>
      </w:r>
    </w:p>
    <w:p w14:paraId="64D6C155" w14:textId="77777777" w:rsidR="00F927A2" w:rsidRPr="00F927A2" w:rsidRDefault="00F927A2" w:rsidP="00F927A2">
      <w:pPr>
        <w:rPr>
          <w:b/>
          <w:lang w:val="en-IE"/>
        </w:rPr>
      </w:pPr>
      <w:r w:rsidRPr="00F927A2">
        <w:rPr>
          <w:b/>
          <w:lang w:val="en-IE"/>
        </w:rPr>
        <w:t xml:space="preserve">We were wondering how the program has been funded ? Did the Malaysian state pay for the integrality of the system or did the state get funds from and international development bank ? In that case, can we know what was the donor and project name ? </w:t>
      </w:r>
    </w:p>
    <w:p w14:paraId="1DC3CEEB" w14:textId="77777777" w:rsidR="00F927A2" w:rsidRPr="00F927A2" w:rsidRDefault="00F927A2" w:rsidP="00F927A2">
      <w:pPr>
        <w:ind w:left="720"/>
        <w:rPr>
          <w:rFonts w:ascii="Calibri" w:hAnsi="Calibri"/>
          <w:lang w:val="en-IE"/>
        </w:rPr>
      </w:pPr>
      <w:r w:rsidRPr="00F927A2">
        <w:rPr>
          <w:rFonts w:ascii="Calibri" w:hAnsi="Calibri"/>
          <w:lang w:val="en-IE"/>
        </w:rPr>
        <w:t>The implementation of MURNInets was funded by Malaysian Government through annual budgeting. This programme is carried out internally with government to government (G2G) approached among local, state and federal government. The MURNInets gateway application system was outsourced to the system developer and funded by ministry.</w:t>
      </w:r>
    </w:p>
    <w:p w14:paraId="7BE5DC91" w14:textId="77777777" w:rsidR="00F927A2" w:rsidRPr="00F927A2" w:rsidRDefault="00F927A2" w:rsidP="00F927A2">
      <w:pPr>
        <w:rPr>
          <w:rFonts w:ascii="Calibri" w:hAnsi="Calibri"/>
          <w:lang w:val="en-IE"/>
        </w:rPr>
      </w:pPr>
    </w:p>
    <w:p w14:paraId="3C4BA6A7" w14:textId="77777777" w:rsidR="00F927A2" w:rsidRPr="00F927A2" w:rsidRDefault="00F927A2" w:rsidP="00F927A2">
      <w:pPr>
        <w:rPr>
          <w:b/>
          <w:lang w:val="en-IE"/>
        </w:rPr>
      </w:pPr>
      <w:r w:rsidRPr="00F927A2">
        <w:rPr>
          <w:b/>
          <w:lang w:val="en-IE"/>
        </w:rPr>
        <w:t xml:space="preserve">Is there any assessment of the project that is public and that we could get access to ? (in English version) </w:t>
      </w:r>
    </w:p>
    <w:p w14:paraId="3D4537CC" w14:textId="77777777" w:rsidR="00F927A2" w:rsidRPr="00F927A2" w:rsidRDefault="00F927A2" w:rsidP="00F927A2">
      <w:pPr>
        <w:ind w:left="720"/>
        <w:rPr>
          <w:rFonts w:ascii="Calibri" w:hAnsi="Calibri"/>
          <w:lang w:val="en-IE"/>
        </w:rPr>
      </w:pPr>
      <w:r w:rsidRPr="00F927A2">
        <w:rPr>
          <w:rFonts w:ascii="Calibri" w:hAnsi="Calibri"/>
          <w:lang w:val="en-IE"/>
        </w:rPr>
        <w:t xml:space="preserve">People can access the MURNInets information through our website at </w:t>
      </w:r>
      <w:hyperlink r:id="rId41" w:history="1">
        <w:r w:rsidRPr="00F927A2">
          <w:rPr>
            <w:rStyle w:val="Hyperlink"/>
            <w:rFonts w:ascii="Calibri" w:hAnsi="Calibri"/>
            <w:lang w:val="en-IE"/>
          </w:rPr>
          <w:t>http://murninet.townplan.gov.my/</w:t>
        </w:r>
      </w:hyperlink>
      <w:r w:rsidRPr="00F927A2">
        <w:rPr>
          <w:rFonts w:ascii="Calibri" w:hAnsi="Calibri"/>
          <w:lang w:val="en-IE"/>
        </w:rPr>
        <w:t xml:space="preserve">. The information is released such as the result of sustainability index of the town (148 local authorities), 36 indicators that has been used and etc . Unfortunately the web site was published in the Malay version. For the time being there is no English Version but we will improve on it. </w:t>
      </w:r>
    </w:p>
    <w:p w14:paraId="237A72DD" w14:textId="77777777" w:rsidR="00F927A2" w:rsidRPr="00F927A2" w:rsidRDefault="00F927A2" w:rsidP="00F927A2">
      <w:pPr>
        <w:ind w:left="720"/>
        <w:rPr>
          <w:rFonts w:ascii="Calibri" w:hAnsi="Calibri"/>
          <w:lang w:val="en-IE"/>
        </w:rPr>
      </w:pPr>
      <w:r w:rsidRPr="00F927A2">
        <w:rPr>
          <w:rFonts w:ascii="Calibri" w:hAnsi="Calibri"/>
          <w:lang w:val="en-IE"/>
        </w:rPr>
        <w:t>However, to help you understand more about MURNinets, hereby some information in English version for your reference.</w:t>
      </w:r>
    </w:p>
    <w:p w14:paraId="2B955563" w14:textId="77777777" w:rsidR="00F927A2" w:rsidRPr="00F927A2" w:rsidRDefault="00F927A2" w:rsidP="00F927A2">
      <w:pPr>
        <w:ind w:left="720" w:hanging="360"/>
        <w:rPr>
          <w:rFonts w:ascii="Calibri" w:hAnsi="Calibri"/>
          <w:lang w:val="en-IE"/>
        </w:rPr>
      </w:pPr>
    </w:p>
    <w:p w14:paraId="1AF98D49" w14:textId="77777777" w:rsidR="00F927A2" w:rsidRPr="00F927A2" w:rsidRDefault="00F927A2" w:rsidP="00F927A2">
      <w:pPr>
        <w:rPr>
          <w:b/>
          <w:lang w:val="en-IE"/>
        </w:rPr>
      </w:pPr>
      <w:r w:rsidRPr="00F927A2">
        <w:rPr>
          <w:b/>
          <w:lang w:val="en-IE"/>
        </w:rPr>
        <w:t xml:space="preserve">I saw that the project, at the beginning, recruited a technical assistance, in particular for the capacity building, is that correct ? Would you tell me who undertook this role ? What was the other objectives of this technical assistance ? </w:t>
      </w:r>
    </w:p>
    <w:p w14:paraId="72ADE695" w14:textId="77777777" w:rsidR="00F927A2" w:rsidRPr="00F927A2" w:rsidRDefault="00F927A2" w:rsidP="00F927A2">
      <w:pPr>
        <w:ind w:left="720"/>
        <w:rPr>
          <w:rFonts w:ascii="Calibri" w:hAnsi="Calibri"/>
          <w:lang w:val="en-IE"/>
        </w:rPr>
      </w:pPr>
      <w:r w:rsidRPr="00F927A2">
        <w:rPr>
          <w:rFonts w:ascii="Calibri" w:hAnsi="Calibri"/>
          <w:lang w:val="en-IE"/>
        </w:rPr>
        <w:t>Yes. The technical assistance in this context is the staff from local authorities who involved in MURNInets especially for data collection and data entry.</w:t>
      </w:r>
    </w:p>
    <w:p w14:paraId="1473E3C2" w14:textId="77777777" w:rsidR="00F927A2" w:rsidRPr="00F927A2" w:rsidRDefault="00F927A2" w:rsidP="00F927A2">
      <w:pPr>
        <w:ind w:left="720"/>
        <w:rPr>
          <w:rFonts w:ascii="Calibri" w:hAnsi="Calibri"/>
          <w:lang w:val="en-IE"/>
        </w:rPr>
      </w:pPr>
      <w:r w:rsidRPr="00F927A2">
        <w:rPr>
          <w:rFonts w:ascii="Calibri" w:hAnsi="Calibri"/>
          <w:lang w:val="en-IE"/>
        </w:rPr>
        <w:t xml:space="preserve">The Federal Department of Town and Country Planning (FDTCP), Peninsular Malaysia playing the main role to guide the data collection, training for local authorities and technical agencies and analysis the data. </w:t>
      </w:r>
    </w:p>
    <w:p w14:paraId="3CF5463E" w14:textId="77777777" w:rsidR="00F927A2" w:rsidRPr="00F927A2" w:rsidRDefault="00F927A2" w:rsidP="00F927A2">
      <w:pPr>
        <w:ind w:left="720" w:hanging="360"/>
        <w:rPr>
          <w:rFonts w:ascii="Calibri" w:hAnsi="Calibri"/>
          <w:lang w:val="en-IE"/>
        </w:rPr>
      </w:pPr>
    </w:p>
    <w:p w14:paraId="28949E47" w14:textId="77777777" w:rsidR="00F927A2" w:rsidRPr="00F927A2" w:rsidRDefault="00F927A2" w:rsidP="00F927A2">
      <w:pPr>
        <w:rPr>
          <w:b/>
          <w:lang w:val="en-IE"/>
        </w:rPr>
      </w:pPr>
      <w:r w:rsidRPr="00F927A2">
        <w:rPr>
          <w:b/>
          <w:lang w:val="en-IE"/>
        </w:rPr>
        <w:t xml:space="preserve">I understood that, at the beginning, the system took time to be effective : the number of indicators was reduced to make it simpler, because at the local level, the authorities got difficulties with it ? Could you tell me more about the Institutional scheme of the system ? </w:t>
      </w:r>
    </w:p>
    <w:p w14:paraId="6888D6E4" w14:textId="77777777" w:rsidR="00F927A2" w:rsidRPr="00F927A2" w:rsidRDefault="00F927A2" w:rsidP="00F927A2">
      <w:pPr>
        <w:ind w:left="720"/>
        <w:rPr>
          <w:rFonts w:ascii="Calibri" w:hAnsi="Calibri"/>
          <w:lang w:val="en-IE"/>
        </w:rPr>
      </w:pPr>
      <w:r w:rsidRPr="00F927A2">
        <w:rPr>
          <w:rFonts w:ascii="Calibri" w:hAnsi="Calibri"/>
          <w:lang w:val="en-IE"/>
        </w:rPr>
        <w:t>Yes. The number of indicators was limited to certain amount that is suitable for local authorities to collect the data and subject to data availability, at the same time it still can represent the sustainability level of the city.</w:t>
      </w:r>
    </w:p>
    <w:p w14:paraId="64A8E582" w14:textId="77777777" w:rsidR="00F927A2" w:rsidRPr="00F927A2" w:rsidRDefault="00F927A2" w:rsidP="00F927A2">
      <w:pPr>
        <w:ind w:left="720"/>
        <w:rPr>
          <w:rFonts w:ascii="Calibri" w:hAnsi="Calibri"/>
          <w:lang w:val="en-IE"/>
        </w:rPr>
      </w:pPr>
      <w:r w:rsidRPr="00F927A2">
        <w:rPr>
          <w:rFonts w:ascii="Calibri" w:hAnsi="Calibri"/>
          <w:lang w:val="en-IE"/>
        </w:rPr>
        <w:t xml:space="preserve">For </w:t>
      </w:r>
      <w:r w:rsidRPr="00F927A2">
        <w:rPr>
          <w:lang w:val="en-IE"/>
        </w:rPr>
        <w:t>Institutional scheme of the system</w:t>
      </w:r>
      <w:r w:rsidRPr="00F927A2">
        <w:rPr>
          <w:rFonts w:ascii="Calibri" w:hAnsi="Calibri"/>
          <w:lang w:val="en-IE"/>
        </w:rPr>
        <w:t xml:space="preserve"> please refer to the slide attached for more information (The Implementation Approach – MURNInets) </w:t>
      </w:r>
    </w:p>
    <w:p w14:paraId="3E798FA8" w14:textId="77777777" w:rsidR="00F927A2" w:rsidRPr="00F927A2" w:rsidRDefault="00F927A2" w:rsidP="00F927A2">
      <w:pPr>
        <w:ind w:left="720" w:hanging="360"/>
        <w:rPr>
          <w:rFonts w:ascii="Calibri" w:hAnsi="Calibri"/>
          <w:lang w:val="en-IE"/>
        </w:rPr>
      </w:pPr>
    </w:p>
    <w:p w14:paraId="5888FB4B" w14:textId="77777777" w:rsidR="00F927A2" w:rsidRPr="00F927A2" w:rsidRDefault="00F927A2" w:rsidP="00F927A2">
      <w:pPr>
        <w:rPr>
          <w:b/>
          <w:lang w:val="en-IE"/>
        </w:rPr>
      </w:pPr>
      <w:r w:rsidRPr="00F927A2">
        <w:rPr>
          <w:b/>
          <w:lang w:val="en-IE"/>
        </w:rPr>
        <w:t>How did MURNInets managed to get the data’s (how the data collection works) in order to build the indicators ?</w:t>
      </w:r>
    </w:p>
    <w:p w14:paraId="1A1D4F3B" w14:textId="77777777" w:rsidR="00F927A2" w:rsidRPr="00F927A2" w:rsidRDefault="00F927A2" w:rsidP="00F927A2">
      <w:pPr>
        <w:ind w:left="720"/>
        <w:rPr>
          <w:rFonts w:ascii="Calibri" w:hAnsi="Calibri"/>
          <w:lang w:val="en-IE"/>
        </w:rPr>
      </w:pPr>
      <w:r w:rsidRPr="00F927A2">
        <w:rPr>
          <w:rFonts w:ascii="Calibri" w:hAnsi="Calibri"/>
          <w:lang w:val="en-IE"/>
        </w:rPr>
        <w:t xml:space="preserve">Local authorities played a major role in collecting the data from various technical agencies with supervision and coordination by state and federal government. </w:t>
      </w:r>
    </w:p>
    <w:p w14:paraId="71753BE2" w14:textId="77777777" w:rsidR="00F927A2" w:rsidRPr="00F927A2" w:rsidRDefault="00F927A2" w:rsidP="00F927A2">
      <w:pPr>
        <w:ind w:left="720"/>
        <w:rPr>
          <w:rFonts w:ascii="Calibri" w:hAnsi="Calibri"/>
          <w:lang w:val="en-IE"/>
        </w:rPr>
      </w:pPr>
      <w:r w:rsidRPr="00F927A2">
        <w:rPr>
          <w:rFonts w:ascii="Calibri" w:hAnsi="Calibri"/>
          <w:lang w:val="en-IE"/>
        </w:rPr>
        <w:t>Please refer to slide attached about the implementation approach for better understanding.</w:t>
      </w:r>
    </w:p>
    <w:p w14:paraId="398748CF" w14:textId="77777777" w:rsidR="00F927A2" w:rsidRPr="00F927A2" w:rsidRDefault="00F927A2" w:rsidP="00F927A2">
      <w:pPr>
        <w:ind w:left="720"/>
        <w:rPr>
          <w:rFonts w:ascii="Calibri" w:hAnsi="Calibri"/>
          <w:lang w:val="en-IE"/>
        </w:rPr>
      </w:pPr>
    </w:p>
    <w:p w14:paraId="160102D8" w14:textId="77777777" w:rsidR="00F927A2" w:rsidRPr="00F927A2" w:rsidRDefault="00F927A2" w:rsidP="00F927A2">
      <w:pPr>
        <w:ind w:left="720" w:hanging="360"/>
        <w:rPr>
          <w:rFonts w:ascii="Calibri" w:hAnsi="Calibri"/>
          <w:lang w:val="en-IE"/>
        </w:rPr>
      </w:pPr>
    </w:p>
    <w:p w14:paraId="3FD6E38C" w14:textId="77777777" w:rsidR="00F927A2" w:rsidRPr="00F927A2" w:rsidRDefault="00F927A2" w:rsidP="00F927A2">
      <w:pPr>
        <w:rPr>
          <w:b/>
          <w:lang w:val="en-IE"/>
        </w:rPr>
      </w:pPr>
      <w:r w:rsidRPr="00F927A2">
        <w:rPr>
          <w:b/>
          <w:lang w:val="en-IE"/>
        </w:rPr>
        <w:t xml:space="preserve">How is MURNInets funded ? Is it independent or attached to a town/planning direction of a national ministry ? How are paid the focus point at the local levels (are they hired by the local authorities or by MURNInets ? If they are hired by the local authorities, do they get a bonus from MURNInets for the job done?) </w:t>
      </w:r>
    </w:p>
    <w:p w14:paraId="31E44BD9" w14:textId="77777777" w:rsidR="00F927A2" w:rsidRPr="00F927A2" w:rsidRDefault="00F927A2" w:rsidP="00F927A2">
      <w:pPr>
        <w:ind w:left="709" w:firstLine="11"/>
        <w:rPr>
          <w:rFonts w:ascii="Calibri" w:hAnsi="Calibri"/>
          <w:lang w:val="en-IE"/>
        </w:rPr>
      </w:pPr>
      <w:r w:rsidRPr="00F927A2">
        <w:rPr>
          <w:rFonts w:ascii="Calibri" w:hAnsi="Calibri"/>
          <w:lang w:val="en-IE"/>
        </w:rPr>
        <w:t>As mention earlier, MURNInets were fully operated and funded by government accept for certain activities such as data collection based on survey that maybe involved hired enumerators and MURNInets gateway database maintenance. Any outsourced activities were subjected to standard performance assessment as procurement contract guideline by Ministry of Finance.</w:t>
      </w:r>
    </w:p>
    <w:p w14:paraId="1E3EA371" w14:textId="77777777" w:rsidR="00F927A2" w:rsidRPr="00F927A2" w:rsidRDefault="00F927A2" w:rsidP="00F927A2">
      <w:pPr>
        <w:rPr>
          <w:lang w:val="en-IE"/>
        </w:rPr>
      </w:pPr>
    </w:p>
    <w:p w14:paraId="6410F732" w14:textId="77777777" w:rsidR="00F927A2" w:rsidRPr="00D658D4" w:rsidRDefault="00F927A2" w:rsidP="00F927A2">
      <w:r w:rsidRPr="00404FC6">
        <w:rPr>
          <w:b/>
        </w:rPr>
        <w:t>Personne ressource</w:t>
      </w:r>
      <w:r>
        <w:t xml:space="preserve"> : </w:t>
      </w:r>
      <w:r w:rsidRPr="00D658D4">
        <w:t>Muhammad Nasrul H</w:t>
      </w:r>
      <w:r>
        <w:t xml:space="preserve">adi Bin Jukun Nain </w:t>
      </w:r>
      <w:hyperlink r:id="rId42" w:history="1">
        <w:r w:rsidRPr="00714EBD">
          <w:rPr>
            <w:rStyle w:val="Hyperlink"/>
          </w:rPr>
          <w:t>nasrulhadi@townplan.gov.my</w:t>
        </w:r>
      </w:hyperlink>
      <w:r>
        <w:t xml:space="preserve"> </w:t>
      </w:r>
    </w:p>
    <w:p w14:paraId="79E82E80" w14:textId="77777777" w:rsidR="00F927A2" w:rsidRDefault="00F927A2" w:rsidP="00F927A2"/>
    <w:p w14:paraId="5B4CCF92" w14:textId="5858B94F" w:rsidR="00F927A2" w:rsidRPr="00645A24" w:rsidRDefault="00F927A2" w:rsidP="00F927A2">
      <w:pPr>
        <w:pStyle w:val="Heading3"/>
        <w:pageBreakBefore/>
        <w:numPr>
          <w:ilvl w:val="0"/>
          <w:numId w:val="0"/>
        </w:numPr>
        <w:ind w:left="851" w:hanging="851"/>
      </w:pPr>
      <w:bookmarkStart w:id="48" w:name="_Toc468189958"/>
      <w:r>
        <w:t>Annexe 4</w:t>
      </w:r>
      <w:r w:rsidRPr="00404FC6">
        <w:t> : BDU du Cameroun</w:t>
      </w:r>
      <w:bookmarkEnd w:id="48"/>
    </w:p>
    <w:p w14:paraId="2CC4039C" w14:textId="77777777" w:rsidR="00F927A2" w:rsidRPr="00D658D4" w:rsidRDefault="00F927A2" w:rsidP="00F927A2">
      <w:r>
        <w:t>L</w:t>
      </w:r>
      <w:r w:rsidRPr="00D658D4">
        <w:t>a Base de données urbaines a fait l'objet de deux études de cadrage validées par un atelier national et d'une étude de détail, conduites par trois consultants nationaux. Les rapports de ces différentes études sont</w:t>
      </w:r>
      <w:r>
        <w:t xml:space="preserve"> disponibles. L</w:t>
      </w:r>
      <w:r w:rsidRPr="00D658D4">
        <w:t xml:space="preserve">a BDU a été présentée au FUN (Forum Urbain National) </w:t>
      </w:r>
    </w:p>
    <w:p w14:paraId="76CB3CE7" w14:textId="77777777" w:rsidR="00F927A2" w:rsidRPr="00D658D4" w:rsidRDefault="00F927A2" w:rsidP="00F927A2">
      <w:pPr>
        <w:rPr>
          <w:b/>
        </w:rPr>
      </w:pPr>
      <w:r>
        <w:rPr>
          <w:b/>
        </w:rPr>
        <w:t>1) C</w:t>
      </w:r>
      <w:r w:rsidRPr="00D658D4">
        <w:rPr>
          <w:b/>
        </w:rPr>
        <w:t>omment s’organise les relations institutionnelles entre les institutions partenaires ?</w:t>
      </w:r>
    </w:p>
    <w:p w14:paraId="6DEC63D3" w14:textId="77777777" w:rsidR="00F927A2" w:rsidRDefault="00F927A2" w:rsidP="00F927A2">
      <w:pPr>
        <w:ind w:left="709" w:firstLine="11"/>
        <w:rPr>
          <w:rFonts w:ascii="Calibri" w:hAnsi="Calibri"/>
        </w:rPr>
      </w:pPr>
      <w:r w:rsidRPr="00404FC6">
        <w:rPr>
          <w:rFonts w:ascii="Calibri" w:hAnsi="Calibri"/>
        </w:rPr>
        <w:t>Le MINHDU (Ministère de l'Habitat et du Développement Urbain, chargé de la gestion de la BDU) a signé une convention avec l'INS (Institut National de la Statistique, organisme public chargé de la collecte d'informations, du calcul et de la publication des indicateurs de développement et autres données statistiques du Cameroun), cette convention permet au Ministère de bénéficier de l'appui méthodologique de cet organisme dans toutes les phases du processus (organisation des études, conception de l'outil de gestion, opérationnalisation). Une autre convention sera également signée entre le MINHDU et et l'INC( Institut National de la Cartographie, dans l'optique de la géolocalisation des données avec à terme une migration de la base de données vers un SIG, éventuellement géré par un observatoire urbain).</w:t>
      </w:r>
    </w:p>
    <w:p w14:paraId="20BE83E0" w14:textId="77777777" w:rsidR="00F927A2" w:rsidRPr="00404FC6" w:rsidRDefault="00F927A2" w:rsidP="00F927A2">
      <w:pPr>
        <w:ind w:left="709" w:firstLine="11"/>
        <w:rPr>
          <w:rFonts w:ascii="Calibri" w:hAnsi="Calibri"/>
        </w:rPr>
      </w:pPr>
    </w:p>
    <w:p w14:paraId="47D5E358" w14:textId="77777777" w:rsidR="00F927A2" w:rsidRPr="00D658D4" w:rsidRDefault="00F927A2" w:rsidP="00F927A2">
      <w:pPr>
        <w:rPr>
          <w:b/>
        </w:rPr>
      </w:pPr>
      <w:r w:rsidRPr="00404FC6">
        <w:rPr>
          <w:b/>
        </w:rPr>
        <w:t>2</w:t>
      </w:r>
      <w:r w:rsidRPr="00D658D4">
        <w:rPr>
          <w:b/>
        </w:rPr>
        <w:t>) comment est organisé le partage des données entre les institutions (conventions ?) ?</w:t>
      </w:r>
    </w:p>
    <w:p w14:paraId="737F7EEF" w14:textId="77777777" w:rsidR="00F927A2" w:rsidRDefault="00F927A2" w:rsidP="00F927A2">
      <w:pPr>
        <w:ind w:left="709" w:firstLine="11"/>
        <w:rPr>
          <w:rFonts w:ascii="Calibri" w:hAnsi="Calibri"/>
        </w:rPr>
      </w:pPr>
      <w:r w:rsidRPr="00404FC6">
        <w:rPr>
          <w:rFonts w:ascii="Calibri" w:hAnsi="Calibri"/>
        </w:rPr>
        <w:t>Les données disponibles dans l'application web restent la propriété du MINHDU; avec un accès réglementé accordé à l'INS dans le cadre de la convention sus évoquée. Il faut cependant relever qu'en ce qui concerne la consultation des données, elle est libre car toutes les données sont mise en ligne mais le MINHDU, dans le cadre de cette application web, s'est réservé le droit de restreindre l'accès à certaines données en fonction de leur sensibilité.</w:t>
      </w:r>
    </w:p>
    <w:p w14:paraId="7D357A1A" w14:textId="77777777" w:rsidR="00F927A2" w:rsidRPr="00404FC6" w:rsidRDefault="00F927A2" w:rsidP="00F927A2">
      <w:pPr>
        <w:ind w:left="709" w:firstLine="11"/>
        <w:rPr>
          <w:rFonts w:ascii="Calibri" w:hAnsi="Calibri"/>
        </w:rPr>
      </w:pPr>
    </w:p>
    <w:p w14:paraId="079A2B37" w14:textId="77777777" w:rsidR="00F927A2" w:rsidRPr="00D658D4" w:rsidRDefault="00F927A2" w:rsidP="00F927A2">
      <w:pPr>
        <w:rPr>
          <w:b/>
        </w:rPr>
      </w:pPr>
      <w:r>
        <w:rPr>
          <w:b/>
        </w:rPr>
        <w:t>4) Q</w:t>
      </w:r>
      <w:r w:rsidRPr="00D658D4">
        <w:rPr>
          <w:b/>
        </w:rPr>
        <w:t xml:space="preserve">uelle est la composition du comité de pilotage et/ou du comité scientifique s’il y en a et comment cette structuration a-t-elle été décidée ?  </w:t>
      </w:r>
    </w:p>
    <w:p w14:paraId="40788285" w14:textId="77777777" w:rsidR="00F927A2" w:rsidRDefault="00F927A2" w:rsidP="00F927A2">
      <w:pPr>
        <w:ind w:left="709" w:firstLine="11"/>
        <w:rPr>
          <w:rFonts w:ascii="Calibri" w:hAnsi="Calibri"/>
        </w:rPr>
      </w:pPr>
      <w:r w:rsidRPr="00404FC6">
        <w:rPr>
          <w:rFonts w:ascii="Calibri" w:hAnsi="Calibri"/>
        </w:rPr>
        <w:t>La BDU du Cameroun est gérée par une cellule ancrée au sein du MINHDU. Cette Cellule (Cellule des Données Urbaine et de l'Habitat) a été créée par décret du Président de la République dans le cadre de la réorganisation du travail Gouvernemental.</w:t>
      </w:r>
    </w:p>
    <w:p w14:paraId="6A34023A" w14:textId="77777777" w:rsidR="00F927A2" w:rsidRPr="00404FC6" w:rsidRDefault="00F927A2" w:rsidP="00F927A2">
      <w:pPr>
        <w:ind w:left="709" w:firstLine="11"/>
        <w:rPr>
          <w:rFonts w:ascii="Calibri" w:hAnsi="Calibri"/>
        </w:rPr>
      </w:pPr>
    </w:p>
    <w:p w14:paraId="68466A12" w14:textId="77777777" w:rsidR="00F927A2" w:rsidRPr="00D658D4" w:rsidRDefault="00F927A2" w:rsidP="00F927A2">
      <w:pPr>
        <w:rPr>
          <w:b/>
        </w:rPr>
      </w:pPr>
      <w:r>
        <w:rPr>
          <w:b/>
        </w:rPr>
        <w:t>5) C</w:t>
      </w:r>
      <w:r w:rsidRPr="00D658D4">
        <w:rPr>
          <w:b/>
        </w:rPr>
        <w:t xml:space="preserve">omment est prévue la pérennité, notamment d’un point de vue financier, de la structure de gestion de la BDU ?  </w:t>
      </w:r>
    </w:p>
    <w:p w14:paraId="7060302B" w14:textId="77777777" w:rsidR="00F927A2" w:rsidRPr="00404FC6" w:rsidRDefault="00F927A2" w:rsidP="00F927A2">
      <w:pPr>
        <w:ind w:left="709" w:firstLine="11"/>
        <w:rPr>
          <w:rFonts w:ascii="Calibri" w:hAnsi="Calibri"/>
        </w:rPr>
      </w:pPr>
      <w:r w:rsidRPr="00404FC6">
        <w:rPr>
          <w:rFonts w:ascii="Calibri" w:hAnsi="Calibri"/>
        </w:rPr>
        <w:t>La pérennisation de la base de données est garantie par la création d'une cellule permanente disposant d'un budget conséquent et chargée essentiellement des données urbaines. L'implication des Collectivité Territoriale Décentralisées (CTD° comme unité primaire de collecte assure d'avantage sur la pérennité  de l'outil.</w:t>
      </w:r>
    </w:p>
    <w:p w14:paraId="3524D696" w14:textId="77777777" w:rsidR="00F927A2" w:rsidRPr="00D658D4" w:rsidRDefault="00F927A2" w:rsidP="00F927A2">
      <w:r>
        <w:rPr>
          <w:b/>
        </w:rPr>
        <w:t xml:space="preserve">Personne ressource : </w:t>
      </w:r>
      <w:r w:rsidRPr="00D658D4">
        <w:t>George SAO</w:t>
      </w:r>
      <w:r>
        <w:t>-</w:t>
      </w:r>
      <w:r w:rsidRPr="00D658D4">
        <w:t xml:space="preserve"> 0023769948769</w:t>
      </w:r>
      <w:r>
        <w:t xml:space="preserve"> ou MINDHU (M.</w:t>
      </w:r>
      <w:r w:rsidRPr="00D658D4">
        <w:t xml:space="preserve"> Jean-Claude Tchaptchet</w:t>
      </w:r>
      <w:r>
        <w:t xml:space="preserve"> : </w:t>
      </w:r>
      <w:hyperlink r:id="rId43" w:history="1">
        <w:r w:rsidRPr="00714EBD">
          <w:rPr>
            <w:rStyle w:val="Hyperlink"/>
          </w:rPr>
          <w:t>pdue_tchaptchet@yahoo.fr</w:t>
        </w:r>
      </w:hyperlink>
      <w:r>
        <w:t xml:space="preserve"> )</w:t>
      </w:r>
    </w:p>
    <w:p w14:paraId="614900CC" w14:textId="77777777" w:rsidR="00F927A2" w:rsidRPr="00D658D4" w:rsidRDefault="00F927A2" w:rsidP="00F927A2"/>
    <w:p w14:paraId="116FE62F" w14:textId="77777777" w:rsidR="00F927A2" w:rsidRPr="00607A57" w:rsidRDefault="00F927A2" w:rsidP="00F927A2"/>
    <w:sectPr w:rsidR="00F927A2" w:rsidRPr="00607A57" w:rsidSect="00E2536C">
      <w:pgSz w:w="11900" w:h="16840"/>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0F23B" w14:textId="77777777" w:rsidR="00A05A90" w:rsidRDefault="00A05A90">
      <w:r>
        <w:separator/>
      </w:r>
    </w:p>
  </w:endnote>
  <w:endnote w:type="continuationSeparator" w:id="0">
    <w:p w14:paraId="5EB1A75B" w14:textId="77777777" w:rsidR="00A05A90" w:rsidRDefault="00A05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altName w:val="Nyal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val="0"/>
        <w:color w:val="auto"/>
        <w:sz w:val="20"/>
      </w:rPr>
      <w:id w:val="-1574199743"/>
      <w:docPartObj>
        <w:docPartGallery w:val="Page Numbers (Bottom of Page)"/>
        <w:docPartUnique/>
      </w:docPartObj>
    </w:sdtPr>
    <w:sdtEndPr>
      <w:rPr>
        <w:i/>
      </w:rPr>
    </w:sdtEndPr>
    <w:sdtContent>
      <w:p w14:paraId="05FDFE80" w14:textId="04ABF97D" w:rsidR="007F10E5" w:rsidRPr="004C23C7" w:rsidRDefault="007F10E5" w:rsidP="00556615">
        <w:pPr>
          <w:pStyle w:val="Footer"/>
          <w:rPr>
            <w:color w:val="auto"/>
            <w:sz w:val="20"/>
          </w:rPr>
        </w:pPr>
        <w:r w:rsidRPr="004C23C7">
          <w:rPr>
            <w:rFonts w:cs="Arial"/>
            <w:i w:val="0"/>
            <w:color w:val="auto"/>
            <w:sz w:val="20"/>
          </w:rPr>
          <w:t>ALTAIR Consortium</w:t>
        </w:r>
        <w:r w:rsidRPr="004C23C7">
          <w:rPr>
            <w:i w:val="0"/>
            <w:color w:val="auto"/>
            <w:sz w:val="20"/>
          </w:rPr>
          <w:t xml:space="preserve">                                                                                                                                             </w:t>
        </w:r>
        <w:r w:rsidRPr="004C23C7">
          <w:rPr>
            <w:i w:val="0"/>
            <w:color w:val="auto"/>
            <w:sz w:val="20"/>
          </w:rPr>
          <w:fldChar w:fldCharType="begin"/>
        </w:r>
        <w:r w:rsidRPr="004C23C7">
          <w:rPr>
            <w:i w:val="0"/>
            <w:color w:val="auto"/>
            <w:sz w:val="20"/>
          </w:rPr>
          <w:instrText>PAGE   \* MERGEFORMAT</w:instrText>
        </w:r>
        <w:r w:rsidRPr="004C23C7">
          <w:rPr>
            <w:i w:val="0"/>
            <w:color w:val="auto"/>
            <w:sz w:val="20"/>
          </w:rPr>
          <w:fldChar w:fldCharType="separate"/>
        </w:r>
        <w:r w:rsidR="00693265" w:rsidRPr="00693265">
          <w:rPr>
            <w:i w:val="0"/>
            <w:noProof/>
            <w:color w:val="auto"/>
            <w:sz w:val="20"/>
            <w:lang w:val="fr-FR"/>
          </w:rPr>
          <w:t>2</w:t>
        </w:r>
        <w:r w:rsidRPr="004C23C7">
          <w:rPr>
            <w:i w:val="0"/>
            <w:color w:val="auto"/>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val="0"/>
        <w:color w:val="auto"/>
        <w:sz w:val="20"/>
      </w:rPr>
      <w:id w:val="1145781000"/>
      <w:docPartObj>
        <w:docPartGallery w:val="Page Numbers (Bottom of Page)"/>
        <w:docPartUnique/>
      </w:docPartObj>
    </w:sdtPr>
    <w:sdtEndPr>
      <w:rPr>
        <w:i/>
      </w:rPr>
    </w:sdtEndPr>
    <w:sdtContent>
      <w:p w14:paraId="74F430A6" w14:textId="77777777" w:rsidR="007F10E5" w:rsidRPr="004C23C7" w:rsidRDefault="007F10E5" w:rsidP="004C23C7">
        <w:pPr>
          <w:pStyle w:val="Footer"/>
          <w:rPr>
            <w:i w:val="0"/>
            <w:color w:val="auto"/>
            <w:sz w:val="20"/>
            <w:lang w:val="fr-FR"/>
          </w:rPr>
        </w:pPr>
        <w:r w:rsidRPr="004C23C7">
          <w:rPr>
            <w:rFonts w:cs="Arial"/>
            <w:i w:val="0"/>
            <w:color w:val="auto"/>
            <w:sz w:val="20"/>
          </w:rPr>
          <w:t>ALTAIR Consortium</w:t>
        </w:r>
        <w:r w:rsidRPr="004C23C7">
          <w:rPr>
            <w:i w:val="0"/>
            <w:color w:val="auto"/>
            <w:sz w:val="20"/>
          </w:rPr>
          <w:t xml:space="preserve">                                                                                                                                             </w:t>
        </w:r>
        <w:r w:rsidRPr="004C23C7">
          <w:rPr>
            <w:i w:val="0"/>
            <w:color w:val="auto"/>
            <w:sz w:val="20"/>
          </w:rPr>
          <w:fldChar w:fldCharType="begin"/>
        </w:r>
        <w:r w:rsidRPr="004C23C7">
          <w:rPr>
            <w:i w:val="0"/>
            <w:color w:val="auto"/>
            <w:sz w:val="20"/>
          </w:rPr>
          <w:instrText>PAGE   \* MERGEFORMAT</w:instrText>
        </w:r>
        <w:r w:rsidRPr="004C23C7">
          <w:rPr>
            <w:i w:val="0"/>
            <w:color w:val="auto"/>
            <w:sz w:val="20"/>
          </w:rPr>
          <w:fldChar w:fldCharType="separate"/>
        </w:r>
        <w:r w:rsidR="00BB29FA" w:rsidRPr="00BB29FA">
          <w:rPr>
            <w:i w:val="0"/>
            <w:noProof/>
            <w:color w:val="auto"/>
            <w:sz w:val="20"/>
            <w:lang w:val="fr-FR"/>
          </w:rPr>
          <w:t>21</w:t>
        </w:r>
        <w:r w:rsidRPr="004C23C7">
          <w:rPr>
            <w:i w:val="0"/>
            <w:color w:val="auto"/>
            <w:sz w:val="20"/>
          </w:rPr>
          <w:fldChar w:fldCharType="end"/>
        </w:r>
      </w:p>
    </w:sdtContent>
  </w:sdt>
  <w:p w14:paraId="56FB4797" w14:textId="77777777" w:rsidR="007F10E5" w:rsidRPr="004C23C7" w:rsidRDefault="007F10E5" w:rsidP="004C23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val="0"/>
        <w:color w:val="auto"/>
        <w:sz w:val="20"/>
      </w:rPr>
      <w:id w:val="-2053606479"/>
      <w:docPartObj>
        <w:docPartGallery w:val="Page Numbers (Bottom of Page)"/>
        <w:docPartUnique/>
      </w:docPartObj>
    </w:sdtPr>
    <w:sdtEndPr>
      <w:rPr>
        <w:i/>
      </w:rPr>
    </w:sdtEndPr>
    <w:sdtContent>
      <w:p w14:paraId="5913E339" w14:textId="77777777" w:rsidR="007F10E5" w:rsidRPr="004C23C7" w:rsidRDefault="007F10E5" w:rsidP="004C23C7">
        <w:pPr>
          <w:pStyle w:val="Footer"/>
          <w:rPr>
            <w:i w:val="0"/>
            <w:color w:val="auto"/>
            <w:sz w:val="20"/>
            <w:lang w:val="fr-FR"/>
          </w:rPr>
        </w:pPr>
        <w:r w:rsidRPr="004C23C7">
          <w:rPr>
            <w:rFonts w:cs="Arial"/>
            <w:i w:val="0"/>
            <w:color w:val="auto"/>
            <w:sz w:val="20"/>
          </w:rPr>
          <w:t>ALTAIR Consortium</w:t>
        </w:r>
        <w:r w:rsidRPr="004C23C7">
          <w:rPr>
            <w:i w:val="0"/>
            <w:color w:val="auto"/>
            <w:sz w:val="20"/>
          </w:rPr>
          <w:t xml:space="preserve">                                                                                                                                             </w:t>
        </w:r>
        <w:r w:rsidRPr="004C23C7">
          <w:rPr>
            <w:i w:val="0"/>
            <w:color w:val="auto"/>
            <w:sz w:val="20"/>
          </w:rPr>
          <w:fldChar w:fldCharType="begin"/>
        </w:r>
        <w:r w:rsidRPr="004C23C7">
          <w:rPr>
            <w:i w:val="0"/>
            <w:color w:val="auto"/>
            <w:sz w:val="20"/>
          </w:rPr>
          <w:instrText>PAGE   \* MERGEFORMAT</w:instrText>
        </w:r>
        <w:r w:rsidRPr="004C23C7">
          <w:rPr>
            <w:i w:val="0"/>
            <w:color w:val="auto"/>
            <w:sz w:val="20"/>
          </w:rPr>
          <w:fldChar w:fldCharType="separate"/>
        </w:r>
        <w:r w:rsidR="00BB29FA" w:rsidRPr="00BB29FA">
          <w:rPr>
            <w:i w:val="0"/>
            <w:noProof/>
            <w:color w:val="auto"/>
            <w:sz w:val="20"/>
            <w:lang w:val="fr-FR"/>
          </w:rPr>
          <w:t>88</w:t>
        </w:r>
        <w:r w:rsidRPr="004C23C7">
          <w:rPr>
            <w:i w:val="0"/>
            <w:color w:val="auto"/>
            <w:sz w:val="20"/>
          </w:rPr>
          <w:fldChar w:fldCharType="end"/>
        </w:r>
      </w:p>
    </w:sdtContent>
  </w:sdt>
  <w:p w14:paraId="51B574D4" w14:textId="23F68156" w:rsidR="007F10E5" w:rsidRPr="004C23C7" w:rsidRDefault="007F10E5" w:rsidP="004C2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F55E6" w14:textId="77777777" w:rsidR="00A05A90" w:rsidRDefault="00A05A90">
      <w:r>
        <w:separator/>
      </w:r>
    </w:p>
  </w:footnote>
  <w:footnote w:type="continuationSeparator" w:id="0">
    <w:p w14:paraId="76593B54" w14:textId="77777777" w:rsidR="00A05A90" w:rsidRDefault="00A05A90">
      <w:r>
        <w:continuationSeparator/>
      </w:r>
    </w:p>
  </w:footnote>
  <w:footnote w:id="1">
    <w:p w14:paraId="4C8E4C0F" w14:textId="77777777" w:rsidR="007F10E5" w:rsidRPr="00F8176C" w:rsidRDefault="007F10E5" w:rsidP="00DB30FD">
      <w:pPr>
        <w:pStyle w:val="FootnoteText"/>
        <w:rPr>
          <w:rFonts w:cs="Arial"/>
          <w:sz w:val="16"/>
          <w:szCs w:val="16"/>
        </w:rPr>
      </w:pPr>
      <w:r w:rsidRPr="00F8176C">
        <w:rPr>
          <w:rStyle w:val="FootnoteReference"/>
          <w:rFonts w:cs="Arial"/>
          <w:sz w:val="16"/>
          <w:szCs w:val="16"/>
        </w:rPr>
        <w:footnoteRef/>
      </w:r>
      <w:r w:rsidRPr="00F8176C">
        <w:rPr>
          <w:rFonts w:cs="Arial"/>
          <w:sz w:val="16"/>
          <w:szCs w:val="16"/>
        </w:rPr>
        <w:t xml:space="preserve"> Ces  travaux se  sont traduits par des audits comme celui sur l’organisation du Ministère des Travaux Publics, Transports et Communications en 2008,  par des initiatives comme la création du Comité Interministériel d’Aménagement du Territoire en 2009, pour une meilleure coordination institutionnelle, ou la création de l’Unité de Construction de Logements et de Bâtiments Publics en 2011, pour répondre la demande croissante d’habitat.  </w:t>
      </w:r>
    </w:p>
  </w:footnote>
  <w:footnote w:id="2">
    <w:p w14:paraId="0A08CBC5" w14:textId="77777777" w:rsidR="007F10E5" w:rsidRPr="00333D03" w:rsidRDefault="007F10E5" w:rsidP="00DB30FD">
      <w:pPr>
        <w:pStyle w:val="FootnoteText"/>
      </w:pPr>
      <w:r w:rsidRPr="00F8176C">
        <w:rPr>
          <w:rStyle w:val="FootnoteReference"/>
          <w:rFonts w:cs="Arial"/>
          <w:sz w:val="16"/>
          <w:szCs w:val="16"/>
        </w:rPr>
        <w:footnoteRef/>
      </w:r>
      <w:r w:rsidRPr="00F8176C">
        <w:rPr>
          <w:rFonts w:cs="Arial"/>
          <w:sz w:val="16"/>
          <w:szCs w:val="16"/>
        </w:rPr>
        <w:t xml:space="preserve"> Cf. Etat des lieux sectoriel et formulation du volet  Appui Institutionnel – composante II du PARAQ Haïti – Particip - Décembre 2014</w:t>
      </w:r>
    </w:p>
  </w:footnote>
  <w:footnote w:id="3">
    <w:p w14:paraId="75F02D20" w14:textId="77777777" w:rsidR="007F10E5" w:rsidRPr="00F8176C" w:rsidRDefault="007F10E5" w:rsidP="00DB30FD">
      <w:pPr>
        <w:pStyle w:val="FootnoteText"/>
        <w:rPr>
          <w:rFonts w:cs="Arial"/>
          <w:sz w:val="16"/>
          <w:szCs w:val="16"/>
        </w:rPr>
      </w:pPr>
      <w:r w:rsidRPr="00F8176C">
        <w:rPr>
          <w:rStyle w:val="FootnoteReference"/>
          <w:rFonts w:cs="Arial"/>
          <w:sz w:val="16"/>
          <w:szCs w:val="16"/>
        </w:rPr>
        <w:footnoteRef/>
      </w:r>
      <w:r w:rsidRPr="00F8176C">
        <w:rPr>
          <w:rFonts w:cs="Arial"/>
          <w:sz w:val="16"/>
          <w:szCs w:val="16"/>
        </w:rPr>
        <w:t xml:space="preserve"> Note de démarrage du volet PAIFU : Assistance technique pour la gestion de l’information sur l’urbain décembre 2015 - DUE Haïti.  </w:t>
      </w:r>
    </w:p>
  </w:footnote>
  <w:footnote w:id="4">
    <w:p w14:paraId="1A002368" w14:textId="77777777" w:rsidR="007F10E5" w:rsidRPr="00333D03" w:rsidRDefault="007F10E5" w:rsidP="00DB30FD">
      <w:pPr>
        <w:pStyle w:val="FootnoteText"/>
      </w:pPr>
      <w:r w:rsidRPr="00F8176C">
        <w:rPr>
          <w:rStyle w:val="FootnoteReference"/>
          <w:rFonts w:cs="Arial"/>
          <w:sz w:val="16"/>
          <w:szCs w:val="16"/>
        </w:rPr>
        <w:footnoteRef/>
      </w:r>
      <w:r w:rsidRPr="00F8176C">
        <w:rPr>
          <w:rFonts w:cs="Arial"/>
          <w:sz w:val="16"/>
          <w:szCs w:val="16"/>
        </w:rPr>
        <w:t xml:space="preserve"> Rapport sur le dialogue sectoriel : Assistance technique pour la gestion de l’information sur l’urbain avril 2016 - DUE Haïti</w:t>
      </w:r>
    </w:p>
  </w:footnote>
  <w:footnote w:id="5">
    <w:p w14:paraId="0F553A8B" w14:textId="77777777" w:rsidR="007F10E5" w:rsidRPr="00333D03" w:rsidRDefault="007F10E5" w:rsidP="00373C0B">
      <w:pPr>
        <w:pStyle w:val="FootnoteText"/>
        <w:rPr>
          <w:rFonts w:cs="Arial"/>
          <w:sz w:val="16"/>
          <w:szCs w:val="16"/>
        </w:rPr>
      </w:pPr>
      <w:r w:rsidRPr="00DA491F">
        <w:rPr>
          <w:rStyle w:val="FootnoteReference"/>
          <w:rFonts w:cs="Arial"/>
          <w:sz w:val="16"/>
          <w:szCs w:val="16"/>
        </w:rPr>
        <w:footnoteRef/>
      </w:r>
      <w:r w:rsidRPr="00333D03">
        <w:rPr>
          <w:rFonts w:cs="Arial"/>
          <w:sz w:val="16"/>
          <w:szCs w:val="16"/>
        </w:rPr>
        <w:t xml:space="preserve"> Source MEF </w:t>
      </w:r>
    </w:p>
  </w:footnote>
  <w:footnote w:id="6">
    <w:p w14:paraId="53B3A536" w14:textId="77777777" w:rsidR="007F10E5" w:rsidRPr="004E4C55" w:rsidRDefault="007F10E5" w:rsidP="00373C0B">
      <w:pPr>
        <w:pStyle w:val="FootnoteText"/>
      </w:pPr>
      <w:r w:rsidRPr="00DA491F">
        <w:rPr>
          <w:rStyle w:val="FootnoteReference"/>
          <w:rFonts w:cs="Arial"/>
          <w:sz w:val="16"/>
          <w:szCs w:val="16"/>
        </w:rPr>
        <w:footnoteRef/>
      </w:r>
      <w:r w:rsidRPr="00DA491F">
        <w:rPr>
          <w:rFonts w:cs="Arial"/>
          <w:sz w:val="16"/>
          <w:szCs w:val="16"/>
        </w:rPr>
        <w:t xml:space="preserve"> Le récapitulatif des plans ou schémas d’urbanisme récents en cours,  établi dans l’annexe au rapport sur la base documentaire,  permet de dénombrer, en dehors des communes, 6 à 7 commanditaires publics différents  (MPCE, MTPTC, ST/CIAT, MICT, UCLBP, MEF, MT)</w:t>
      </w:r>
    </w:p>
  </w:footnote>
  <w:footnote w:id="7">
    <w:p w14:paraId="2DD5E3BB" w14:textId="77777777" w:rsidR="007F10E5" w:rsidRPr="00DA491F" w:rsidRDefault="007F10E5" w:rsidP="00373C0B">
      <w:pPr>
        <w:pStyle w:val="FootnoteText"/>
        <w:rPr>
          <w:rFonts w:cs="Arial"/>
          <w:sz w:val="16"/>
          <w:szCs w:val="16"/>
        </w:rPr>
      </w:pPr>
      <w:r w:rsidRPr="00DA491F">
        <w:rPr>
          <w:rStyle w:val="FootnoteReference"/>
          <w:rFonts w:cs="Arial"/>
          <w:sz w:val="16"/>
          <w:szCs w:val="16"/>
        </w:rPr>
        <w:footnoteRef/>
      </w:r>
      <w:r w:rsidRPr="00DA491F">
        <w:rPr>
          <w:rFonts w:cs="Arial"/>
          <w:sz w:val="16"/>
          <w:szCs w:val="16"/>
        </w:rPr>
        <w:t xml:space="preserve"> Étude pour l’identification et la formulation  du programme de développement urbain du 11</w:t>
      </w:r>
      <w:r w:rsidRPr="00DA491F">
        <w:rPr>
          <w:rFonts w:cs="Arial"/>
          <w:sz w:val="16"/>
          <w:szCs w:val="16"/>
          <w:vertAlign w:val="superscript"/>
        </w:rPr>
        <w:t>ième</w:t>
      </w:r>
      <w:r w:rsidRPr="00DA491F">
        <w:rPr>
          <w:rFonts w:cs="Arial"/>
          <w:sz w:val="16"/>
          <w:szCs w:val="16"/>
        </w:rPr>
        <w:t xml:space="preserve"> FED en Haïti  DUE Haïti  mars 2016. </w:t>
      </w:r>
    </w:p>
  </w:footnote>
  <w:footnote w:id="8">
    <w:p w14:paraId="3DF3063B" w14:textId="77777777" w:rsidR="007F10E5" w:rsidRPr="00DA491F" w:rsidRDefault="007F10E5" w:rsidP="00373C0B">
      <w:pPr>
        <w:pStyle w:val="FootnoteText"/>
        <w:rPr>
          <w:rFonts w:cs="Arial"/>
          <w:sz w:val="16"/>
          <w:szCs w:val="16"/>
        </w:rPr>
      </w:pPr>
      <w:r w:rsidRPr="00DA491F">
        <w:rPr>
          <w:rStyle w:val="FootnoteReference"/>
          <w:rFonts w:cs="Arial"/>
          <w:sz w:val="16"/>
          <w:szCs w:val="16"/>
        </w:rPr>
        <w:footnoteRef/>
      </w:r>
      <w:r w:rsidRPr="00DA491F">
        <w:rPr>
          <w:rFonts w:cs="Arial"/>
          <w:sz w:val="16"/>
          <w:szCs w:val="16"/>
        </w:rPr>
        <w:t xml:space="preserve"> Une approche commune du développement urbain pourrait se fonder sur les principes qui permettraient d’en orienter le sens,  à défaut de le maitriser complétement (ce qui serait sans doute un objectif trop ambitieux). </w:t>
      </w:r>
    </w:p>
  </w:footnote>
  <w:footnote w:id="9">
    <w:p w14:paraId="2F42E545" w14:textId="77777777" w:rsidR="007F10E5" w:rsidRPr="00333D03" w:rsidRDefault="007F10E5" w:rsidP="00373C0B">
      <w:pPr>
        <w:pStyle w:val="FootnoteText"/>
      </w:pPr>
      <w:r w:rsidRPr="00DA491F">
        <w:rPr>
          <w:rStyle w:val="FootnoteReference"/>
          <w:rFonts w:cs="Arial"/>
          <w:sz w:val="16"/>
          <w:szCs w:val="16"/>
        </w:rPr>
        <w:footnoteRef/>
      </w:r>
      <w:r w:rsidRPr="00DA491F">
        <w:rPr>
          <w:rFonts w:cs="Arial"/>
          <w:sz w:val="16"/>
          <w:szCs w:val="16"/>
        </w:rPr>
        <w:t xml:space="preserve"> Ces institutions n’ont pas à elles seules la clé permettant de  savoir comment  ces données doivent être traitées pour être utiles. Elles ne peuvent établir leur offre que dans une collaboration étroite  avec les institutions qui déterminent le besoin à satisfaire, en fonction du sujet en question.</w:t>
      </w:r>
      <w:r w:rsidRPr="00333D03">
        <w:t xml:space="preserve">  </w:t>
      </w:r>
    </w:p>
  </w:footnote>
  <w:footnote w:id="10">
    <w:p w14:paraId="3989F18C" w14:textId="10476E68" w:rsidR="007F10E5" w:rsidRPr="00504DEE" w:rsidRDefault="007F10E5" w:rsidP="00373C0B">
      <w:pPr>
        <w:pStyle w:val="FootnoteText"/>
        <w:rPr>
          <w:rFonts w:cs="Arial"/>
          <w:sz w:val="16"/>
          <w:szCs w:val="16"/>
        </w:rPr>
      </w:pPr>
      <w:r w:rsidRPr="00504DEE">
        <w:rPr>
          <w:rStyle w:val="FootnoteReference"/>
          <w:rFonts w:cs="Arial"/>
          <w:sz w:val="16"/>
          <w:szCs w:val="16"/>
        </w:rPr>
        <w:footnoteRef/>
      </w:r>
      <w:r>
        <w:rPr>
          <w:rFonts w:cs="Arial"/>
          <w:sz w:val="16"/>
          <w:szCs w:val="16"/>
        </w:rPr>
        <w:t xml:space="preserve">  Voir le guide méthodologique </w:t>
      </w:r>
      <w:r w:rsidRPr="00504DEE">
        <w:rPr>
          <w:rFonts w:cs="Arial"/>
          <w:sz w:val="16"/>
          <w:szCs w:val="16"/>
        </w:rPr>
        <w:t xml:space="preserve">des plans communaux de développement produit par le MPCE. </w:t>
      </w:r>
    </w:p>
  </w:footnote>
  <w:footnote w:id="11">
    <w:p w14:paraId="78722EEF" w14:textId="77777777" w:rsidR="007F10E5" w:rsidRPr="00504DEE" w:rsidRDefault="007F10E5" w:rsidP="005B2352">
      <w:pPr>
        <w:pStyle w:val="FootnoteText"/>
        <w:rPr>
          <w:rFonts w:cs="Arial"/>
          <w:sz w:val="16"/>
          <w:szCs w:val="16"/>
        </w:rPr>
      </w:pPr>
      <w:r w:rsidRPr="00504DEE">
        <w:rPr>
          <w:rStyle w:val="FootnoteReference"/>
          <w:rFonts w:cs="Arial"/>
          <w:sz w:val="16"/>
          <w:szCs w:val="16"/>
        </w:rPr>
        <w:footnoteRef/>
      </w:r>
      <w:r w:rsidRPr="00504DEE">
        <w:rPr>
          <w:rFonts w:cs="Arial"/>
          <w:sz w:val="16"/>
          <w:szCs w:val="16"/>
        </w:rPr>
        <w:t xml:space="preserve">  On peut citer les deux documents supervisés  et publiés par le ST/CIAT et  le MPCE : le premier intitulé « Lois et  règlements d’urbanisme » le second « Principes, règlements et outils de la législation haïtienne sur le développement urbain » </w:t>
      </w:r>
    </w:p>
  </w:footnote>
  <w:footnote w:id="12">
    <w:p w14:paraId="4F7F732C" w14:textId="77777777" w:rsidR="007F10E5" w:rsidRPr="00504DEE" w:rsidRDefault="007F10E5" w:rsidP="005B2352">
      <w:pPr>
        <w:pStyle w:val="FootnoteText"/>
        <w:rPr>
          <w:rFonts w:cs="Arial"/>
          <w:color w:val="FF0000"/>
          <w:sz w:val="16"/>
          <w:szCs w:val="16"/>
        </w:rPr>
      </w:pPr>
      <w:r w:rsidRPr="00504DEE">
        <w:rPr>
          <w:rStyle w:val="FootnoteReference"/>
          <w:rFonts w:cs="Arial"/>
          <w:sz w:val="16"/>
          <w:szCs w:val="16"/>
        </w:rPr>
        <w:footnoteRef/>
      </w:r>
      <w:r w:rsidRPr="00504DEE">
        <w:rPr>
          <w:rFonts w:cs="Arial"/>
          <w:sz w:val="16"/>
          <w:szCs w:val="16"/>
        </w:rPr>
        <w:t xml:space="preserve"> Cf. Guide du professionnel - Les étapes de la planification urbaine -Réhabilitation des quartiers  CIAT-mai 2013</w:t>
      </w:r>
    </w:p>
  </w:footnote>
  <w:footnote w:id="13">
    <w:p w14:paraId="42DB474D" w14:textId="77777777" w:rsidR="007F10E5" w:rsidRPr="004C23C7" w:rsidRDefault="007F10E5" w:rsidP="005B2352">
      <w:pPr>
        <w:pStyle w:val="FootnoteText"/>
        <w:rPr>
          <w:sz w:val="16"/>
          <w:szCs w:val="16"/>
        </w:rPr>
      </w:pPr>
      <w:r w:rsidRPr="004C23C7">
        <w:rPr>
          <w:rStyle w:val="FootnoteReference"/>
          <w:sz w:val="16"/>
          <w:szCs w:val="16"/>
        </w:rPr>
        <w:footnoteRef/>
      </w:r>
      <w:r w:rsidRPr="004C23C7">
        <w:rPr>
          <w:sz w:val="16"/>
          <w:szCs w:val="16"/>
        </w:rPr>
        <w:t xml:space="preserve"> Fonds faisant suite à la période d’urgence - seules des ONG éligibles</w:t>
      </w:r>
    </w:p>
  </w:footnote>
  <w:footnote w:id="14">
    <w:p w14:paraId="714B2EBC" w14:textId="77777777" w:rsidR="007F10E5" w:rsidRPr="004C23C7" w:rsidRDefault="007F10E5" w:rsidP="005B2352">
      <w:pPr>
        <w:pStyle w:val="FootnoteText"/>
        <w:rPr>
          <w:sz w:val="16"/>
          <w:szCs w:val="16"/>
        </w:rPr>
      </w:pPr>
      <w:r w:rsidRPr="004C23C7">
        <w:rPr>
          <w:rStyle w:val="FootnoteReference"/>
          <w:sz w:val="16"/>
          <w:szCs w:val="16"/>
        </w:rPr>
        <w:footnoteRef/>
      </w:r>
      <w:r w:rsidRPr="004C23C7">
        <w:rPr>
          <w:sz w:val="16"/>
          <w:szCs w:val="16"/>
        </w:rPr>
        <w:t xml:space="preserve"> Publié en juin 2013 conjointement par le CIAT, le MTPTC et l’UCLBP</w:t>
      </w:r>
    </w:p>
  </w:footnote>
  <w:footnote w:id="15">
    <w:p w14:paraId="6C4CD35C" w14:textId="77777777" w:rsidR="007F10E5" w:rsidRPr="00E01B7A" w:rsidRDefault="007F10E5" w:rsidP="005B2352">
      <w:pPr>
        <w:pStyle w:val="FootnoteText"/>
      </w:pPr>
      <w:r w:rsidRPr="004C23C7">
        <w:rPr>
          <w:rStyle w:val="FootnoteReference"/>
          <w:sz w:val="16"/>
          <w:szCs w:val="16"/>
        </w:rPr>
        <w:footnoteRef/>
      </w:r>
      <w:r w:rsidRPr="004C23C7">
        <w:rPr>
          <w:sz w:val="16"/>
          <w:szCs w:val="16"/>
        </w:rPr>
        <w:t xml:space="preserve"> PARTICIP : Clémentine TRIBOUILLARD, Sofiane KARROUM - Décembre 2014.</w:t>
      </w:r>
    </w:p>
  </w:footnote>
  <w:footnote w:id="16">
    <w:p w14:paraId="01B4EB82" w14:textId="77777777" w:rsidR="007F10E5" w:rsidRPr="0098749D" w:rsidRDefault="007F10E5" w:rsidP="00607A57">
      <w:pPr>
        <w:pStyle w:val="FootnoteText"/>
      </w:pPr>
      <w:r>
        <w:rPr>
          <w:rStyle w:val="FootnoteReference"/>
        </w:rPr>
        <w:footnoteRef/>
      </w:r>
      <w:r w:rsidRPr="0098749D">
        <w:t xml:space="preserve"> </w:t>
      </w:r>
      <w:r>
        <w:t>Etude pour l’identification et la formulation du programme de développement urbain du 11</w:t>
      </w:r>
      <w:r w:rsidRPr="0098749D">
        <w:rPr>
          <w:vertAlign w:val="superscript"/>
        </w:rPr>
        <w:t>ème</w:t>
      </w:r>
      <w:r>
        <w:t xml:space="preserve"> FED – Clémentine TRIBOUILLARD - Mars 2016 - C.1. page 3.</w:t>
      </w:r>
    </w:p>
  </w:footnote>
  <w:footnote w:id="17">
    <w:p w14:paraId="14BB9E57" w14:textId="77777777" w:rsidR="007F10E5" w:rsidRPr="004C23C7" w:rsidRDefault="007F10E5" w:rsidP="00607A57">
      <w:pPr>
        <w:pStyle w:val="FootnoteText"/>
        <w:rPr>
          <w:sz w:val="16"/>
          <w:szCs w:val="16"/>
        </w:rPr>
      </w:pPr>
      <w:r w:rsidRPr="004C23C7">
        <w:rPr>
          <w:rStyle w:val="FootnoteReference"/>
          <w:sz w:val="16"/>
          <w:szCs w:val="16"/>
        </w:rPr>
        <w:footnoteRef/>
      </w:r>
      <w:r w:rsidRPr="004C23C7">
        <w:rPr>
          <w:sz w:val="16"/>
          <w:szCs w:val="16"/>
        </w:rPr>
        <w:t xml:space="preserve"> En effet, comme cela sera présenté dans le cadre de ce document la Base de données urbaines permet de recenser la donnée existante, manquante et de l’utiliser suite à la définition de son utilité, de ses utilisateurs, etc.</w:t>
      </w:r>
    </w:p>
  </w:footnote>
  <w:footnote w:id="18">
    <w:p w14:paraId="7CB6275A" w14:textId="77777777" w:rsidR="007F10E5" w:rsidRPr="00BE4D18" w:rsidRDefault="007F10E5" w:rsidP="00607A57">
      <w:pPr>
        <w:pStyle w:val="FootnoteText"/>
      </w:pPr>
      <w:r w:rsidRPr="004C23C7">
        <w:rPr>
          <w:rStyle w:val="FootnoteReference"/>
          <w:sz w:val="16"/>
          <w:szCs w:val="16"/>
        </w:rPr>
        <w:footnoteRef/>
      </w:r>
      <w:r w:rsidRPr="004C23C7">
        <w:rPr>
          <w:sz w:val="16"/>
          <w:szCs w:val="16"/>
        </w:rPr>
        <w:t xml:space="preserve"> Préambule au rapport pour plus de détails concernant le contexte.</w:t>
      </w:r>
    </w:p>
  </w:footnote>
  <w:footnote w:id="19">
    <w:p w14:paraId="015951B0" w14:textId="77777777" w:rsidR="007F10E5" w:rsidRPr="004C23C7" w:rsidRDefault="007F10E5" w:rsidP="00F26A4C">
      <w:pPr>
        <w:pStyle w:val="FootnoteText"/>
        <w:rPr>
          <w:sz w:val="16"/>
          <w:szCs w:val="16"/>
        </w:rPr>
      </w:pPr>
      <w:r w:rsidRPr="004C23C7">
        <w:rPr>
          <w:rStyle w:val="FootnoteReference"/>
          <w:sz w:val="16"/>
          <w:szCs w:val="16"/>
        </w:rPr>
        <w:footnoteRef/>
      </w:r>
      <w:r w:rsidRPr="004C23C7">
        <w:rPr>
          <w:sz w:val="16"/>
          <w:szCs w:val="16"/>
        </w:rPr>
        <w:t xml:space="preserve"> Tel que formulé dans le guide édité par le MPCE</w:t>
      </w:r>
    </w:p>
  </w:footnote>
  <w:footnote w:id="20">
    <w:p w14:paraId="5A9F8249" w14:textId="77777777" w:rsidR="007F10E5" w:rsidRPr="004C23C7" w:rsidRDefault="007F10E5" w:rsidP="00F26A4C">
      <w:pPr>
        <w:pStyle w:val="FootnoteText"/>
        <w:rPr>
          <w:sz w:val="16"/>
          <w:szCs w:val="16"/>
        </w:rPr>
      </w:pPr>
      <w:r w:rsidRPr="004C23C7">
        <w:rPr>
          <w:rStyle w:val="FootnoteReference"/>
          <w:sz w:val="16"/>
          <w:szCs w:val="16"/>
        </w:rPr>
        <w:footnoteRef/>
      </w:r>
      <w:r w:rsidRPr="004C23C7">
        <w:rPr>
          <w:sz w:val="16"/>
          <w:szCs w:val="16"/>
        </w:rPr>
        <w:t xml:space="preserve"> Tel que décrit dans le guide du professionnel édité par le CIAT</w:t>
      </w:r>
    </w:p>
  </w:footnote>
  <w:footnote w:id="21">
    <w:p w14:paraId="345610F3" w14:textId="77777777" w:rsidR="007F10E5" w:rsidRDefault="007F10E5" w:rsidP="00F26A4C">
      <w:pPr>
        <w:pStyle w:val="FootnoteText"/>
      </w:pPr>
      <w:r>
        <w:rPr>
          <w:rStyle w:val="FootnoteReference"/>
        </w:rPr>
        <w:footnoteRef/>
      </w:r>
      <w:r>
        <w:t xml:space="preserve"> L</w:t>
      </w:r>
      <w:r w:rsidRPr="00B766D9">
        <w:t>a fonction du CIAT comme l’indique l’arrêté de création du 19 mars 2009 est beaucoup plus large puisqu’il ne concerne pas que la planification urbaine mais aussi l’aménagement du territoire, la gestion de l’eau, des bassins</w:t>
      </w:r>
      <w:r>
        <w:t xml:space="preserve"> versants, et l’assainissement.</w:t>
      </w:r>
    </w:p>
  </w:footnote>
  <w:footnote w:id="22">
    <w:p w14:paraId="64D504D4" w14:textId="77777777" w:rsidR="007F10E5" w:rsidRPr="004C23C7" w:rsidRDefault="007F10E5" w:rsidP="00F26A4C">
      <w:pPr>
        <w:pStyle w:val="FootnoteText"/>
        <w:rPr>
          <w:sz w:val="16"/>
          <w:szCs w:val="16"/>
        </w:rPr>
      </w:pPr>
      <w:r w:rsidRPr="004C23C7">
        <w:rPr>
          <w:rStyle w:val="FootnoteReference"/>
          <w:sz w:val="16"/>
          <w:szCs w:val="16"/>
        </w:rPr>
        <w:footnoteRef/>
      </w:r>
      <w:r w:rsidRPr="004C23C7">
        <w:rPr>
          <w:sz w:val="16"/>
          <w:szCs w:val="16"/>
        </w:rPr>
        <w:t xml:space="preserve"> 9 en comptant Martissant et Baillergeau.</w:t>
      </w:r>
    </w:p>
  </w:footnote>
  <w:footnote w:id="23">
    <w:p w14:paraId="5B272EF4" w14:textId="77777777" w:rsidR="007F10E5" w:rsidRPr="0081539A" w:rsidRDefault="007F10E5" w:rsidP="00F26A4C">
      <w:pPr>
        <w:pStyle w:val="FootnoteText"/>
      </w:pPr>
      <w:r w:rsidRPr="004C23C7">
        <w:rPr>
          <w:rStyle w:val="FootnoteReference"/>
          <w:sz w:val="16"/>
          <w:szCs w:val="16"/>
        </w:rPr>
        <w:footnoteRef/>
      </w:r>
      <w:r w:rsidRPr="004C23C7">
        <w:rPr>
          <w:sz w:val="16"/>
          <w:szCs w:val="16"/>
        </w:rPr>
        <w:t xml:space="preserve"> Extrait du rapport d’état des lieux institutionnel pour le secteur de l’aménagement urbain incluant l'habitat/logement et le développement urbain en Haïti - Clémentine TRIBOUILLARD, Sofiane KARROUM - Décembre 2014. Page 46 et suivantes</w:t>
      </w:r>
    </w:p>
  </w:footnote>
  <w:footnote w:id="24">
    <w:p w14:paraId="09411CBD" w14:textId="77777777" w:rsidR="007F10E5" w:rsidRPr="004C23C7" w:rsidRDefault="007F10E5" w:rsidP="00F26A4C">
      <w:pPr>
        <w:pStyle w:val="FootnoteText"/>
        <w:rPr>
          <w:sz w:val="16"/>
          <w:szCs w:val="16"/>
        </w:rPr>
      </w:pPr>
      <w:r w:rsidRPr="004C23C7">
        <w:rPr>
          <w:rStyle w:val="FootnoteReference"/>
          <w:sz w:val="16"/>
          <w:szCs w:val="16"/>
        </w:rPr>
        <w:footnoteRef/>
      </w:r>
      <w:r w:rsidRPr="004C23C7">
        <w:rPr>
          <w:sz w:val="16"/>
          <w:szCs w:val="16"/>
        </w:rPr>
        <w:t xml:space="preserve"> Extrait du rapport d’état des lieux institutionnel pour le secteur de l’aménagement urbain incluant l'habitat/logement et le développement urbain en Haïti - Clémentine TRIBOUILLARD, Sofiane KARROUM - Décembre 2014. Page 9 et suivantes</w:t>
      </w:r>
    </w:p>
  </w:footnote>
  <w:footnote w:id="25">
    <w:p w14:paraId="21F826D3" w14:textId="77777777" w:rsidR="007F10E5" w:rsidRPr="004C23C7" w:rsidRDefault="007F10E5" w:rsidP="00F26A4C">
      <w:pPr>
        <w:pStyle w:val="FootnoteText"/>
        <w:rPr>
          <w:sz w:val="16"/>
          <w:szCs w:val="16"/>
        </w:rPr>
      </w:pPr>
      <w:r w:rsidRPr="004C23C7">
        <w:rPr>
          <w:rStyle w:val="FootnoteReference"/>
          <w:sz w:val="16"/>
          <w:szCs w:val="16"/>
        </w:rPr>
        <w:footnoteRef/>
      </w:r>
      <w:r w:rsidRPr="004C23C7">
        <w:rPr>
          <w:sz w:val="16"/>
          <w:szCs w:val="16"/>
        </w:rPr>
        <w:t xml:space="preserve"> Les offres financières demandées par les bureaux d’étude étaient beaucoup trop importantes pour des villes de cette importance. Au final les commanditaires envisagent une consultation plus locale conduite sous forme d’atelier. L’enjeu de cette consultation sur la BCA reste malgré tout d’essayer de redéfinir un nouveau modèle de PAEE.</w:t>
      </w:r>
    </w:p>
  </w:footnote>
  <w:footnote w:id="26">
    <w:p w14:paraId="47F62DEA" w14:textId="77777777" w:rsidR="007F10E5" w:rsidRPr="004C23C7" w:rsidRDefault="007F10E5" w:rsidP="00F26A4C">
      <w:pPr>
        <w:pStyle w:val="FootnoteText"/>
        <w:rPr>
          <w:sz w:val="16"/>
          <w:szCs w:val="16"/>
        </w:rPr>
      </w:pPr>
      <w:r w:rsidRPr="004C23C7">
        <w:rPr>
          <w:rStyle w:val="FootnoteReference"/>
          <w:sz w:val="16"/>
          <w:szCs w:val="16"/>
        </w:rPr>
        <w:footnoteRef/>
      </w:r>
      <w:r w:rsidRPr="004C23C7">
        <w:rPr>
          <w:sz w:val="16"/>
          <w:szCs w:val="16"/>
        </w:rPr>
        <w:t xml:space="preserve"> Une réflexion conjointe SPU/MICT est actuellement en cours pour harmoniser et mieux suivre les procédures d’instruction des permis de construire, avec une meilleure implication des communes. </w:t>
      </w:r>
    </w:p>
  </w:footnote>
  <w:footnote w:id="27">
    <w:p w14:paraId="4A4C4BDD" w14:textId="77777777" w:rsidR="007F10E5" w:rsidRPr="00D557AB" w:rsidRDefault="007F10E5" w:rsidP="00F26A4C">
      <w:pPr>
        <w:pStyle w:val="FootnoteText"/>
      </w:pPr>
      <w:r w:rsidRPr="004C23C7">
        <w:rPr>
          <w:rStyle w:val="FootnoteReference"/>
          <w:sz w:val="16"/>
          <w:szCs w:val="16"/>
        </w:rPr>
        <w:footnoteRef/>
      </w:r>
      <w:r w:rsidRPr="004C23C7">
        <w:rPr>
          <w:sz w:val="16"/>
          <w:szCs w:val="16"/>
        </w:rPr>
        <w:t xml:space="preserve"> Entretien du 14/06/2016</w:t>
      </w:r>
    </w:p>
  </w:footnote>
  <w:footnote w:id="28">
    <w:p w14:paraId="6C073FAA" w14:textId="77777777" w:rsidR="007F10E5" w:rsidRPr="004C23C7" w:rsidRDefault="007F10E5" w:rsidP="00F26A4C">
      <w:pPr>
        <w:pStyle w:val="FootnoteText"/>
        <w:rPr>
          <w:sz w:val="16"/>
          <w:szCs w:val="16"/>
        </w:rPr>
      </w:pPr>
      <w:r w:rsidRPr="004C23C7">
        <w:rPr>
          <w:rStyle w:val="FootnoteReference"/>
          <w:sz w:val="16"/>
          <w:szCs w:val="16"/>
        </w:rPr>
        <w:footnoteRef/>
      </w:r>
      <w:r w:rsidRPr="004C23C7">
        <w:rPr>
          <w:sz w:val="16"/>
          <w:szCs w:val="16"/>
        </w:rPr>
        <w:t xml:space="preserve"> Peu d’information sur les critères d’attribution du Fonds Local d’Aménagement du Territoire, car non validé par les institutions. Les préalables sont que les communes disposent d’un PCD et d’un budget communal. 4 à 5 critères sont identifiés comme clef de répartition (statut territorial, densité, Superficie, niveau de pauvreté de la commune, zone prioritaire du PSDH.</w:t>
      </w:r>
    </w:p>
  </w:footnote>
  <w:footnote w:id="29">
    <w:p w14:paraId="6D22498D" w14:textId="77777777" w:rsidR="007F10E5" w:rsidRPr="004C23C7" w:rsidRDefault="007F10E5" w:rsidP="00F26A4C">
      <w:pPr>
        <w:pStyle w:val="FootnoteText"/>
        <w:rPr>
          <w:sz w:val="16"/>
          <w:szCs w:val="16"/>
        </w:rPr>
      </w:pPr>
      <w:r w:rsidRPr="004C23C7">
        <w:rPr>
          <w:rStyle w:val="FootnoteReference"/>
          <w:sz w:val="16"/>
          <w:szCs w:val="16"/>
        </w:rPr>
        <w:footnoteRef/>
      </w:r>
      <w:r w:rsidRPr="004C23C7">
        <w:rPr>
          <w:sz w:val="16"/>
          <w:szCs w:val="16"/>
        </w:rPr>
        <w:t xml:space="preserve"> Lien avec les autres volets du PAIFU : L’exercice conduit dans la session 8 de septembre 2016, de la formation PAIFU AGIR, consiste justement à élaborer des TDR sur quatre situations urbaines - 2 en provinces deux en ZMPAP. Ces TdR s’adressent  à des bureaux d’étude chargés de réaliser un travail de planification urbaine.</w:t>
      </w:r>
    </w:p>
  </w:footnote>
  <w:footnote w:id="30">
    <w:p w14:paraId="576C9C89" w14:textId="77777777" w:rsidR="007F10E5" w:rsidRPr="004C23C7" w:rsidRDefault="007F10E5" w:rsidP="00F26A4C">
      <w:pPr>
        <w:pStyle w:val="FootnoteText"/>
        <w:rPr>
          <w:sz w:val="16"/>
          <w:szCs w:val="16"/>
        </w:rPr>
      </w:pPr>
      <w:r w:rsidRPr="004C23C7">
        <w:rPr>
          <w:rStyle w:val="FootnoteReference"/>
          <w:sz w:val="16"/>
          <w:szCs w:val="16"/>
        </w:rPr>
        <w:footnoteRef/>
      </w:r>
      <w:r w:rsidRPr="004C23C7">
        <w:rPr>
          <w:sz w:val="16"/>
          <w:szCs w:val="16"/>
        </w:rPr>
        <w:t xml:space="preserve"> Les différents guides existants, dont le GUSI, sont révélateurs d’une volonté d’avancer sur le plan méthodologique. Cependant, cette intention se heurte à des lacunes ou de profondes incohérences institutionnelles.</w:t>
      </w:r>
    </w:p>
  </w:footnote>
  <w:footnote w:id="31">
    <w:p w14:paraId="7CBE0669" w14:textId="77777777" w:rsidR="007F10E5" w:rsidRPr="007279BA" w:rsidRDefault="007F10E5" w:rsidP="00F26A4C">
      <w:pPr>
        <w:pStyle w:val="FootnoteText"/>
      </w:pPr>
      <w:r w:rsidRPr="004C23C7">
        <w:rPr>
          <w:rStyle w:val="FootnoteReference"/>
          <w:sz w:val="16"/>
          <w:szCs w:val="16"/>
        </w:rPr>
        <w:footnoteRef/>
      </w:r>
      <w:r w:rsidRPr="004C23C7">
        <w:rPr>
          <w:sz w:val="16"/>
          <w:szCs w:val="16"/>
        </w:rPr>
        <w:t xml:space="preserve"> C’est par définition institutionnelle la vocation du CIAT</w:t>
      </w:r>
      <w:r>
        <w:t xml:space="preserve"> </w:t>
      </w:r>
    </w:p>
  </w:footnote>
  <w:footnote w:id="32">
    <w:p w14:paraId="2108F7C3" w14:textId="77777777" w:rsidR="007F10E5" w:rsidRPr="004C23C7" w:rsidRDefault="007F10E5" w:rsidP="00F26A4C">
      <w:pPr>
        <w:pStyle w:val="FootnoteText"/>
        <w:rPr>
          <w:sz w:val="16"/>
          <w:szCs w:val="16"/>
        </w:rPr>
      </w:pPr>
      <w:r w:rsidRPr="004C23C7">
        <w:rPr>
          <w:rStyle w:val="FootnoteReference"/>
          <w:sz w:val="16"/>
          <w:szCs w:val="16"/>
        </w:rPr>
        <w:footnoteRef/>
      </w:r>
      <w:r w:rsidRPr="004C23C7">
        <w:rPr>
          <w:sz w:val="16"/>
          <w:szCs w:val="16"/>
        </w:rPr>
        <w:t xml:space="preserve"> Etude en cours de définition UE – ST/CIAT</w:t>
      </w:r>
    </w:p>
  </w:footnote>
  <w:footnote w:id="33">
    <w:p w14:paraId="7015B300" w14:textId="77777777" w:rsidR="007F10E5" w:rsidRPr="004C23C7" w:rsidRDefault="007F10E5" w:rsidP="00F26A4C">
      <w:pPr>
        <w:pStyle w:val="FootnoteText"/>
        <w:rPr>
          <w:sz w:val="16"/>
          <w:szCs w:val="16"/>
        </w:rPr>
      </w:pPr>
      <w:r w:rsidRPr="004C23C7">
        <w:rPr>
          <w:rStyle w:val="FootnoteReference"/>
          <w:sz w:val="16"/>
          <w:szCs w:val="16"/>
        </w:rPr>
        <w:footnoteRef/>
      </w:r>
      <w:r w:rsidRPr="004C23C7">
        <w:rPr>
          <w:sz w:val="16"/>
          <w:szCs w:val="16"/>
        </w:rPr>
        <w:t xml:space="preserve"> Le trait est ici poussé à l’extrême mais un suivi/comparaison des actions prioritaires identifiées dans les schémas d’aménagement (ainsi que leur coût) et des actions réellement mis en œuvre par les opérateurs (ainsi que leur coût) pourrait permettre d’affiner ce diagnostic. Cette analyse serait à rapprocher avec l’impact des actions produites sur la structuration du quartier et son lien à la ville dans toutes les dimensions du développement urbain (déplacement, emploi, services de base, mise en sécurité des populations, etc.).</w:t>
      </w:r>
    </w:p>
  </w:footnote>
  <w:footnote w:id="34">
    <w:p w14:paraId="0B810BED" w14:textId="77777777" w:rsidR="007F10E5" w:rsidRPr="0005058F" w:rsidRDefault="007F10E5" w:rsidP="00F26A4C">
      <w:pPr>
        <w:pStyle w:val="FootnoteText"/>
      </w:pPr>
      <w:r w:rsidRPr="004C23C7">
        <w:rPr>
          <w:rStyle w:val="FootnoteReference"/>
          <w:sz w:val="16"/>
          <w:szCs w:val="16"/>
        </w:rPr>
        <w:footnoteRef/>
      </w:r>
      <w:r w:rsidRPr="004C23C7">
        <w:rPr>
          <w:sz w:val="16"/>
          <w:szCs w:val="16"/>
        </w:rPr>
        <w:t xml:space="preserve"> Les schémas d’aménagement de quartiers sont une déclinaison des schémas d’aménagement urbain. Dans ce cadre ils doivent respecter les prescriptions du schéma global qui serait quant à lui conçu ou encadré par le SPU</w:t>
      </w:r>
    </w:p>
  </w:footnote>
  <w:footnote w:id="35">
    <w:p w14:paraId="70B33F90" w14:textId="77777777" w:rsidR="007F10E5" w:rsidRPr="004C23C7" w:rsidRDefault="007F10E5" w:rsidP="00F26A4C">
      <w:pPr>
        <w:pStyle w:val="FootnoteText"/>
        <w:rPr>
          <w:sz w:val="16"/>
          <w:szCs w:val="16"/>
        </w:rPr>
      </w:pPr>
      <w:r w:rsidRPr="004C23C7">
        <w:rPr>
          <w:rStyle w:val="FootnoteReference"/>
          <w:sz w:val="16"/>
          <w:szCs w:val="16"/>
        </w:rPr>
        <w:footnoteRef/>
      </w:r>
      <w:r w:rsidRPr="004C23C7">
        <w:rPr>
          <w:sz w:val="16"/>
          <w:szCs w:val="16"/>
        </w:rPr>
        <w:t xml:space="preserve"> Cf plus bas.</w:t>
      </w:r>
    </w:p>
  </w:footnote>
  <w:footnote w:id="36">
    <w:p w14:paraId="279A678F" w14:textId="77777777" w:rsidR="007F10E5" w:rsidRPr="004C23C7" w:rsidRDefault="007F10E5" w:rsidP="00F26A4C">
      <w:pPr>
        <w:pStyle w:val="FootnoteText"/>
        <w:rPr>
          <w:sz w:val="16"/>
          <w:szCs w:val="16"/>
        </w:rPr>
      </w:pPr>
      <w:r w:rsidRPr="004C23C7">
        <w:rPr>
          <w:rStyle w:val="FootnoteReference"/>
          <w:sz w:val="16"/>
          <w:szCs w:val="16"/>
        </w:rPr>
        <w:footnoteRef/>
      </w:r>
      <w:r w:rsidRPr="004C23C7">
        <w:rPr>
          <w:sz w:val="16"/>
          <w:szCs w:val="16"/>
        </w:rPr>
        <w:t xml:space="preserve"> La loi va dans ce sens, mais dans la pratique le SPU n’est pas reconnu pas les autres institutions du secteur comme étant l’institution en charge du suivi de la planification urbaine. Il s’agit donc de renforcer le SPU dans ce rôle et de légitimer ce rôle et ré-indiquant dans les appels d’offre les rôles et responsabilités de chacun.</w:t>
      </w:r>
    </w:p>
  </w:footnote>
  <w:footnote w:id="37">
    <w:p w14:paraId="7323390E" w14:textId="7908C2A3" w:rsidR="007F10E5" w:rsidRDefault="007F10E5">
      <w:pPr>
        <w:pStyle w:val="FootnoteText"/>
      </w:pPr>
      <w:r>
        <w:rPr>
          <w:rStyle w:val="FootnoteReference"/>
        </w:rPr>
        <w:footnoteRef/>
      </w:r>
      <w:r>
        <w:t xml:space="preserve"> 4 comités de suivi ont été pris en compte dans le cadre de ce document sur la demande du comité de suivi. </w:t>
      </w:r>
    </w:p>
  </w:footnote>
  <w:footnote w:id="38">
    <w:p w14:paraId="2677DF82" w14:textId="77777777" w:rsidR="007F10E5" w:rsidRPr="0011335E" w:rsidRDefault="007F10E5" w:rsidP="00607A57">
      <w:pPr>
        <w:pStyle w:val="FootnoteText"/>
      </w:pPr>
      <w:r>
        <w:rPr>
          <w:rStyle w:val="FootnoteReference"/>
        </w:rPr>
        <w:footnoteRef/>
      </w:r>
      <w:r w:rsidRPr="0011335E">
        <w:t xml:space="preserve"> </w:t>
      </w:r>
      <w:r>
        <w:t>Aujourd’hui, ces fonctions ne sont pas assurées par d’autres institutions.</w:t>
      </w:r>
    </w:p>
  </w:footnote>
  <w:footnote w:id="39">
    <w:p w14:paraId="5FC63393" w14:textId="77777777" w:rsidR="007F10E5" w:rsidRPr="006654FA" w:rsidRDefault="007F10E5" w:rsidP="00607A57">
      <w:pPr>
        <w:pStyle w:val="FootnoteText"/>
        <w:rPr>
          <w:sz w:val="16"/>
          <w:szCs w:val="16"/>
        </w:rPr>
      </w:pPr>
      <w:r w:rsidRPr="006654FA">
        <w:rPr>
          <w:rStyle w:val="FootnoteReference"/>
          <w:sz w:val="16"/>
          <w:szCs w:val="16"/>
        </w:rPr>
        <w:footnoteRef/>
      </w:r>
      <w:r w:rsidRPr="006654FA">
        <w:rPr>
          <w:sz w:val="16"/>
          <w:szCs w:val="16"/>
        </w:rPr>
        <w:t xml:space="preserve"> A relier ici avec la proposition d’un passage obligatoire des opérateurs au SPU.</w:t>
      </w:r>
    </w:p>
  </w:footnote>
  <w:footnote w:id="40">
    <w:p w14:paraId="729272A2" w14:textId="0DFA5016" w:rsidR="007F10E5" w:rsidRPr="006654FA" w:rsidRDefault="007F10E5" w:rsidP="00607A57">
      <w:pPr>
        <w:pStyle w:val="FootnoteText"/>
        <w:rPr>
          <w:sz w:val="16"/>
          <w:szCs w:val="16"/>
        </w:rPr>
      </w:pPr>
      <w:r w:rsidRPr="006654FA">
        <w:rPr>
          <w:rStyle w:val="FootnoteReference"/>
          <w:sz w:val="16"/>
          <w:szCs w:val="16"/>
        </w:rPr>
        <w:footnoteRef/>
      </w:r>
      <w:r w:rsidRPr="006654FA">
        <w:rPr>
          <w:sz w:val="16"/>
          <w:szCs w:val="16"/>
        </w:rPr>
        <w:t xml:space="preserve"> Les observatoires urbains sont des initiatives qui ont principalement vu le jour dans les pays en développement à partir de la conférence Habitat II de 1996 à Istanbul qui a vu la création du Global Urban Observatory. Cet observatoire a été créé dans le but de surveiller la mise en œuvre du 11ème Objectif du Millénaire pour le Développement (OMD), à savoir améliorer sensiblement les conditions de vie des 100 millions d’habitants de bidonvilles d’ici 2020.</w:t>
      </w:r>
    </w:p>
  </w:footnote>
  <w:footnote w:id="41">
    <w:p w14:paraId="45DACDFD" w14:textId="77777777" w:rsidR="007F10E5" w:rsidRPr="006654FA" w:rsidRDefault="007F10E5" w:rsidP="00607A57">
      <w:pPr>
        <w:pStyle w:val="FootnoteText"/>
        <w:rPr>
          <w:sz w:val="16"/>
          <w:szCs w:val="16"/>
        </w:rPr>
      </w:pPr>
      <w:r w:rsidRPr="006654FA">
        <w:rPr>
          <w:rStyle w:val="FootnoteReference"/>
          <w:sz w:val="16"/>
          <w:szCs w:val="16"/>
        </w:rPr>
        <w:footnoteRef/>
      </w:r>
      <w:r w:rsidRPr="006654FA">
        <w:rPr>
          <w:sz w:val="16"/>
          <w:szCs w:val="16"/>
        </w:rPr>
        <w:t xml:space="preserve"> La nomenclature d’une base de données correspond au contenu thématique (ou sujets abordés) de la base</w:t>
      </w:r>
    </w:p>
  </w:footnote>
  <w:footnote w:id="42">
    <w:p w14:paraId="3553C036" w14:textId="77777777" w:rsidR="007F10E5" w:rsidRPr="00776C50" w:rsidRDefault="007F10E5" w:rsidP="00F927A2">
      <w:pPr>
        <w:pStyle w:val="FootnoteText"/>
      </w:pPr>
      <w:r>
        <w:rPr>
          <w:rStyle w:val="FootnoteReference"/>
        </w:rPr>
        <w:footnoteRef/>
      </w:r>
      <w:r w:rsidRPr="00776C50">
        <w:t xml:space="preserve"> </w:t>
      </w:r>
      <w:r>
        <w:t>Cela signifie qu’il y ait au préalable une communication présentant le rôle du SPU aux communes et les conditions de son appui.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E5A70" w14:textId="2424FE0A" w:rsidR="007F10E5" w:rsidRPr="004C23C7" w:rsidRDefault="007F10E5" w:rsidP="007B206C">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41" w:rightFromText="141" w:vertAnchor="text" w:tblpXSpec="center" w:tblpY="1"/>
      <w:tblOverlap w:val="never"/>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482"/>
      <w:gridCol w:w="5304"/>
    </w:tblGrid>
    <w:tr w:rsidR="007F10E5" w:rsidRPr="004C23C7" w14:paraId="0DC9F67B" w14:textId="77777777" w:rsidTr="00F55610">
      <w:trPr>
        <w:cantSplit/>
        <w:jc w:val="center"/>
      </w:trPr>
      <w:tc>
        <w:tcPr>
          <w:tcW w:w="0" w:type="auto"/>
          <w:vAlign w:val="center"/>
        </w:tcPr>
        <w:p w14:paraId="6C367275" w14:textId="77777777" w:rsidR="007F10E5" w:rsidRPr="004C23C7" w:rsidRDefault="007F10E5" w:rsidP="0006684F">
          <w:pPr>
            <w:jc w:val="center"/>
          </w:pPr>
          <w:r w:rsidRPr="004C23C7">
            <w:t>Burkina Faso</w:t>
          </w:r>
        </w:p>
      </w:tc>
      <w:tc>
        <w:tcPr>
          <w:tcW w:w="0" w:type="auto"/>
          <w:vAlign w:val="center"/>
        </w:tcPr>
        <w:p w14:paraId="7FD1D16F" w14:textId="77777777" w:rsidR="007F10E5" w:rsidRPr="004C23C7" w:rsidRDefault="007F10E5" w:rsidP="00F55610">
          <w:pPr>
            <w:jc w:val="center"/>
          </w:pPr>
        </w:p>
      </w:tc>
      <w:tc>
        <w:tcPr>
          <w:tcW w:w="0" w:type="auto"/>
          <w:vAlign w:val="center"/>
        </w:tcPr>
        <w:p w14:paraId="2F5C94EC" w14:textId="77777777" w:rsidR="007F10E5" w:rsidRPr="004C23C7" w:rsidRDefault="007F10E5" w:rsidP="0006684F">
          <w:pPr>
            <w:jc w:val="center"/>
          </w:pPr>
          <w:r w:rsidRPr="004C23C7">
            <w:t>UNOPS/Cities Alliance</w:t>
          </w:r>
        </w:p>
      </w:tc>
    </w:tr>
  </w:tbl>
  <w:p w14:paraId="180190DF" w14:textId="77777777" w:rsidR="007F10E5" w:rsidRPr="004C23C7" w:rsidRDefault="007F10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0CA4F12"/>
    <w:lvl w:ilvl="0">
      <w:start w:val="1"/>
      <w:numFmt w:val="decimal"/>
      <w:lvlRestart w:val="0"/>
      <w:pStyle w:val="ListNumber"/>
      <w:lvlText w:val="%1."/>
      <w:lvlJc w:val="left"/>
      <w:pPr>
        <w:tabs>
          <w:tab w:val="num" w:pos="283"/>
        </w:tabs>
        <w:ind w:left="283" w:hanging="283"/>
      </w:pPr>
    </w:lvl>
  </w:abstractNum>
  <w:abstractNum w:abstractNumId="1">
    <w:nsid w:val="FFFFFF89"/>
    <w:multiLevelType w:val="singleLevel"/>
    <w:tmpl w:val="C4023D84"/>
    <w:lvl w:ilvl="0">
      <w:start w:val="1"/>
      <w:numFmt w:val="bullet"/>
      <w:pStyle w:val="ListBullet"/>
      <w:lvlText w:val=""/>
      <w:lvlJc w:val="left"/>
      <w:pPr>
        <w:tabs>
          <w:tab w:val="num" w:pos="284"/>
        </w:tabs>
        <w:ind w:left="284" w:hanging="284"/>
      </w:pPr>
      <w:rPr>
        <w:rFonts w:ascii="Symbol" w:hAnsi="Symbol" w:hint="default"/>
      </w:rPr>
    </w:lvl>
  </w:abstractNum>
  <w:abstractNum w:abstractNumId="2">
    <w:nsid w:val="00EA4229"/>
    <w:multiLevelType w:val="hybridMultilevel"/>
    <w:tmpl w:val="7E8069B4"/>
    <w:lvl w:ilvl="0" w:tplc="AFCE2058">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1844173"/>
    <w:multiLevelType w:val="hybridMultilevel"/>
    <w:tmpl w:val="315E4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624339B"/>
    <w:multiLevelType w:val="hybridMultilevel"/>
    <w:tmpl w:val="08FAAEC4"/>
    <w:lvl w:ilvl="0" w:tplc="BD7E11E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B70EB4"/>
    <w:multiLevelType w:val="hybridMultilevel"/>
    <w:tmpl w:val="08CE34E4"/>
    <w:lvl w:ilvl="0" w:tplc="788C324E">
      <w:start w:val="1"/>
      <w:numFmt w:val="decimal"/>
      <w:pStyle w:val="Annexes"/>
      <w:lvlText w:val="Annex %1."/>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0E741E9D"/>
    <w:multiLevelType w:val="hybridMultilevel"/>
    <w:tmpl w:val="69B4B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FB540CB"/>
    <w:multiLevelType w:val="hybridMultilevel"/>
    <w:tmpl w:val="EC005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498165B"/>
    <w:multiLevelType w:val="hybridMultilevel"/>
    <w:tmpl w:val="B3986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4C9656A"/>
    <w:multiLevelType w:val="hybridMultilevel"/>
    <w:tmpl w:val="A8A8AA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69B36B5"/>
    <w:multiLevelType w:val="hybridMultilevel"/>
    <w:tmpl w:val="D72678EE"/>
    <w:lvl w:ilvl="0" w:tplc="1C92683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78F6268"/>
    <w:multiLevelType w:val="hybridMultilevel"/>
    <w:tmpl w:val="99969AB4"/>
    <w:lvl w:ilvl="0" w:tplc="B31A7144">
      <w:start w:val="1"/>
      <w:numFmt w:val="decimal"/>
      <w:pStyle w:val="MediumShading1-Accent21"/>
      <w:lvlText w:val="%1."/>
      <w:lvlJc w:val="left"/>
      <w:pPr>
        <w:ind w:left="0" w:firstLine="0"/>
      </w:pPr>
      <w:rPr>
        <w:rFonts w:hint="default"/>
        <w:b w:val="0"/>
        <w:sz w:val="20"/>
        <w:szCs w:val="20"/>
      </w:rPr>
    </w:lvl>
    <w:lvl w:ilvl="1" w:tplc="04070019">
      <w:start w:val="1"/>
      <w:numFmt w:val="lowerLetter"/>
      <w:lvlText w:val="%2."/>
      <w:lvlJc w:val="left"/>
      <w:pPr>
        <w:ind w:left="1014" w:hanging="360"/>
      </w:pPr>
    </w:lvl>
    <w:lvl w:ilvl="2" w:tplc="0407001B" w:tentative="1">
      <w:start w:val="1"/>
      <w:numFmt w:val="lowerRoman"/>
      <w:lvlText w:val="%3."/>
      <w:lvlJc w:val="right"/>
      <w:pPr>
        <w:ind w:left="1734" w:hanging="180"/>
      </w:pPr>
    </w:lvl>
    <w:lvl w:ilvl="3" w:tplc="0407000F" w:tentative="1">
      <w:start w:val="1"/>
      <w:numFmt w:val="decimal"/>
      <w:lvlText w:val="%4."/>
      <w:lvlJc w:val="left"/>
      <w:pPr>
        <w:ind w:left="2454" w:hanging="360"/>
      </w:pPr>
    </w:lvl>
    <w:lvl w:ilvl="4" w:tplc="04070019" w:tentative="1">
      <w:start w:val="1"/>
      <w:numFmt w:val="lowerLetter"/>
      <w:lvlText w:val="%5."/>
      <w:lvlJc w:val="left"/>
      <w:pPr>
        <w:ind w:left="3174" w:hanging="360"/>
      </w:pPr>
    </w:lvl>
    <w:lvl w:ilvl="5" w:tplc="0407001B" w:tentative="1">
      <w:start w:val="1"/>
      <w:numFmt w:val="lowerRoman"/>
      <w:lvlText w:val="%6."/>
      <w:lvlJc w:val="right"/>
      <w:pPr>
        <w:ind w:left="3894" w:hanging="180"/>
      </w:pPr>
    </w:lvl>
    <w:lvl w:ilvl="6" w:tplc="0407000F" w:tentative="1">
      <w:start w:val="1"/>
      <w:numFmt w:val="decimal"/>
      <w:lvlText w:val="%7."/>
      <w:lvlJc w:val="left"/>
      <w:pPr>
        <w:ind w:left="4614" w:hanging="360"/>
      </w:pPr>
    </w:lvl>
    <w:lvl w:ilvl="7" w:tplc="04070019" w:tentative="1">
      <w:start w:val="1"/>
      <w:numFmt w:val="lowerLetter"/>
      <w:lvlText w:val="%8."/>
      <w:lvlJc w:val="left"/>
      <w:pPr>
        <w:ind w:left="5334" w:hanging="360"/>
      </w:pPr>
    </w:lvl>
    <w:lvl w:ilvl="8" w:tplc="0407001B" w:tentative="1">
      <w:start w:val="1"/>
      <w:numFmt w:val="lowerRoman"/>
      <w:lvlText w:val="%9."/>
      <w:lvlJc w:val="right"/>
      <w:pPr>
        <w:ind w:left="6054" w:hanging="180"/>
      </w:pPr>
    </w:lvl>
  </w:abstractNum>
  <w:abstractNum w:abstractNumId="12">
    <w:nsid w:val="28157860"/>
    <w:multiLevelType w:val="hybridMultilevel"/>
    <w:tmpl w:val="B7665F7C"/>
    <w:lvl w:ilvl="0" w:tplc="1C92683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E8B5052"/>
    <w:multiLevelType w:val="hybridMultilevel"/>
    <w:tmpl w:val="3782D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22326BC"/>
    <w:multiLevelType w:val="multilevel"/>
    <w:tmpl w:val="7F5C8D20"/>
    <w:lvl w:ilvl="0">
      <w:start w:val="1"/>
      <w:numFmt w:val="upperLetter"/>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1440"/>
        </w:tabs>
        <w:ind w:left="851" w:hanging="851"/>
      </w:pPr>
      <w:rPr>
        <w:rFonts w:hint="default"/>
      </w:rPr>
    </w:lvl>
    <w:lvl w:ilvl="2">
      <w:start w:val="1"/>
      <w:numFmt w:val="decimal"/>
      <w:pStyle w:val="Heading3"/>
      <w:lvlText w:val="%1.%2.%3."/>
      <w:lvlJc w:val="left"/>
      <w:pPr>
        <w:tabs>
          <w:tab w:val="num" w:pos="1800"/>
        </w:tabs>
        <w:ind w:left="851" w:hanging="851"/>
      </w:pPr>
      <w:rPr>
        <w:rFonts w:hint="default"/>
        <w:b/>
      </w:rPr>
    </w:lvl>
    <w:lvl w:ilvl="3">
      <w:start w:val="1"/>
      <w:numFmt w:val="lowerLetter"/>
      <w:pStyle w:val="Heading4"/>
      <w:lvlText w:val="%4)"/>
      <w:lvlJc w:val="left"/>
      <w:pPr>
        <w:tabs>
          <w:tab w:val="num" w:pos="1571"/>
        </w:tabs>
        <w:ind w:left="992" w:hanging="14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252290A"/>
    <w:multiLevelType w:val="hybridMultilevel"/>
    <w:tmpl w:val="51A6AAA0"/>
    <w:lvl w:ilvl="0" w:tplc="BD7E11E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253B33"/>
    <w:multiLevelType w:val="hybridMultilevel"/>
    <w:tmpl w:val="A39E6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032F63"/>
    <w:multiLevelType w:val="hybridMultilevel"/>
    <w:tmpl w:val="7250C9F4"/>
    <w:lvl w:ilvl="0" w:tplc="1C926836">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FCC46F8"/>
    <w:multiLevelType w:val="hybridMultilevel"/>
    <w:tmpl w:val="04F810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01F25F2"/>
    <w:multiLevelType w:val="hybridMultilevel"/>
    <w:tmpl w:val="D040D73E"/>
    <w:lvl w:ilvl="0" w:tplc="1C92683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1425196"/>
    <w:multiLevelType w:val="hybridMultilevel"/>
    <w:tmpl w:val="F0105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5CF4D59"/>
    <w:multiLevelType w:val="hybridMultilevel"/>
    <w:tmpl w:val="5726C89C"/>
    <w:lvl w:ilvl="0" w:tplc="040C0003">
      <w:start w:val="1"/>
      <w:numFmt w:val="bullet"/>
      <w:lvlText w:val="o"/>
      <w:lvlJc w:val="left"/>
      <w:pPr>
        <w:ind w:left="1428" w:hanging="360"/>
      </w:pPr>
      <w:rPr>
        <w:rFonts w:ascii="Courier New" w:hAnsi="Courier New" w:cs="Courier New" w:hint="default"/>
      </w:rPr>
    </w:lvl>
    <w:lvl w:ilvl="1" w:tplc="5E346226">
      <w:numFmt w:val="bullet"/>
      <w:lvlText w:val="•"/>
      <w:lvlJc w:val="left"/>
      <w:pPr>
        <w:ind w:left="2148" w:hanging="360"/>
      </w:pPr>
      <w:rPr>
        <w:rFonts w:ascii="Arial" w:eastAsiaTheme="minorHAnsi" w:hAnsi="Arial" w:cs="Arial"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491612BC"/>
    <w:multiLevelType w:val="hybridMultilevel"/>
    <w:tmpl w:val="0156BE3E"/>
    <w:lvl w:ilvl="0" w:tplc="030C47C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91F7AEC"/>
    <w:multiLevelType w:val="hybridMultilevel"/>
    <w:tmpl w:val="FF5290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C1A467E"/>
    <w:multiLevelType w:val="multilevel"/>
    <w:tmpl w:val="73669A7A"/>
    <w:lvl w:ilvl="0">
      <w:start w:val="1"/>
      <w:numFmt w:val="decimal"/>
      <w:lvlText w:val="%1."/>
      <w:lvlJc w:val="left"/>
      <w:pPr>
        <w:tabs>
          <w:tab w:val="num" w:pos="567"/>
        </w:tabs>
        <w:ind w:left="1275" w:hanging="708"/>
      </w:pPr>
      <w:rPr>
        <w:rFonts w:hint="default"/>
      </w:rPr>
    </w:lvl>
    <w:lvl w:ilvl="1">
      <w:numFmt w:val="decimal"/>
      <w:lvlText w:val="%1.%2."/>
      <w:lvlJc w:val="left"/>
      <w:pPr>
        <w:tabs>
          <w:tab w:val="num" w:pos="1983"/>
        </w:tabs>
        <w:ind w:left="1983" w:hanging="708"/>
      </w:pPr>
      <w:rPr>
        <w:rFonts w:hint="default"/>
      </w:rPr>
    </w:lvl>
    <w:lvl w:ilvl="2">
      <w:start w:val="1"/>
      <w:numFmt w:val="decimal"/>
      <w:lvlText w:val="%1.%2.%3."/>
      <w:lvlJc w:val="left"/>
      <w:pPr>
        <w:tabs>
          <w:tab w:val="num" w:pos="567"/>
        </w:tabs>
        <w:ind w:left="2691" w:hanging="708"/>
      </w:pPr>
      <w:rPr>
        <w:rFonts w:hint="default"/>
      </w:rPr>
    </w:lvl>
    <w:lvl w:ilvl="3">
      <w:start w:val="1"/>
      <w:numFmt w:val="lowerLetter"/>
      <w:lvlText w:val="%4)"/>
      <w:lvlJc w:val="left"/>
      <w:pPr>
        <w:tabs>
          <w:tab w:val="num" w:pos="567"/>
        </w:tabs>
        <w:ind w:left="2975" w:hanging="284"/>
      </w:pPr>
      <w:rPr>
        <w:rFonts w:hint="default"/>
      </w:rPr>
    </w:lvl>
    <w:lvl w:ilvl="4">
      <w:start w:val="1"/>
      <w:numFmt w:val="none"/>
      <w:lvlText w:val=""/>
      <w:lvlJc w:val="left"/>
      <w:pPr>
        <w:tabs>
          <w:tab w:val="num" w:pos="567"/>
        </w:tabs>
        <w:ind w:left="3259" w:hanging="284"/>
      </w:pPr>
      <w:rPr>
        <w:rFonts w:ascii="Symbol" w:hAnsi="Symbol" w:hint="default"/>
      </w:rPr>
    </w:lvl>
    <w:lvl w:ilvl="5">
      <w:start w:val="1"/>
      <w:numFmt w:val="decimal"/>
      <w:pStyle w:val="Heading6"/>
      <w:lvlText w:val="%6."/>
      <w:lvlJc w:val="left"/>
      <w:pPr>
        <w:tabs>
          <w:tab w:val="num" w:pos="567"/>
        </w:tabs>
        <w:ind w:left="3967" w:hanging="708"/>
      </w:pPr>
      <w:rPr>
        <w:rFonts w:hint="default"/>
      </w:rPr>
    </w:lvl>
    <w:lvl w:ilvl="6">
      <w:start w:val="1"/>
      <w:numFmt w:val="decimal"/>
      <w:pStyle w:val="Heading7"/>
      <w:lvlText w:val="%6.%7."/>
      <w:lvlJc w:val="left"/>
      <w:pPr>
        <w:tabs>
          <w:tab w:val="num" w:pos="567"/>
        </w:tabs>
        <w:ind w:left="4675" w:hanging="708"/>
      </w:pPr>
      <w:rPr>
        <w:rFonts w:hint="default"/>
      </w:rPr>
    </w:lvl>
    <w:lvl w:ilvl="7">
      <w:start w:val="1"/>
      <w:numFmt w:val="decimal"/>
      <w:lvlText w:val="%6.%7.%8."/>
      <w:lvlJc w:val="left"/>
      <w:pPr>
        <w:tabs>
          <w:tab w:val="num" w:pos="567"/>
        </w:tabs>
        <w:ind w:left="5383" w:hanging="708"/>
      </w:pPr>
      <w:rPr>
        <w:rFonts w:hint="default"/>
      </w:rPr>
    </w:lvl>
    <w:lvl w:ilvl="8">
      <w:start w:val="1"/>
      <w:numFmt w:val="decimal"/>
      <w:lvlText w:val="%6.%7.%8.%9."/>
      <w:lvlJc w:val="left"/>
      <w:pPr>
        <w:tabs>
          <w:tab w:val="num" w:pos="567"/>
        </w:tabs>
        <w:ind w:left="6091" w:hanging="708"/>
      </w:pPr>
      <w:rPr>
        <w:rFonts w:hint="default"/>
      </w:rPr>
    </w:lvl>
  </w:abstractNum>
  <w:abstractNum w:abstractNumId="25">
    <w:nsid w:val="4F426269"/>
    <w:multiLevelType w:val="hybridMultilevel"/>
    <w:tmpl w:val="5A249934"/>
    <w:lvl w:ilvl="0" w:tplc="1C92683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F9D7A96"/>
    <w:multiLevelType w:val="hybridMultilevel"/>
    <w:tmpl w:val="50AAF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2B94928"/>
    <w:multiLevelType w:val="multilevel"/>
    <w:tmpl w:val="788615E6"/>
    <w:lvl w:ilvl="0">
      <w:start w:val="1"/>
      <w:numFmt w:val="decimal"/>
      <w:suff w:val="space"/>
      <w:lvlText w:val="%1."/>
      <w:lvlJc w:val="left"/>
      <w:pPr>
        <w:ind w:left="0" w:firstLine="0"/>
      </w:pPr>
      <w:rPr>
        <w:rFonts w:ascii="Arial" w:hAnsi="Arial" w:hint="default"/>
        <w:b/>
        <w:i w:val="0"/>
        <w:sz w:val="44"/>
      </w:rPr>
    </w:lvl>
    <w:lvl w:ilvl="1">
      <w:start w:val="1"/>
      <w:numFmt w:val="decimal"/>
      <w:suff w:val="space"/>
      <w:lvlText w:val="%1.%2."/>
      <w:lvlJc w:val="left"/>
      <w:pPr>
        <w:ind w:left="0" w:firstLine="0"/>
      </w:pPr>
      <w:rPr>
        <w:rFonts w:ascii="Arial" w:hAnsi="Arial" w:hint="default"/>
        <w:b/>
        <w:i/>
        <w:sz w:val="28"/>
      </w:rPr>
    </w:lvl>
    <w:lvl w:ilvl="2">
      <w:start w:val="1"/>
      <w:numFmt w:val="decimal"/>
      <w:suff w:val="space"/>
      <w:lvlText w:val="%1.%2.%3."/>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4)"/>
      <w:lvlJc w:val="left"/>
      <w:pPr>
        <w:ind w:left="0" w:firstLine="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pStyle w:val="Heading8"/>
      <w:lvlText w:val=""/>
      <w:lvlJc w:val="left"/>
      <w:pPr>
        <w:tabs>
          <w:tab w:val="num" w:pos="360"/>
        </w:tabs>
        <w:ind w:left="0" w:firstLine="0"/>
      </w:pPr>
      <w:rPr>
        <w:rFonts w:hint="default"/>
      </w:rPr>
    </w:lvl>
    <w:lvl w:ilvl="8">
      <w:start w:val="1"/>
      <w:numFmt w:val="none"/>
      <w:pStyle w:val="Heading9"/>
      <w:lvlText w:val=""/>
      <w:lvlJc w:val="left"/>
      <w:pPr>
        <w:tabs>
          <w:tab w:val="num" w:pos="360"/>
        </w:tabs>
        <w:ind w:left="0" w:firstLine="0"/>
      </w:pPr>
      <w:rPr>
        <w:rFonts w:hint="default"/>
      </w:rPr>
    </w:lvl>
  </w:abstractNum>
  <w:abstractNum w:abstractNumId="28">
    <w:nsid w:val="532F7C7E"/>
    <w:multiLevelType w:val="hybridMultilevel"/>
    <w:tmpl w:val="90EC4052"/>
    <w:lvl w:ilvl="0" w:tplc="1C926836">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7CD1B56"/>
    <w:multiLevelType w:val="hybridMultilevel"/>
    <w:tmpl w:val="E2A6A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DC2BCC"/>
    <w:multiLevelType w:val="hybridMultilevel"/>
    <w:tmpl w:val="393C20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98A4034"/>
    <w:multiLevelType w:val="hybridMultilevel"/>
    <w:tmpl w:val="A894E568"/>
    <w:lvl w:ilvl="0" w:tplc="26922D86">
      <w:start w:val="1"/>
      <w:numFmt w:val="bullet"/>
      <w:pStyle w:val="Heading5"/>
      <w:lvlText w:val=""/>
      <w:lvlJc w:val="left"/>
      <w:pPr>
        <w:tabs>
          <w:tab w:val="num" w:pos="1134"/>
        </w:tabs>
        <w:ind w:left="1134" w:hanging="283"/>
      </w:pPr>
      <w:rPr>
        <w:rFonts w:ascii="Wingdings" w:hAnsi="Wingdings" w:hint="default"/>
      </w:rPr>
    </w:lvl>
    <w:lvl w:ilvl="1" w:tplc="040C0003" w:tentative="1">
      <w:start w:val="1"/>
      <w:numFmt w:val="bullet"/>
      <w:lvlText w:val="o"/>
      <w:lvlJc w:val="left"/>
      <w:pPr>
        <w:ind w:left="2575" w:hanging="360"/>
      </w:pPr>
      <w:rPr>
        <w:rFonts w:ascii="Courier New" w:hAnsi="Courier New" w:cs="Courier New" w:hint="default"/>
      </w:rPr>
    </w:lvl>
    <w:lvl w:ilvl="2" w:tplc="040C0005" w:tentative="1">
      <w:start w:val="1"/>
      <w:numFmt w:val="bullet"/>
      <w:lvlText w:val=""/>
      <w:lvlJc w:val="left"/>
      <w:pPr>
        <w:ind w:left="3295" w:hanging="360"/>
      </w:pPr>
      <w:rPr>
        <w:rFonts w:ascii="Wingdings" w:hAnsi="Wingdings" w:hint="default"/>
      </w:rPr>
    </w:lvl>
    <w:lvl w:ilvl="3" w:tplc="040C0001" w:tentative="1">
      <w:start w:val="1"/>
      <w:numFmt w:val="bullet"/>
      <w:lvlText w:val=""/>
      <w:lvlJc w:val="left"/>
      <w:pPr>
        <w:ind w:left="4015" w:hanging="360"/>
      </w:pPr>
      <w:rPr>
        <w:rFonts w:ascii="Symbol" w:hAnsi="Symbol" w:hint="default"/>
      </w:rPr>
    </w:lvl>
    <w:lvl w:ilvl="4" w:tplc="040C0003" w:tentative="1">
      <w:start w:val="1"/>
      <w:numFmt w:val="bullet"/>
      <w:lvlText w:val="o"/>
      <w:lvlJc w:val="left"/>
      <w:pPr>
        <w:ind w:left="4735" w:hanging="360"/>
      </w:pPr>
      <w:rPr>
        <w:rFonts w:ascii="Courier New" w:hAnsi="Courier New" w:cs="Courier New" w:hint="default"/>
      </w:rPr>
    </w:lvl>
    <w:lvl w:ilvl="5" w:tplc="040C0005" w:tentative="1">
      <w:start w:val="1"/>
      <w:numFmt w:val="bullet"/>
      <w:lvlText w:val=""/>
      <w:lvlJc w:val="left"/>
      <w:pPr>
        <w:ind w:left="5455" w:hanging="360"/>
      </w:pPr>
      <w:rPr>
        <w:rFonts w:ascii="Wingdings" w:hAnsi="Wingdings" w:hint="default"/>
      </w:rPr>
    </w:lvl>
    <w:lvl w:ilvl="6" w:tplc="040C0001" w:tentative="1">
      <w:start w:val="1"/>
      <w:numFmt w:val="bullet"/>
      <w:lvlText w:val=""/>
      <w:lvlJc w:val="left"/>
      <w:pPr>
        <w:ind w:left="6175" w:hanging="360"/>
      </w:pPr>
      <w:rPr>
        <w:rFonts w:ascii="Symbol" w:hAnsi="Symbol" w:hint="default"/>
      </w:rPr>
    </w:lvl>
    <w:lvl w:ilvl="7" w:tplc="040C0003" w:tentative="1">
      <w:start w:val="1"/>
      <w:numFmt w:val="bullet"/>
      <w:lvlText w:val="o"/>
      <w:lvlJc w:val="left"/>
      <w:pPr>
        <w:ind w:left="6895" w:hanging="360"/>
      </w:pPr>
      <w:rPr>
        <w:rFonts w:ascii="Courier New" w:hAnsi="Courier New" w:cs="Courier New" w:hint="default"/>
      </w:rPr>
    </w:lvl>
    <w:lvl w:ilvl="8" w:tplc="040C0005" w:tentative="1">
      <w:start w:val="1"/>
      <w:numFmt w:val="bullet"/>
      <w:lvlText w:val=""/>
      <w:lvlJc w:val="left"/>
      <w:pPr>
        <w:ind w:left="7615" w:hanging="360"/>
      </w:pPr>
      <w:rPr>
        <w:rFonts w:ascii="Wingdings" w:hAnsi="Wingdings" w:hint="default"/>
      </w:rPr>
    </w:lvl>
  </w:abstractNum>
  <w:abstractNum w:abstractNumId="32">
    <w:nsid w:val="5A4B32F0"/>
    <w:multiLevelType w:val="hybridMultilevel"/>
    <w:tmpl w:val="B51EC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AF3697D"/>
    <w:multiLevelType w:val="hybridMultilevel"/>
    <w:tmpl w:val="43881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C613AB6"/>
    <w:multiLevelType w:val="hybridMultilevel"/>
    <w:tmpl w:val="22A0B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D03010C"/>
    <w:multiLevelType w:val="hybridMultilevel"/>
    <w:tmpl w:val="8FD8DC1C"/>
    <w:lvl w:ilvl="0" w:tplc="1C92683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028307B"/>
    <w:multiLevelType w:val="hybridMultilevel"/>
    <w:tmpl w:val="43CC78C8"/>
    <w:lvl w:ilvl="0" w:tplc="1C926836">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BED26A9"/>
    <w:multiLevelType w:val="hybridMultilevel"/>
    <w:tmpl w:val="B888EC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D651567"/>
    <w:multiLevelType w:val="hybridMultilevel"/>
    <w:tmpl w:val="124675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48FAFE88">
      <w:start w:val="2"/>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0C03E89"/>
    <w:multiLevelType w:val="hybridMultilevel"/>
    <w:tmpl w:val="78FE49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3C17F82"/>
    <w:multiLevelType w:val="hybridMultilevel"/>
    <w:tmpl w:val="CC88187A"/>
    <w:lvl w:ilvl="0" w:tplc="040C0003">
      <w:start w:val="1"/>
      <w:numFmt w:val="bullet"/>
      <w:lvlText w:val="o"/>
      <w:lvlJc w:val="left"/>
      <w:pPr>
        <w:ind w:left="720" w:hanging="360"/>
      </w:pPr>
      <w:rPr>
        <w:rFonts w:ascii="Courier New" w:hAnsi="Courier New" w:cs="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4D0175F"/>
    <w:multiLevelType w:val="hybridMultilevel"/>
    <w:tmpl w:val="B2AE4C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nsid w:val="768A56A3"/>
    <w:multiLevelType w:val="hybridMultilevel"/>
    <w:tmpl w:val="09C8B924"/>
    <w:lvl w:ilvl="0" w:tplc="BD7E11EC">
      <w:numFmt w:val="bullet"/>
      <w:lvlText w:val="-"/>
      <w:lvlJc w:val="left"/>
      <w:pPr>
        <w:ind w:left="780" w:hanging="360"/>
      </w:pPr>
      <w:rPr>
        <w:rFonts w:ascii="Calibri" w:eastAsia="Calibri" w:hAnsi="Calibri" w:cs="Calibr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3">
    <w:nsid w:val="771D60C6"/>
    <w:multiLevelType w:val="hybridMultilevel"/>
    <w:tmpl w:val="B56692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A322ED6"/>
    <w:multiLevelType w:val="hybridMultilevel"/>
    <w:tmpl w:val="F1DC3A8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nsid w:val="7E235848"/>
    <w:multiLevelType w:val="hybridMultilevel"/>
    <w:tmpl w:val="29F894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
  </w:num>
  <w:num w:numId="4">
    <w:abstractNumId w:val="0"/>
  </w:num>
  <w:num w:numId="5">
    <w:abstractNumId w:val="5"/>
  </w:num>
  <w:num w:numId="6">
    <w:abstractNumId w:val="31"/>
  </w:num>
  <w:num w:numId="7">
    <w:abstractNumId w:val="11"/>
  </w:num>
  <w:num w:numId="8">
    <w:abstractNumId w:val="42"/>
  </w:num>
  <w:num w:numId="9">
    <w:abstractNumId w:val="15"/>
  </w:num>
  <w:num w:numId="10">
    <w:abstractNumId w:val="3"/>
  </w:num>
  <w:num w:numId="11">
    <w:abstractNumId w:val="2"/>
  </w:num>
  <w:num w:numId="12">
    <w:abstractNumId w:val="19"/>
  </w:num>
  <w:num w:numId="13">
    <w:abstractNumId w:val="30"/>
  </w:num>
  <w:num w:numId="14">
    <w:abstractNumId w:val="29"/>
  </w:num>
  <w:num w:numId="15">
    <w:abstractNumId w:val="13"/>
  </w:num>
  <w:num w:numId="16">
    <w:abstractNumId w:val="17"/>
  </w:num>
  <w:num w:numId="17">
    <w:abstractNumId w:val="23"/>
  </w:num>
  <w:num w:numId="18">
    <w:abstractNumId w:val="22"/>
  </w:num>
  <w:num w:numId="19">
    <w:abstractNumId w:val="28"/>
  </w:num>
  <w:num w:numId="20">
    <w:abstractNumId w:val="35"/>
  </w:num>
  <w:num w:numId="21">
    <w:abstractNumId w:val="25"/>
  </w:num>
  <w:num w:numId="22">
    <w:abstractNumId w:val="12"/>
  </w:num>
  <w:num w:numId="23">
    <w:abstractNumId w:val="36"/>
  </w:num>
  <w:num w:numId="24">
    <w:abstractNumId w:val="10"/>
  </w:num>
  <w:num w:numId="25">
    <w:abstractNumId w:val="40"/>
  </w:num>
  <w:num w:numId="26">
    <w:abstractNumId w:val="34"/>
  </w:num>
  <w:num w:numId="27">
    <w:abstractNumId w:val="6"/>
  </w:num>
  <w:num w:numId="28">
    <w:abstractNumId w:val="9"/>
  </w:num>
  <w:num w:numId="29">
    <w:abstractNumId w:val="38"/>
  </w:num>
  <w:num w:numId="30">
    <w:abstractNumId w:val="39"/>
  </w:num>
  <w:num w:numId="31">
    <w:abstractNumId w:val="37"/>
  </w:num>
  <w:num w:numId="32">
    <w:abstractNumId w:val="45"/>
  </w:num>
  <w:num w:numId="33">
    <w:abstractNumId w:val="44"/>
  </w:num>
  <w:num w:numId="34">
    <w:abstractNumId w:val="7"/>
  </w:num>
  <w:num w:numId="35">
    <w:abstractNumId w:val="21"/>
  </w:num>
  <w:num w:numId="36">
    <w:abstractNumId w:val="41"/>
  </w:num>
  <w:num w:numId="37">
    <w:abstractNumId w:val="32"/>
  </w:num>
  <w:num w:numId="38">
    <w:abstractNumId w:val="26"/>
  </w:num>
  <w:num w:numId="39">
    <w:abstractNumId w:val="43"/>
  </w:num>
  <w:num w:numId="40">
    <w:abstractNumId w:val="8"/>
  </w:num>
  <w:num w:numId="41">
    <w:abstractNumId w:val="18"/>
  </w:num>
  <w:num w:numId="42">
    <w:abstractNumId w:val="33"/>
  </w:num>
  <w:num w:numId="43">
    <w:abstractNumId w:val="14"/>
  </w:num>
  <w:num w:numId="4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 w:numId="50">
    <w:abstractNumId w:val="1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E1BA8"/>
    <w:rsid w:val="00001FEA"/>
    <w:rsid w:val="00011496"/>
    <w:rsid w:val="000247AB"/>
    <w:rsid w:val="000317F6"/>
    <w:rsid w:val="0004151E"/>
    <w:rsid w:val="00041565"/>
    <w:rsid w:val="00061750"/>
    <w:rsid w:val="0006684F"/>
    <w:rsid w:val="00066EE8"/>
    <w:rsid w:val="00084322"/>
    <w:rsid w:val="000854AB"/>
    <w:rsid w:val="00090C84"/>
    <w:rsid w:val="000969B3"/>
    <w:rsid w:val="000B2840"/>
    <w:rsid w:val="000C5E44"/>
    <w:rsid w:val="000C7BAC"/>
    <w:rsid w:val="000E2CBF"/>
    <w:rsid w:val="000F34C0"/>
    <w:rsid w:val="00100D64"/>
    <w:rsid w:val="001134C3"/>
    <w:rsid w:val="00117D7B"/>
    <w:rsid w:val="001260F2"/>
    <w:rsid w:val="00132059"/>
    <w:rsid w:val="001327E4"/>
    <w:rsid w:val="00132C7C"/>
    <w:rsid w:val="00141653"/>
    <w:rsid w:val="00143BD4"/>
    <w:rsid w:val="0015265B"/>
    <w:rsid w:val="001722D1"/>
    <w:rsid w:val="001733D6"/>
    <w:rsid w:val="00184B5A"/>
    <w:rsid w:val="001977B8"/>
    <w:rsid w:val="001A3248"/>
    <w:rsid w:val="001B4165"/>
    <w:rsid w:val="001C13F2"/>
    <w:rsid w:val="001C3A27"/>
    <w:rsid w:val="001E1BA8"/>
    <w:rsid w:val="002068EC"/>
    <w:rsid w:val="0023326B"/>
    <w:rsid w:val="002371C7"/>
    <w:rsid w:val="00256EAD"/>
    <w:rsid w:val="002601BA"/>
    <w:rsid w:val="00260D24"/>
    <w:rsid w:val="00263FC3"/>
    <w:rsid w:val="002678D8"/>
    <w:rsid w:val="002767BA"/>
    <w:rsid w:val="0028231E"/>
    <w:rsid w:val="002A3D30"/>
    <w:rsid w:val="002A7AE8"/>
    <w:rsid w:val="002B0563"/>
    <w:rsid w:val="002D498D"/>
    <w:rsid w:val="002D5480"/>
    <w:rsid w:val="002D7B26"/>
    <w:rsid w:val="002E70BB"/>
    <w:rsid w:val="002F34B9"/>
    <w:rsid w:val="00302397"/>
    <w:rsid w:val="00320CA7"/>
    <w:rsid w:val="00322152"/>
    <w:rsid w:val="0032390A"/>
    <w:rsid w:val="00326E21"/>
    <w:rsid w:val="00331080"/>
    <w:rsid w:val="00337115"/>
    <w:rsid w:val="00342E47"/>
    <w:rsid w:val="00345E5D"/>
    <w:rsid w:val="00357D0A"/>
    <w:rsid w:val="00362C05"/>
    <w:rsid w:val="00365C6D"/>
    <w:rsid w:val="00372215"/>
    <w:rsid w:val="003738EB"/>
    <w:rsid w:val="00373C0B"/>
    <w:rsid w:val="0037535C"/>
    <w:rsid w:val="00380C1B"/>
    <w:rsid w:val="00386EE5"/>
    <w:rsid w:val="003965B8"/>
    <w:rsid w:val="00397A0D"/>
    <w:rsid w:val="003A1C07"/>
    <w:rsid w:val="003A3955"/>
    <w:rsid w:val="003B666E"/>
    <w:rsid w:val="003C480E"/>
    <w:rsid w:val="003C67D2"/>
    <w:rsid w:val="003D208F"/>
    <w:rsid w:val="003D2239"/>
    <w:rsid w:val="003D23A7"/>
    <w:rsid w:val="003D7E48"/>
    <w:rsid w:val="003E0761"/>
    <w:rsid w:val="003E2094"/>
    <w:rsid w:val="003E35C0"/>
    <w:rsid w:val="003F491E"/>
    <w:rsid w:val="003F6057"/>
    <w:rsid w:val="003F79F1"/>
    <w:rsid w:val="004042E5"/>
    <w:rsid w:val="00407014"/>
    <w:rsid w:val="00412EBA"/>
    <w:rsid w:val="0041633D"/>
    <w:rsid w:val="00430A25"/>
    <w:rsid w:val="00447380"/>
    <w:rsid w:val="00447670"/>
    <w:rsid w:val="004537FF"/>
    <w:rsid w:val="00464AFF"/>
    <w:rsid w:val="00472703"/>
    <w:rsid w:val="00496844"/>
    <w:rsid w:val="004A0684"/>
    <w:rsid w:val="004A09ED"/>
    <w:rsid w:val="004A6ACB"/>
    <w:rsid w:val="004A6CBB"/>
    <w:rsid w:val="004B32B4"/>
    <w:rsid w:val="004B4D91"/>
    <w:rsid w:val="004B4DA6"/>
    <w:rsid w:val="004C23C7"/>
    <w:rsid w:val="004C5AFB"/>
    <w:rsid w:val="004D29FD"/>
    <w:rsid w:val="004E3F3A"/>
    <w:rsid w:val="004F2D0B"/>
    <w:rsid w:val="004F446F"/>
    <w:rsid w:val="005028B2"/>
    <w:rsid w:val="0050364A"/>
    <w:rsid w:val="00504710"/>
    <w:rsid w:val="00507695"/>
    <w:rsid w:val="00511C2F"/>
    <w:rsid w:val="00516132"/>
    <w:rsid w:val="0052110A"/>
    <w:rsid w:val="00530ACB"/>
    <w:rsid w:val="005317EC"/>
    <w:rsid w:val="00532FFC"/>
    <w:rsid w:val="00533948"/>
    <w:rsid w:val="0053619B"/>
    <w:rsid w:val="00537068"/>
    <w:rsid w:val="00537513"/>
    <w:rsid w:val="00543D6E"/>
    <w:rsid w:val="005479D1"/>
    <w:rsid w:val="00556615"/>
    <w:rsid w:val="00570D9A"/>
    <w:rsid w:val="00595B6C"/>
    <w:rsid w:val="005A2579"/>
    <w:rsid w:val="005A5CBC"/>
    <w:rsid w:val="005B1B68"/>
    <w:rsid w:val="005B2352"/>
    <w:rsid w:val="005B36AC"/>
    <w:rsid w:val="005B6CF0"/>
    <w:rsid w:val="005C0327"/>
    <w:rsid w:val="005C311F"/>
    <w:rsid w:val="005C64B6"/>
    <w:rsid w:val="005D0C4D"/>
    <w:rsid w:val="005D52F1"/>
    <w:rsid w:val="005D60B8"/>
    <w:rsid w:val="005E1305"/>
    <w:rsid w:val="005F138A"/>
    <w:rsid w:val="005F1E3B"/>
    <w:rsid w:val="005F21C5"/>
    <w:rsid w:val="005F34E9"/>
    <w:rsid w:val="005F401E"/>
    <w:rsid w:val="00604E7A"/>
    <w:rsid w:val="006054E6"/>
    <w:rsid w:val="00606B0B"/>
    <w:rsid w:val="00607A57"/>
    <w:rsid w:val="00614A63"/>
    <w:rsid w:val="00644435"/>
    <w:rsid w:val="00662884"/>
    <w:rsid w:val="006654FA"/>
    <w:rsid w:val="00683BA4"/>
    <w:rsid w:val="00693265"/>
    <w:rsid w:val="006A17DC"/>
    <w:rsid w:val="006A1F1E"/>
    <w:rsid w:val="006A3BF4"/>
    <w:rsid w:val="006B3E79"/>
    <w:rsid w:val="006B66E4"/>
    <w:rsid w:val="006C3E87"/>
    <w:rsid w:val="006C6B12"/>
    <w:rsid w:val="006E02A3"/>
    <w:rsid w:val="006E135C"/>
    <w:rsid w:val="006E3F03"/>
    <w:rsid w:val="006F4CDE"/>
    <w:rsid w:val="00707426"/>
    <w:rsid w:val="00714B49"/>
    <w:rsid w:val="00725224"/>
    <w:rsid w:val="00733DD2"/>
    <w:rsid w:val="00736627"/>
    <w:rsid w:val="0074078A"/>
    <w:rsid w:val="00744611"/>
    <w:rsid w:val="007554A3"/>
    <w:rsid w:val="00771FF6"/>
    <w:rsid w:val="00784391"/>
    <w:rsid w:val="00794570"/>
    <w:rsid w:val="00795D25"/>
    <w:rsid w:val="007978DF"/>
    <w:rsid w:val="007A25AF"/>
    <w:rsid w:val="007A2DC5"/>
    <w:rsid w:val="007B0517"/>
    <w:rsid w:val="007B206C"/>
    <w:rsid w:val="007C44B3"/>
    <w:rsid w:val="007C70EF"/>
    <w:rsid w:val="007C72F5"/>
    <w:rsid w:val="007D002D"/>
    <w:rsid w:val="007D3FB3"/>
    <w:rsid w:val="007D4188"/>
    <w:rsid w:val="007E014B"/>
    <w:rsid w:val="007E6436"/>
    <w:rsid w:val="007E6A66"/>
    <w:rsid w:val="007F0E52"/>
    <w:rsid w:val="007F10E5"/>
    <w:rsid w:val="007F13A2"/>
    <w:rsid w:val="0080009C"/>
    <w:rsid w:val="008043BD"/>
    <w:rsid w:val="00811383"/>
    <w:rsid w:val="00812F91"/>
    <w:rsid w:val="008239C3"/>
    <w:rsid w:val="00832082"/>
    <w:rsid w:val="00832555"/>
    <w:rsid w:val="0083490D"/>
    <w:rsid w:val="00837741"/>
    <w:rsid w:val="00841828"/>
    <w:rsid w:val="008466F1"/>
    <w:rsid w:val="008470E9"/>
    <w:rsid w:val="00850A68"/>
    <w:rsid w:val="00856EE0"/>
    <w:rsid w:val="00861783"/>
    <w:rsid w:val="00863285"/>
    <w:rsid w:val="0087561A"/>
    <w:rsid w:val="00875DA6"/>
    <w:rsid w:val="00876F6A"/>
    <w:rsid w:val="0088027A"/>
    <w:rsid w:val="0088569C"/>
    <w:rsid w:val="008900E6"/>
    <w:rsid w:val="008931A4"/>
    <w:rsid w:val="008945C6"/>
    <w:rsid w:val="00894701"/>
    <w:rsid w:val="00897CFD"/>
    <w:rsid w:val="008A3578"/>
    <w:rsid w:val="008A633B"/>
    <w:rsid w:val="008B5DC6"/>
    <w:rsid w:val="008B6EA2"/>
    <w:rsid w:val="008C13FD"/>
    <w:rsid w:val="008D20E4"/>
    <w:rsid w:val="008D367B"/>
    <w:rsid w:val="008F2669"/>
    <w:rsid w:val="00900B40"/>
    <w:rsid w:val="00902E14"/>
    <w:rsid w:val="00911F91"/>
    <w:rsid w:val="009136AB"/>
    <w:rsid w:val="00915EB8"/>
    <w:rsid w:val="00927064"/>
    <w:rsid w:val="009322E1"/>
    <w:rsid w:val="0093613A"/>
    <w:rsid w:val="00944715"/>
    <w:rsid w:val="00945D36"/>
    <w:rsid w:val="009466D8"/>
    <w:rsid w:val="00952371"/>
    <w:rsid w:val="0095369A"/>
    <w:rsid w:val="00956141"/>
    <w:rsid w:val="00957ACE"/>
    <w:rsid w:val="00965F1B"/>
    <w:rsid w:val="00971B1A"/>
    <w:rsid w:val="0097221E"/>
    <w:rsid w:val="009869B3"/>
    <w:rsid w:val="00995EB5"/>
    <w:rsid w:val="009C0B12"/>
    <w:rsid w:val="009C2A6D"/>
    <w:rsid w:val="009D0C95"/>
    <w:rsid w:val="009E561C"/>
    <w:rsid w:val="009F39EB"/>
    <w:rsid w:val="00A05A90"/>
    <w:rsid w:val="00A10A37"/>
    <w:rsid w:val="00A16172"/>
    <w:rsid w:val="00A23EC4"/>
    <w:rsid w:val="00A27B79"/>
    <w:rsid w:val="00A451B0"/>
    <w:rsid w:val="00A46C89"/>
    <w:rsid w:val="00A50B2A"/>
    <w:rsid w:val="00A612E2"/>
    <w:rsid w:val="00A62A89"/>
    <w:rsid w:val="00A82E3F"/>
    <w:rsid w:val="00A86C9A"/>
    <w:rsid w:val="00A87119"/>
    <w:rsid w:val="00A93A4E"/>
    <w:rsid w:val="00AB060E"/>
    <w:rsid w:val="00AB208B"/>
    <w:rsid w:val="00AC51EB"/>
    <w:rsid w:val="00AC54E3"/>
    <w:rsid w:val="00AC5AEC"/>
    <w:rsid w:val="00AC792A"/>
    <w:rsid w:val="00AD6E8B"/>
    <w:rsid w:val="00AE76EE"/>
    <w:rsid w:val="00AF295C"/>
    <w:rsid w:val="00B011FF"/>
    <w:rsid w:val="00B069A2"/>
    <w:rsid w:val="00B10202"/>
    <w:rsid w:val="00B16386"/>
    <w:rsid w:val="00B26EDA"/>
    <w:rsid w:val="00B332B4"/>
    <w:rsid w:val="00B5313C"/>
    <w:rsid w:val="00B731E3"/>
    <w:rsid w:val="00B761D8"/>
    <w:rsid w:val="00B77CAF"/>
    <w:rsid w:val="00B912B5"/>
    <w:rsid w:val="00B915DC"/>
    <w:rsid w:val="00B95970"/>
    <w:rsid w:val="00BA7043"/>
    <w:rsid w:val="00BB29FA"/>
    <w:rsid w:val="00BC043C"/>
    <w:rsid w:val="00BC4FDA"/>
    <w:rsid w:val="00BC7836"/>
    <w:rsid w:val="00BD0488"/>
    <w:rsid w:val="00BD24A7"/>
    <w:rsid w:val="00BE4F15"/>
    <w:rsid w:val="00BF42C2"/>
    <w:rsid w:val="00BF682D"/>
    <w:rsid w:val="00BF69B2"/>
    <w:rsid w:val="00BF7C9F"/>
    <w:rsid w:val="00C03F18"/>
    <w:rsid w:val="00C05336"/>
    <w:rsid w:val="00C1074A"/>
    <w:rsid w:val="00C119C5"/>
    <w:rsid w:val="00C13219"/>
    <w:rsid w:val="00C13E66"/>
    <w:rsid w:val="00C16620"/>
    <w:rsid w:val="00C20FCB"/>
    <w:rsid w:val="00C21317"/>
    <w:rsid w:val="00C309E6"/>
    <w:rsid w:val="00C33276"/>
    <w:rsid w:val="00C40F64"/>
    <w:rsid w:val="00C41D74"/>
    <w:rsid w:val="00C47A7A"/>
    <w:rsid w:val="00C5752B"/>
    <w:rsid w:val="00C63E72"/>
    <w:rsid w:val="00C67901"/>
    <w:rsid w:val="00C711E3"/>
    <w:rsid w:val="00C72987"/>
    <w:rsid w:val="00C80367"/>
    <w:rsid w:val="00C82E03"/>
    <w:rsid w:val="00C92431"/>
    <w:rsid w:val="00C95E26"/>
    <w:rsid w:val="00CA0CCD"/>
    <w:rsid w:val="00CA673E"/>
    <w:rsid w:val="00CC61AA"/>
    <w:rsid w:val="00CC7AFE"/>
    <w:rsid w:val="00CD3EEA"/>
    <w:rsid w:val="00CE5A7D"/>
    <w:rsid w:val="00CF2DFE"/>
    <w:rsid w:val="00CF7710"/>
    <w:rsid w:val="00D0782B"/>
    <w:rsid w:val="00D34E62"/>
    <w:rsid w:val="00D36054"/>
    <w:rsid w:val="00D377C9"/>
    <w:rsid w:val="00D50629"/>
    <w:rsid w:val="00D62F34"/>
    <w:rsid w:val="00D63C51"/>
    <w:rsid w:val="00D7457F"/>
    <w:rsid w:val="00D75463"/>
    <w:rsid w:val="00D832DD"/>
    <w:rsid w:val="00D92359"/>
    <w:rsid w:val="00D977F3"/>
    <w:rsid w:val="00DA1BB9"/>
    <w:rsid w:val="00DA5B45"/>
    <w:rsid w:val="00DB30FD"/>
    <w:rsid w:val="00DB3AA6"/>
    <w:rsid w:val="00DD0096"/>
    <w:rsid w:val="00DD08C7"/>
    <w:rsid w:val="00DD5904"/>
    <w:rsid w:val="00DE5F52"/>
    <w:rsid w:val="00E0104F"/>
    <w:rsid w:val="00E1658C"/>
    <w:rsid w:val="00E16790"/>
    <w:rsid w:val="00E16A37"/>
    <w:rsid w:val="00E2536C"/>
    <w:rsid w:val="00E31448"/>
    <w:rsid w:val="00E33389"/>
    <w:rsid w:val="00E36687"/>
    <w:rsid w:val="00E522DA"/>
    <w:rsid w:val="00E53E6F"/>
    <w:rsid w:val="00E610B6"/>
    <w:rsid w:val="00E66221"/>
    <w:rsid w:val="00E74B5E"/>
    <w:rsid w:val="00E74C77"/>
    <w:rsid w:val="00E913A7"/>
    <w:rsid w:val="00E92A94"/>
    <w:rsid w:val="00E95007"/>
    <w:rsid w:val="00EA162E"/>
    <w:rsid w:val="00EA4C57"/>
    <w:rsid w:val="00EB30A0"/>
    <w:rsid w:val="00EB7BAC"/>
    <w:rsid w:val="00EC0740"/>
    <w:rsid w:val="00ED5792"/>
    <w:rsid w:val="00EE1C26"/>
    <w:rsid w:val="00EE50BD"/>
    <w:rsid w:val="00EE7A70"/>
    <w:rsid w:val="00EF3798"/>
    <w:rsid w:val="00EF5C66"/>
    <w:rsid w:val="00F00705"/>
    <w:rsid w:val="00F03318"/>
    <w:rsid w:val="00F15B0E"/>
    <w:rsid w:val="00F23BD1"/>
    <w:rsid w:val="00F26A4C"/>
    <w:rsid w:val="00F303AE"/>
    <w:rsid w:val="00F30775"/>
    <w:rsid w:val="00F30B41"/>
    <w:rsid w:val="00F32894"/>
    <w:rsid w:val="00F32AE9"/>
    <w:rsid w:val="00F41819"/>
    <w:rsid w:val="00F537EB"/>
    <w:rsid w:val="00F5390E"/>
    <w:rsid w:val="00F55610"/>
    <w:rsid w:val="00F60E09"/>
    <w:rsid w:val="00F60E88"/>
    <w:rsid w:val="00F64ED4"/>
    <w:rsid w:val="00F66109"/>
    <w:rsid w:val="00F70EF1"/>
    <w:rsid w:val="00F730DC"/>
    <w:rsid w:val="00F815A3"/>
    <w:rsid w:val="00F821F6"/>
    <w:rsid w:val="00F927A2"/>
    <w:rsid w:val="00FA0FDD"/>
    <w:rsid w:val="00FA4B0A"/>
    <w:rsid w:val="00FA4F9A"/>
    <w:rsid w:val="00FB2DB2"/>
    <w:rsid w:val="00FB2F4A"/>
    <w:rsid w:val="00FB4D0B"/>
    <w:rsid w:val="00FC5BD8"/>
    <w:rsid w:val="00FD2363"/>
    <w:rsid w:val="00FD3FB5"/>
    <w:rsid w:val="00FD687F"/>
    <w:rsid w:val="00FE66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EC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35" w:unhideWhenUsed="0" w:qFormat="1"/>
    <w:lsdException w:name="table of figures" w:uiPriority="0"/>
    <w:lsdException w:name="page number" w:uiPriority="0"/>
    <w:lsdException w:name="List Bullet" w:uiPriority="0"/>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C03F18"/>
    <w:pPr>
      <w:spacing w:before="120"/>
      <w:jc w:val="both"/>
    </w:pPr>
    <w:rPr>
      <w:rFonts w:ascii="Arial" w:hAnsi="Arial"/>
      <w:sz w:val="22"/>
    </w:rPr>
  </w:style>
  <w:style w:type="paragraph" w:styleId="Heading1">
    <w:name w:val="heading 1"/>
    <w:basedOn w:val="Normal"/>
    <w:next w:val="Normal"/>
    <w:link w:val="Heading1Char"/>
    <w:uiPriority w:val="9"/>
    <w:qFormat/>
    <w:rsid w:val="00DB30FD"/>
    <w:pPr>
      <w:keepLines/>
      <w:pageBreakBefore/>
      <w:numPr>
        <w:numId w:val="43"/>
      </w:numPr>
      <w:spacing w:before="0" w:after="240"/>
      <w:jc w:val="center"/>
      <w:outlineLvl w:val="0"/>
    </w:pPr>
    <w:rPr>
      <w:rFonts w:cs="Tahoma"/>
      <w:b/>
      <w:color w:val="1F497D" w:themeColor="text2"/>
      <w:sz w:val="48"/>
      <w:szCs w:val="36"/>
    </w:rPr>
  </w:style>
  <w:style w:type="paragraph" w:styleId="Heading2">
    <w:name w:val="heading 2"/>
    <w:basedOn w:val="Normal"/>
    <w:next w:val="Normal"/>
    <w:link w:val="Heading2Char"/>
    <w:uiPriority w:val="9"/>
    <w:qFormat/>
    <w:rsid w:val="00F927A2"/>
    <w:pPr>
      <w:keepNext/>
      <w:pageBreakBefore/>
      <w:numPr>
        <w:ilvl w:val="1"/>
        <w:numId w:val="43"/>
      </w:numPr>
      <w:tabs>
        <w:tab w:val="left" w:pos="851"/>
      </w:tabs>
      <w:spacing w:before="480" w:after="60"/>
      <w:jc w:val="left"/>
      <w:outlineLvl w:val="1"/>
    </w:pPr>
    <w:rPr>
      <w:b/>
      <w:color w:val="1F497D" w:themeColor="text2"/>
      <w:sz w:val="28"/>
    </w:rPr>
  </w:style>
  <w:style w:type="paragraph" w:styleId="Heading3">
    <w:name w:val="heading 3"/>
    <w:basedOn w:val="Normal"/>
    <w:next w:val="Normal"/>
    <w:link w:val="Heading3Char"/>
    <w:uiPriority w:val="9"/>
    <w:qFormat/>
    <w:rsid w:val="00F927A2"/>
    <w:pPr>
      <w:keepNext/>
      <w:numPr>
        <w:ilvl w:val="2"/>
        <w:numId w:val="43"/>
      </w:numPr>
      <w:tabs>
        <w:tab w:val="left" w:pos="851"/>
      </w:tabs>
      <w:spacing w:before="240" w:after="60"/>
      <w:jc w:val="left"/>
      <w:outlineLvl w:val="2"/>
    </w:pPr>
    <w:rPr>
      <w:rFonts w:cs="Arial"/>
      <w:b/>
      <w:bCs/>
      <w:color w:val="4F81BD" w:themeColor="accent1"/>
      <w:sz w:val="24"/>
    </w:rPr>
  </w:style>
  <w:style w:type="paragraph" w:styleId="Heading4">
    <w:name w:val="heading 4"/>
    <w:basedOn w:val="Normal"/>
    <w:next w:val="Normal"/>
    <w:link w:val="Heading4Char"/>
    <w:qFormat/>
    <w:rsid w:val="00F927A2"/>
    <w:pPr>
      <w:keepNext/>
      <w:widowControl w:val="0"/>
      <w:numPr>
        <w:ilvl w:val="3"/>
        <w:numId w:val="43"/>
      </w:numPr>
      <w:overflowPunct w:val="0"/>
      <w:autoSpaceDE w:val="0"/>
      <w:autoSpaceDN w:val="0"/>
      <w:adjustRightInd w:val="0"/>
      <w:ind w:right="566"/>
      <w:jc w:val="left"/>
      <w:textAlignment w:val="baseline"/>
      <w:outlineLvl w:val="3"/>
    </w:pPr>
    <w:rPr>
      <w:i/>
      <w:color w:val="0070C0"/>
    </w:rPr>
  </w:style>
  <w:style w:type="paragraph" w:styleId="Heading5">
    <w:name w:val="heading 5"/>
    <w:basedOn w:val="Normal"/>
    <w:next w:val="Normal"/>
    <w:unhideWhenUsed/>
    <w:qFormat/>
    <w:rsid w:val="00C03F18"/>
    <w:pPr>
      <w:keepNext/>
      <w:numPr>
        <w:numId w:val="6"/>
      </w:numPr>
      <w:outlineLvl w:val="4"/>
    </w:pPr>
    <w:rPr>
      <w:b/>
    </w:rPr>
  </w:style>
  <w:style w:type="paragraph" w:styleId="Heading6">
    <w:name w:val="heading 6"/>
    <w:basedOn w:val="Normal"/>
    <w:next w:val="Normal"/>
    <w:unhideWhenUsed/>
    <w:qFormat/>
    <w:rsid w:val="00C03F18"/>
    <w:pPr>
      <w:numPr>
        <w:ilvl w:val="5"/>
        <w:numId w:val="1"/>
      </w:numPr>
      <w:spacing w:before="240" w:after="60"/>
      <w:outlineLvl w:val="5"/>
    </w:pPr>
    <w:rPr>
      <w:i/>
    </w:rPr>
  </w:style>
  <w:style w:type="paragraph" w:styleId="Heading7">
    <w:name w:val="heading 7"/>
    <w:basedOn w:val="Normal"/>
    <w:next w:val="Normal"/>
    <w:unhideWhenUsed/>
    <w:qFormat/>
    <w:rsid w:val="00C03F18"/>
    <w:pPr>
      <w:numPr>
        <w:ilvl w:val="6"/>
        <w:numId w:val="1"/>
      </w:numPr>
      <w:spacing w:before="240" w:after="60"/>
      <w:outlineLvl w:val="6"/>
    </w:pPr>
  </w:style>
  <w:style w:type="paragraph" w:styleId="Heading8">
    <w:name w:val="heading 8"/>
    <w:basedOn w:val="Normal"/>
    <w:next w:val="Normal"/>
    <w:unhideWhenUsed/>
    <w:qFormat/>
    <w:rsid w:val="00C03F18"/>
    <w:pPr>
      <w:keepNext/>
      <w:numPr>
        <w:ilvl w:val="7"/>
        <w:numId w:val="2"/>
      </w:numPr>
      <w:spacing w:before="360"/>
      <w:outlineLvl w:val="7"/>
    </w:pPr>
    <w:rPr>
      <w:b/>
      <w:color w:val="FF0000"/>
      <w:sz w:val="36"/>
    </w:rPr>
  </w:style>
  <w:style w:type="paragraph" w:styleId="Heading9">
    <w:name w:val="heading 9"/>
    <w:basedOn w:val="Normal"/>
    <w:next w:val="Normal"/>
    <w:unhideWhenUsed/>
    <w:qFormat/>
    <w:rsid w:val="002A7AE8"/>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4165"/>
    <w:pPr>
      <w:widowControl w:val="0"/>
      <w:tabs>
        <w:tab w:val="center" w:pos="4536"/>
        <w:tab w:val="right" w:pos="9072"/>
      </w:tabs>
      <w:overflowPunct w:val="0"/>
      <w:autoSpaceDE w:val="0"/>
      <w:autoSpaceDN w:val="0"/>
      <w:adjustRightInd w:val="0"/>
      <w:spacing w:before="60"/>
      <w:textAlignment w:val="baseline"/>
    </w:pPr>
    <w:rPr>
      <w:lang w:val="en-US"/>
    </w:rPr>
  </w:style>
  <w:style w:type="paragraph" w:styleId="Footer">
    <w:name w:val="footer"/>
    <w:basedOn w:val="Normal"/>
    <w:link w:val="FooterChar"/>
    <w:uiPriority w:val="99"/>
    <w:rsid w:val="002F34B9"/>
    <w:pPr>
      <w:widowControl w:val="0"/>
      <w:pBdr>
        <w:top w:val="single" w:sz="6" w:space="2" w:color="5C3439"/>
      </w:pBdr>
      <w:tabs>
        <w:tab w:val="center" w:pos="4536"/>
        <w:tab w:val="right" w:pos="9072"/>
      </w:tabs>
      <w:overflowPunct w:val="0"/>
      <w:autoSpaceDE w:val="0"/>
      <w:autoSpaceDN w:val="0"/>
      <w:adjustRightInd w:val="0"/>
      <w:spacing w:before="60"/>
      <w:textAlignment w:val="baseline"/>
    </w:pPr>
    <w:rPr>
      <w:i/>
      <w:color w:val="ED7D0D"/>
      <w:sz w:val="18"/>
      <w:lang w:val="en-US"/>
    </w:rPr>
  </w:style>
  <w:style w:type="paragraph" w:styleId="FootnoteText">
    <w:name w:val="footnote text"/>
    <w:basedOn w:val="Normal"/>
    <w:link w:val="FootnoteTextChar"/>
    <w:uiPriority w:val="99"/>
    <w:rsid w:val="002A7AE8"/>
    <w:pPr>
      <w:tabs>
        <w:tab w:val="left" w:pos="284"/>
      </w:tabs>
      <w:ind w:left="284" w:hanging="284"/>
    </w:pPr>
    <w:rPr>
      <w:sz w:val="18"/>
    </w:rPr>
  </w:style>
  <w:style w:type="paragraph" w:styleId="Caption">
    <w:name w:val="caption"/>
    <w:basedOn w:val="Normal"/>
    <w:next w:val="Normal"/>
    <w:uiPriority w:val="35"/>
    <w:qFormat/>
    <w:rsid w:val="00F927A2"/>
    <w:pPr>
      <w:keepNext/>
      <w:keepLines/>
      <w:jc w:val="center"/>
    </w:pPr>
    <w:rPr>
      <w:b/>
      <w:bCs/>
      <w:color w:val="5C5C5C"/>
      <w:sz w:val="18"/>
    </w:rPr>
  </w:style>
  <w:style w:type="character" w:styleId="FootnoteReference">
    <w:name w:val="footnote reference"/>
    <w:basedOn w:val="DefaultParagraphFont"/>
    <w:uiPriority w:val="99"/>
    <w:rsid w:val="002A7AE8"/>
    <w:rPr>
      <w:vertAlign w:val="superscript"/>
    </w:rPr>
  </w:style>
  <w:style w:type="character" w:styleId="Hyperlink">
    <w:name w:val="Hyperlink"/>
    <w:basedOn w:val="DefaultParagraphFont"/>
    <w:uiPriority w:val="99"/>
    <w:rsid w:val="002A7AE8"/>
    <w:rPr>
      <w:color w:val="0000FF"/>
      <w:u w:val="single"/>
    </w:rPr>
  </w:style>
  <w:style w:type="character" w:styleId="PageNumber">
    <w:name w:val="page number"/>
    <w:basedOn w:val="DefaultParagraphFont"/>
    <w:unhideWhenUsed/>
    <w:rsid w:val="002F34B9"/>
    <w:rPr>
      <w:color w:val="ED7D0D"/>
    </w:rPr>
  </w:style>
  <w:style w:type="paragraph" w:styleId="TableofFigures">
    <w:name w:val="table of figures"/>
    <w:basedOn w:val="Normal"/>
    <w:next w:val="Normal"/>
    <w:unhideWhenUsed/>
    <w:rsid w:val="002A7AE8"/>
    <w:pPr>
      <w:tabs>
        <w:tab w:val="left" w:pos="1134"/>
        <w:tab w:val="right" w:leader="dot" w:pos="9072"/>
      </w:tabs>
      <w:spacing w:before="40" w:after="40"/>
      <w:ind w:left="1134" w:right="567" w:hanging="1134"/>
    </w:pPr>
  </w:style>
  <w:style w:type="paragraph" w:customStyle="1" w:styleId="Tabledesmatires">
    <w:name w:val="Table des matières"/>
    <w:basedOn w:val="Normal"/>
    <w:rsid w:val="002F34B9"/>
    <w:pPr>
      <w:pageBreakBefore/>
      <w:pBdr>
        <w:bottom w:val="single" w:sz="6" w:space="3" w:color="ED7D0D"/>
      </w:pBdr>
      <w:spacing w:after="240"/>
      <w:jc w:val="center"/>
    </w:pPr>
    <w:rPr>
      <w:rFonts w:ascii="Arial Black" w:hAnsi="Arial Black" w:cs="Arial"/>
      <w:b/>
      <w:bCs/>
      <w:color w:val="5C3439"/>
      <w:sz w:val="36"/>
    </w:rPr>
  </w:style>
  <w:style w:type="paragraph" w:customStyle="1" w:styleId="Titredurapport">
    <w:name w:val="Titre du rapport"/>
    <w:basedOn w:val="Normal"/>
    <w:rsid w:val="002F34B9"/>
    <w:pPr>
      <w:spacing w:before="720" w:after="720"/>
      <w:jc w:val="center"/>
    </w:pPr>
    <w:rPr>
      <w:rFonts w:ascii="Arial Black" w:hAnsi="Arial Black"/>
      <w:b/>
      <w:color w:val="ED7D0D"/>
      <w:sz w:val="48"/>
    </w:rPr>
  </w:style>
  <w:style w:type="paragraph" w:styleId="TOC1">
    <w:name w:val="toc 1"/>
    <w:basedOn w:val="Normal"/>
    <w:next w:val="Normal"/>
    <w:autoRedefine/>
    <w:uiPriority w:val="39"/>
    <w:rsid w:val="00607A57"/>
    <w:pPr>
      <w:keepNext/>
      <w:tabs>
        <w:tab w:val="right" w:leader="dot" w:pos="9072"/>
      </w:tabs>
      <w:spacing w:after="120"/>
      <w:ind w:left="284" w:right="567" w:hanging="284"/>
      <w:jc w:val="left"/>
    </w:pPr>
    <w:rPr>
      <w:b/>
      <w:noProof/>
      <w:color w:val="1F497D" w:themeColor="text2"/>
      <w:sz w:val="24"/>
      <w:szCs w:val="48"/>
      <w:lang w:val="en-US"/>
    </w:rPr>
  </w:style>
  <w:style w:type="paragraph" w:styleId="TOC2">
    <w:name w:val="toc 2"/>
    <w:basedOn w:val="Normal"/>
    <w:next w:val="Normal"/>
    <w:autoRedefine/>
    <w:uiPriority w:val="39"/>
    <w:rsid w:val="00607A57"/>
    <w:pPr>
      <w:keepNext/>
      <w:tabs>
        <w:tab w:val="right" w:leader="dot" w:pos="9072"/>
      </w:tabs>
      <w:spacing w:before="60" w:after="60"/>
      <w:ind w:left="709" w:right="567" w:hanging="425"/>
      <w:jc w:val="left"/>
    </w:pPr>
    <w:rPr>
      <w:b/>
      <w:iCs/>
      <w:noProof/>
      <w:color w:val="4F81BD" w:themeColor="accent1"/>
      <w:szCs w:val="36"/>
      <w:lang w:val="en-US"/>
    </w:rPr>
  </w:style>
  <w:style w:type="paragraph" w:styleId="TOC3">
    <w:name w:val="toc 3"/>
    <w:basedOn w:val="Normal"/>
    <w:next w:val="Normal"/>
    <w:autoRedefine/>
    <w:uiPriority w:val="39"/>
    <w:rsid w:val="00607A57"/>
    <w:pPr>
      <w:tabs>
        <w:tab w:val="right" w:leader="dot" w:pos="9072"/>
      </w:tabs>
      <w:spacing w:before="20" w:after="20"/>
      <w:ind w:left="1276" w:right="566" w:hanging="567"/>
      <w:jc w:val="left"/>
    </w:pPr>
    <w:rPr>
      <w:noProof/>
      <w:sz w:val="18"/>
      <w:szCs w:val="26"/>
      <w:lang w:val="en-US"/>
    </w:rPr>
  </w:style>
  <w:style w:type="paragraph" w:styleId="TOC4">
    <w:name w:val="toc 4"/>
    <w:basedOn w:val="Normal"/>
    <w:next w:val="Normal"/>
    <w:autoRedefine/>
    <w:rsid w:val="00607A57"/>
    <w:pPr>
      <w:spacing w:before="0" w:after="120"/>
      <w:ind w:left="720"/>
      <w:jc w:val="left"/>
    </w:pPr>
    <w:rPr>
      <w:sz w:val="20"/>
      <w:lang w:val="en-US"/>
    </w:rPr>
  </w:style>
  <w:style w:type="paragraph" w:styleId="TOC5">
    <w:name w:val="toc 5"/>
    <w:basedOn w:val="Normal"/>
    <w:next w:val="Normal"/>
    <w:autoRedefine/>
    <w:unhideWhenUsed/>
    <w:rsid w:val="002A7AE8"/>
    <w:pPr>
      <w:ind w:left="960"/>
    </w:pPr>
  </w:style>
  <w:style w:type="paragraph" w:styleId="TOC6">
    <w:name w:val="toc 6"/>
    <w:basedOn w:val="Normal"/>
    <w:next w:val="Normal"/>
    <w:autoRedefine/>
    <w:unhideWhenUsed/>
    <w:rsid w:val="002A7AE8"/>
    <w:pPr>
      <w:ind w:left="1100"/>
    </w:pPr>
    <w:rPr>
      <w:szCs w:val="24"/>
    </w:rPr>
  </w:style>
  <w:style w:type="paragraph" w:styleId="TOC7">
    <w:name w:val="toc 7"/>
    <w:basedOn w:val="Normal"/>
    <w:next w:val="Normal"/>
    <w:autoRedefine/>
    <w:unhideWhenUsed/>
    <w:rsid w:val="002A7AE8"/>
    <w:pPr>
      <w:ind w:left="1320"/>
    </w:pPr>
    <w:rPr>
      <w:szCs w:val="24"/>
    </w:rPr>
  </w:style>
  <w:style w:type="paragraph" w:styleId="TOC8">
    <w:name w:val="toc 8"/>
    <w:basedOn w:val="Normal"/>
    <w:next w:val="Normal"/>
    <w:autoRedefine/>
    <w:unhideWhenUsed/>
    <w:rsid w:val="002A7AE8"/>
    <w:pPr>
      <w:ind w:left="1540"/>
    </w:pPr>
    <w:rPr>
      <w:szCs w:val="24"/>
    </w:rPr>
  </w:style>
  <w:style w:type="paragraph" w:styleId="TOC9">
    <w:name w:val="toc 9"/>
    <w:basedOn w:val="Normal"/>
    <w:next w:val="Normal"/>
    <w:autoRedefine/>
    <w:unhideWhenUsed/>
    <w:rsid w:val="002A7AE8"/>
    <w:pPr>
      <w:ind w:left="1760"/>
    </w:pPr>
    <w:rPr>
      <w:szCs w:val="24"/>
    </w:rPr>
  </w:style>
  <w:style w:type="paragraph" w:customStyle="1" w:styleId="Annexes">
    <w:name w:val="Annexes"/>
    <w:basedOn w:val="Normal"/>
    <w:next w:val="Normal"/>
    <w:rsid w:val="000F34C0"/>
    <w:pPr>
      <w:pageBreakBefore/>
      <w:numPr>
        <w:numId w:val="5"/>
      </w:numPr>
      <w:spacing w:before="0" w:after="240"/>
      <w:jc w:val="left"/>
      <w:outlineLvl w:val="1"/>
    </w:pPr>
    <w:rPr>
      <w:rFonts w:ascii="Tahoma" w:hAnsi="Tahoma"/>
      <w:b/>
      <w:color w:val="5C3439"/>
      <w:sz w:val="36"/>
    </w:rPr>
  </w:style>
  <w:style w:type="paragraph" w:styleId="Bibliography">
    <w:name w:val="Bibliography"/>
    <w:basedOn w:val="Normal"/>
    <w:unhideWhenUsed/>
    <w:rsid w:val="002A7AE8"/>
    <w:rPr>
      <w:lang w:val="en-US"/>
    </w:rPr>
  </w:style>
  <w:style w:type="character" w:customStyle="1" w:styleId="Hydroconseil">
    <w:name w:val="Hydroconseil"/>
    <w:basedOn w:val="DefaultParagraphFont"/>
    <w:rsid w:val="00EB30A0"/>
    <w:rPr>
      <w:rFonts w:ascii="Arial Rounded MT Bold" w:hAnsi="Arial Rounded MT Bold"/>
      <w:i/>
      <w:caps/>
      <w:color w:val="0080FF"/>
    </w:rPr>
  </w:style>
  <w:style w:type="paragraph" w:customStyle="1" w:styleId="Tableau">
    <w:name w:val="Tableau"/>
    <w:basedOn w:val="Normal"/>
    <w:rsid w:val="00D50629"/>
    <w:pPr>
      <w:spacing w:before="40" w:after="40"/>
      <w:jc w:val="left"/>
    </w:pPr>
    <w:rPr>
      <w:bCs/>
      <w:sz w:val="20"/>
    </w:rPr>
  </w:style>
  <w:style w:type="paragraph" w:customStyle="1" w:styleId="Tableau-texteaprs">
    <w:name w:val="Tableau-texte après"/>
    <w:basedOn w:val="Normal"/>
    <w:next w:val="Normal"/>
    <w:rsid w:val="002A7AE8"/>
    <w:pPr>
      <w:overflowPunct w:val="0"/>
      <w:autoSpaceDE w:val="0"/>
      <w:autoSpaceDN w:val="0"/>
      <w:adjustRightInd w:val="0"/>
      <w:spacing w:before="240"/>
      <w:textAlignment w:val="baseline"/>
    </w:pPr>
  </w:style>
  <w:style w:type="paragraph" w:customStyle="1" w:styleId="Tableau-titre">
    <w:name w:val="Tableau-titre"/>
    <w:basedOn w:val="Normal"/>
    <w:next w:val="Tableau"/>
    <w:rsid w:val="002F34B9"/>
    <w:pPr>
      <w:keepNext/>
      <w:shd w:val="clear" w:color="auto" w:fill="FFCC99"/>
      <w:overflowPunct w:val="0"/>
      <w:autoSpaceDE w:val="0"/>
      <w:autoSpaceDN w:val="0"/>
      <w:adjustRightInd w:val="0"/>
      <w:spacing w:before="80" w:after="80"/>
      <w:jc w:val="center"/>
      <w:textAlignment w:val="baseline"/>
    </w:pPr>
    <w:rPr>
      <w:rFonts w:cs="Arial"/>
      <w:b/>
      <w:color w:val="5C3439"/>
    </w:rPr>
  </w:style>
  <w:style w:type="paragraph" w:styleId="ListBullet">
    <w:name w:val="List Bullet"/>
    <w:basedOn w:val="Normal"/>
    <w:rsid w:val="00A27B79"/>
    <w:pPr>
      <w:numPr>
        <w:numId w:val="3"/>
      </w:numPr>
    </w:pPr>
  </w:style>
  <w:style w:type="paragraph" w:styleId="ListNumber">
    <w:name w:val="List Number"/>
    <w:basedOn w:val="Normal"/>
    <w:uiPriority w:val="99"/>
    <w:rsid w:val="002A7AE8"/>
    <w:pPr>
      <w:numPr>
        <w:numId w:val="4"/>
      </w:numPr>
    </w:pPr>
  </w:style>
  <w:style w:type="table" w:styleId="TableGrid">
    <w:name w:val="Table Grid"/>
    <w:basedOn w:val="TableNormal"/>
    <w:uiPriority w:val="59"/>
    <w:rsid w:val="00066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684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84F"/>
    <w:rPr>
      <w:rFonts w:ascii="Tahoma" w:hAnsi="Tahoma" w:cs="Tahoma"/>
      <w:sz w:val="16"/>
      <w:szCs w:val="16"/>
      <w:lang w:val="en-GB"/>
    </w:rPr>
  </w:style>
  <w:style w:type="paragraph" w:customStyle="1" w:styleId="Tableau-Puces">
    <w:name w:val="Tableau-Puces"/>
    <w:basedOn w:val="ListBullet"/>
    <w:qFormat/>
    <w:rsid w:val="00C03F18"/>
    <w:pPr>
      <w:spacing w:before="40" w:after="40"/>
      <w:jc w:val="left"/>
    </w:pPr>
    <w:rPr>
      <w:sz w:val="20"/>
    </w:rPr>
  </w:style>
  <w:style w:type="character" w:customStyle="1" w:styleId="HeaderChar">
    <w:name w:val="Header Char"/>
    <w:basedOn w:val="DefaultParagraphFont"/>
    <w:link w:val="Header"/>
    <w:uiPriority w:val="99"/>
    <w:rsid w:val="001B4165"/>
    <w:rPr>
      <w:rFonts w:ascii="Arial" w:hAnsi="Arial"/>
      <w:sz w:val="22"/>
      <w:lang w:val="en-US"/>
    </w:rPr>
  </w:style>
  <w:style w:type="character" w:customStyle="1" w:styleId="FooterChar">
    <w:name w:val="Footer Char"/>
    <w:basedOn w:val="DefaultParagraphFont"/>
    <w:link w:val="Footer"/>
    <w:uiPriority w:val="99"/>
    <w:rsid w:val="002F34B9"/>
    <w:rPr>
      <w:rFonts w:ascii="Arial" w:hAnsi="Arial"/>
      <w:i/>
      <w:color w:val="ED7D0D"/>
      <w:sz w:val="18"/>
      <w:lang w:val="en-US"/>
    </w:rPr>
  </w:style>
  <w:style w:type="character" w:customStyle="1" w:styleId="Heading1Char">
    <w:name w:val="Heading 1 Char"/>
    <w:basedOn w:val="DefaultParagraphFont"/>
    <w:link w:val="Heading1"/>
    <w:uiPriority w:val="9"/>
    <w:rsid w:val="00DB30FD"/>
    <w:rPr>
      <w:rFonts w:ascii="Arial" w:hAnsi="Arial" w:cs="Tahoma"/>
      <w:b/>
      <w:color w:val="1F497D" w:themeColor="text2"/>
      <w:sz w:val="48"/>
      <w:szCs w:val="36"/>
    </w:rPr>
  </w:style>
  <w:style w:type="character" w:customStyle="1" w:styleId="Heading2Char">
    <w:name w:val="Heading 2 Char"/>
    <w:basedOn w:val="DefaultParagraphFont"/>
    <w:link w:val="Heading2"/>
    <w:uiPriority w:val="9"/>
    <w:rsid w:val="00F927A2"/>
    <w:rPr>
      <w:rFonts w:ascii="Arial" w:hAnsi="Arial"/>
      <w:b/>
      <w:color w:val="1F497D" w:themeColor="text2"/>
      <w:sz w:val="28"/>
    </w:rPr>
  </w:style>
  <w:style w:type="character" w:customStyle="1" w:styleId="Heading3Char">
    <w:name w:val="Heading 3 Char"/>
    <w:basedOn w:val="DefaultParagraphFont"/>
    <w:link w:val="Heading3"/>
    <w:uiPriority w:val="9"/>
    <w:rsid w:val="00F927A2"/>
    <w:rPr>
      <w:rFonts w:ascii="Arial" w:hAnsi="Arial" w:cs="Arial"/>
      <w:b/>
      <w:bCs/>
      <w:color w:val="4F81BD" w:themeColor="accent1"/>
      <w:sz w:val="24"/>
    </w:rPr>
  </w:style>
  <w:style w:type="character" w:customStyle="1" w:styleId="Heading4Char">
    <w:name w:val="Heading 4 Char"/>
    <w:basedOn w:val="DefaultParagraphFont"/>
    <w:link w:val="Heading4"/>
    <w:rsid w:val="00F927A2"/>
    <w:rPr>
      <w:rFonts w:ascii="Arial" w:hAnsi="Arial"/>
      <w:i/>
      <w:color w:val="0070C0"/>
      <w:sz w:val="22"/>
    </w:rPr>
  </w:style>
  <w:style w:type="paragraph" w:styleId="Title">
    <w:name w:val="Title"/>
    <w:basedOn w:val="Normal"/>
    <w:next w:val="Normal"/>
    <w:link w:val="TitleChar"/>
    <w:uiPriority w:val="10"/>
    <w:qFormat/>
    <w:rsid w:val="00C03F18"/>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F18"/>
    <w:rPr>
      <w:rFonts w:asciiTheme="majorHAnsi" w:eastAsiaTheme="majorEastAsia" w:hAnsiTheme="majorHAnsi" w:cstheme="majorBidi"/>
      <w:spacing w:val="-10"/>
      <w:kern w:val="28"/>
      <w:sz w:val="56"/>
      <w:szCs w:val="56"/>
    </w:rPr>
  </w:style>
  <w:style w:type="character" w:styleId="CommentReference">
    <w:name w:val="annotation reference"/>
    <w:uiPriority w:val="99"/>
    <w:semiHidden/>
    <w:rsid w:val="00066EE8"/>
    <w:rPr>
      <w:sz w:val="16"/>
      <w:szCs w:val="16"/>
    </w:rPr>
  </w:style>
  <w:style w:type="paragraph" w:styleId="CommentText">
    <w:name w:val="annotation text"/>
    <w:basedOn w:val="Normal"/>
    <w:link w:val="CommentTextChar"/>
    <w:uiPriority w:val="99"/>
    <w:rsid w:val="00066EE8"/>
    <w:pPr>
      <w:spacing w:before="0"/>
      <w:jc w:val="left"/>
    </w:pPr>
    <w:rPr>
      <w:rFonts w:ascii="Times New Roman" w:hAnsi="Times New Roman"/>
      <w:sz w:val="20"/>
      <w:lang w:val="x-none" w:eastAsia="x-none"/>
    </w:rPr>
  </w:style>
  <w:style w:type="character" w:customStyle="1" w:styleId="CommentTextChar">
    <w:name w:val="Comment Text Char"/>
    <w:basedOn w:val="DefaultParagraphFont"/>
    <w:link w:val="CommentText"/>
    <w:uiPriority w:val="99"/>
    <w:rsid w:val="00066EE8"/>
    <w:rPr>
      <w:lang w:val="x-none" w:eastAsia="x-none"/>
    </w:rPr>
  </w:style>
  <w:style w:type="paragraph" w:styleId="ListParagraph">
    <w:name w:val="List Paragraph"/>
    <w:basedOn w:val="Normal"/>
    <w:link w:val="ListParagraphChar"/>
    <w:uiPriority w:val="34"/>
    <w:qFormat/>
    <w:rsid w:val="00380C1B"/>
    <w:pPr>
      <w:ind w:left="720"/>
      <w:contextualSpacing/>
    </w:pPr>
  </w:style>
  <w:style w:type="paragraph" w:styleId="CommentSubject">
    <w:name w:val="annotation subject"/>
    <w:basedOn w:val="CommentText"/>
    <w:next w:val="CommentText"/>
    <w:link w:val="CommentSubjectChar"/>
    <w:uiPriority w:val="99"/>
    <w:semiHidden/>
    <w:unhideWhenUsed/>
    <w:rsid w:val="00143BD4"/>
    <w:pPr>
      <w:spacing w:before="120"/>
      <w:jc w:val="both"/>
    </w:pPr>
    <w:rPr>
      <w:rFonts w:ascii="Arial" w:hAnsi="Arial"/>
      <w:b/>
      <w:bCs/>
      <w:lang w:val="fr-FR" w:eastAsia="fr-FR"/>
    </w:rPr>
  </w:style>
  <w:style w:type="character" w:customStyle="1" w:styleId="CommentSubjectChar">
    <w:name w:val="Comment Subject Char"/>
    <w:basedOn w:val="CommentTextChar"/>
    <w:link w:val="CommentSubject"/>
    <w:uiPriority w:val="99"/>
    <w:semiHidden/>
    <w:rsid w:val="00143BD4"/>
    <w:rPr>
      <w:rFonts w:ascii="Arial" w:hAnsi="Arial"/>
      <w:b/>
      <w:bCs/>
      <w:lang w:val="x-none" w:eastAsia="x-none"/>
    </w:rPr>
  </w:style>
  <w:style w:type="character" w:styleId="Emphasis">
    <w:name w:val="Emphasis"/>
    <w:uiPriority w:val="20"/>
    <w:qFormat/>
    <w:rsid w:val="000F34C0"/>
    <w:rPr>
      <w:i/>
      <w:iCs/>
    </w:rPr>
  </w:style>
  <w:style w:type="character" w:styleId="Strong">
    <w:name w:val="Strong"/>
    <w:uiPriority w:val="22"/>
    <w:qFormat/>
    <w:rsid w:val="000F34C0"/>
    <w:rPr>
      <w:b/>
      <w:bCs/>
    </w:rPr>
  </w:style>
  <w:style w:type="character" w:customStyle="1" w:styleId="ListParagraphChar">
    <w:name w:val="List Paragraph Char"/>
    <w:basedOn w:val="DefaultParagraphFont"/>
    <w:link w:val="ListParagraph"/>
    <w:uiPriority w:val="34"/>
    <w:rsid w:val="000F34C0"/>
    <w:rPr>
      <w:rFonts w:ascii="Arial" w:hAnsi="Arial"/>
      <w:sz w:val="22"/>
    </w:rPr>
  </w:style>
  <w:style w:type="character" w:customStyle="1" w:styleId="FootnoteTextChar">
    <w:name w:val="Footnote Text Char"/>
    <w:basedOn w:val="DefaultParagraphFont"/>
    <w:link w:val="FootnoteText"/>
    <w:uiPriority w:val="99"/>
    <w:rsid w:val="000F34C0"/>
    <w:rPr>
      <w:rFonts w:ascii="Arial" w:hAnsi="Arial"/>
      <w:sz w:val="18"/>
    </w:rPr>
  </w:style>
  <w:style w:type="paragraph" w:styleId="NoSpacing">
    <w:name w:val="No Spacing"/>
    <w:link w:val="NoSpacingChar"/>
    <w:uiPriority w:val="1"/>
    <w:qFormat/>
    <w:rsid w:val="000F34C0"/>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0F34C0"/>
    <w:rPr>
      <w:rFonts w:ascii="Calibri" w:eastAsia="Calibri" w:hAnsi="Calibri"/>
      <w:sz w:val="22"/>
      <w:szCs w:val="22"/>
      <w:lang w:val="en-US" w:eastAsia="en-US"/>
    </w:rPr>
  </w:style>
  <w:style w:type="paragraph" w:customStyle="1" w:styleId="MediumShading1-Accent21">
    <w:name w:val="Medium Shading 1 - Accent 21"/>
    <w:basedOn w:val="Normal"/>
    <w:link w:val="MediumShading1-Accent2Char"/>
    <w:uiPriority w:val="1"/>
    <w:qFormat/>
    <w:rsid w:val="000F34C0"/>
    <w:pPr>
      <w:numPr>
        <w:numId w:val="7"/>
      </w:numPr>
      <w:autoSpaceDE w:val="0"/>
      <w:autoSpaceDN w:val="0"/>
      <w:adjustRightInd w:val="0"/>
      <w:spacing w:before="0" w:after="200"/>
    </w:pPr>
    <w:rPr>
      <w:rFonts w:ascii="Times New Roman" w:eastAsia="Calibri" w:hAnsi="Times New Roman"/>
      <w:color w:val="000000"/>
      <w:sz w:val="24"/>
      <w:szCs w:val="22"/>
      <w:lang w:val="en-GB" w:eastAsia="en-US"/>
    </w:rPr>
  </w:style>
  <w:style w:type="character" w:customStyle="1" w:styleId="MediumShading1-Accent2Char">
    <w:name w:val="Medium Shading 1 - Accent 2 Char"/>
    <w:link w:val="MediumShading1-Accent21"/>
    <w:uiPriority w:val="1"/>
    <w:rsid w:val="000F34C0"/>
    <w:rPr>
      <w:rFonts w:eastAsia="Calibri"/>
      <w:color w:val="000000"/>
      <w:sz w:val="24"/>
      <w:szCs w:val="22"/>
      <w:lang w:val="en-GB" w:eastAsia="en-US"/>
    </w:rPr>
  </w:style>
  <w:style w:type="paragraph" w:styleId="TOCHeading">
    <w:name w:val="TOC Heading"/>
    <w:basedOn w:val="Heading1"/>
    <w:next w:val="Normal"/>
    <w:uiPriority w:val="39"/>
    <w:unhideWhenUsed/>
    <w:qFormat/>
    <w:rsid w:val="00345E5D"/>
    <w:pPr>
      <w:keepNext/>
      <w:pageBreakBefore w:val="0"/>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9C2A6D"/>
    <w:rPr>
      <w:rFonts w:ascii="Arial" w:hAnsi="Arial"/>
      <w:sz w:val="22"/>
    </w:rPr>
  </w:style>
  <w:style w:type="character" w:customStyle="1" w:styleId="st">
    <w:name w:val="st"/>
    <w:rsid w:val="00DB30FD"/>
  </w:style>
  <w:style w:type="character" w:customStyle="1" w:styleId="Listecouleur-Accent1Car">
    <w:name w:val="Liste couleur - Accent 1 Car"/>
    <w:link w:val="ColorfulList-Accent1"/>
    <w:rsid w:val="00DB30FD"/>
    <w:rPr>
      <w:sz w:val="22"/>
      <w:szCs w:val="22"/>
      <w:lang w:val="en-GB" w:eastAsia="en-US"/>
    </w:rPr>
  </w:style>
  <w:style w:type="table" w:styleId="ColorfulList-Accent1">
    <w:name w:val="Colorful List Accent 1"/>
    <w:basedOn w:val="TableNormal"/>
    <w:link w:val="Listecouleur-Accent1Car"/>
    <w:semiHidden/>
    <w:unhideWhenUsed/>
    <w:rsid w:val="00DB30FD"/>
    <w:rPr>
      <w:sz w:val="22"/>
      <w:szCs w:val="22"/>
      <w:lang w:val="en-GB"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Versionetauteur">
    <w:name w:val="Version et auteur"/>
    <w:basedOn w:val="Normal"/>
    <w:rsid w:val="00F927A2"/>
    <w:pPr>
      <w:spacing w:before="0" w:after="120"/>
    </w:pPr>
    <w:rPr>
      <w:rFonts w:asciiTheme="minorHAnsi" w:hAnsiTheme="minorHAnsi"/>
      <w:sz w:val="18"/>
      <w:szCs w:val="24"/>
      <w:lang w:val="en-GB"/>
    </w:rPr>
  </w:style>
  <w:style w:type="table" w:customStyle="1" w:styleId="TableauGrille5Fonc-Accentuation61">
    <w:name w:val="Tableau Grille 5 Foncé - Accentuation 61"/>
    <w:basedOn w:val="TableNormal"/>
    <w:uiPriority w:val="50"/>
    <w:rsid w:val="00F927A2"/>
    <w:rPr>
      <w:rFonts w:asciiTheme="minorHAnsi" w:eastAsiaTheme="minorHAnsi" w:hAnsiTheme="minorHAnsi" w:cstheme="minorBidi"/>
      <w:sz w:val="22"/>
      <w:szCs w:val="22"/>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NormalWeb">
    <w:name w:val="Normal (Web)"/>
    <w:basedOn w:val="Normal"/>
    <w:uiPriority w:val="99"/>
    <w:semiHidden/>
    <w:unhideWhenUsed/>
    <w:rsid w:val="00F927A2"/>
    <w:pPr>
      <w:spacing w:before="100" w:beforeAutospacing="1" w:after="100" w:afterAutospacing="1"/>
      <w:jc w:val="left"/>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35" w:unhideWhenUsed="0" w:qFormat="1"/>
    <w:lsdException w:name="table of figures" w:uiPriority="0"/>
    <w:lsdException w:name="page number" w:uiPriority="0"/>
    <w:lsdException w:name="List Bullet" w:uiPriority="0"/>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C03F18"/>
    <w:pPr>
      <w:spacing w:before="120"/>
      <w:jc w:val="both"/>
    </w:pPr>
    <w:rPr>
      <w:rFonts w:ascii="Arial" w:hAnsi="Arial"/>
      <w:sz w:val="22"/>
    </w:rPr>
  </w:style>
  <w:style w:type="paragraph" w:styleId="Heading1">
    <w:name w:val="heading 1"/>
    <w:basedOn w:val="Normal"/>
    <w:next w:val="Normal"/>
    <w:link w:val="Heading1Char"/>
    <w:uiPriority w:val="9"/>
    <w:qFormat/>
    <w:rsid w:val="00DB30FD"/>
    <w:pPr>
      <w:keepLines/>
      <w:pageBreakBefore/>
      <w:numPr>
        <w:numId w:val="43"/>
      </w:numPr>
      <w:spacing w:before="0" w:after="240"/>
      <w:jc w:val="center"/>
      <w:outlineLvl w:val="0"/>
    </w:pPr>
    <w:rPr>
      <w:rFonts w:cs="Tahoma"/>
      <w:b/>
      <w:color w:val="1F497D" w:themeColor="text2"/>
      <w:sz w:val="48"/>
      <w:szCs w:val="36"/>
    </w:rPr>
  </w:style>
  <w:style w:type="paragraph" w:styleId="Heading2">
    <w:name w:val="heading 2"/>
    <w:basedOn w:val="Normal"/>
    <w:next w:val="Normal"/>
    <w:link w:val="Heading2Char"/>
    <w:uiPriority w:val="9"/>
    <w:qFormat/>
    <w:rsid w:val="00F927A2"/>
    <w:pPr>
      <w:keepNext/>
      <w:pageBreakBefore/>
      <w:numPr>
        <w:ilvl w:val="1"/>
        <w:numId w:val="43"/>
      </w:numPr>
      <w:tabs>
        <w:tab w:val="left" w:pos="851"/>
      </w:tabs>
      <w:spacing w:before="480" w:after="60"/>
      <w:jc w:val="left"/>
      <w:outlineLvl w:val="1"/>
    </w:pPr>
    <w:rPr>
      <w:b/>
      <w:color w:val="1F497D" w:themeColor="text2"/>
      <w:sz w:val="28"/>
    </w:rPr>
  </w:style>
  <w:style w:type="paragraph" w:styleId="Heading3">
    <w:name w:val="heading 3"/>
    <w:basedOn w:val="Normal"/>
    <w:next w:val="Normal"/>
    <w:link w:val="Heading3Char"/>
    <w:uiPriority w:val="9"/>
    <w:qFormat/>
    <w:rsid w:val="00F927A2"/>
    <w:pPr>
      <w:keepNext/>
      <w:numPr>
        <w:ilvl w:val="2"/>
        <w:numId w:val="43"/>
      </w:numPr>
      <w:tabs>
        <w:tab w:val="left" w:pos="851"/>
      </w:tabs>
      <w:spacing w:before="240" w:after="60"/>
      <w:jc w:val="left"/>
      <w:outlineLvl w:val="2"/>
    </w:pPr>
    <w:rPr>
      <w:rFonts w:cs="Arial"/>
      <w:b/>
      <w:bCs/>
      <w:color w:val="4F81BD" w:themeColor="accent1"/>
      <w:sz w:val="24"/>
    </w:rPr>
  </w:style>
  <w:style w:type="paragraph" w:styleId="Heading4">
    <w:name w:val="heading 4"/>
    <w:basedOn w:val="Normal"/>
    <w:next w:val="Normal"/>
    <w:link w:val="Heading4Char"/>
    <w:qFormat/>
    <w:rsid w:val="00F927A2"/>
    <w:pPr>
      <w:keepNext/>
      <w:widowControl w:val="0"/>
      <w:numPr>
        <w:ilvl w:val="3"/>
        <w:numId w:val="43"/>
      </w:numPr>
      <w:overflowPunct w:val="0"/>
      <w:autoSpaceDE w:val="0"/>
      <w:autoSpaceDN w:val="0"/>
      <w:adjustRightInd w:val="0"/>
      <w:ind w:right="566"/>
      <w:jc w:val="left"/>
      <w:textAlignment w:val="baseline"/>
      <w:outlineLvl w:val="3"/>
    </w:pPr>
    <w:rPr>
      <w:i/>
      <w:color w:val="0070C0"/>
    </w:rPr>
  </w:style>
  <w:style w:type="paragraph" w:styleId="Heading5">
    <w:name w:val="heading 5"/>
    <w:basedOn w:val="Normal"/>
    <w:next w:val="Normal"/>
    <w:unhideWhenUsed/>
    <w:qFormat/>
    <w:rsid w:val="00C03F18"/>
    <w:pPr>
      <w:keepNext/>
      <w:numPr>
        <w:numId w:val="6"/>
      </w:numPr>
      <w:outlineLvl w:val="4"/>
    </w:pPr>
    <w:rPr>
      <w:b/>
    </w:rPr>
  </w:style>
  <w:style w:type="paragraph" w:styleId="Heading6">
    <w:name w:val="heading 6"/>
    <w:basedOn w:val="Normal"/>
    <w:next w:val="Normal"/>
    <w:unhideWhenUsed/>
    <w:qFormat/>
    <w:rsid w:val="00C03F18"/>
    <w:pPr>
      <w:numPr>
        <w:ilvl w:val="5"/>
        <w:numId w:val="1"/>
      </w:numPr>
      <w:spacing w:before="240" w:after="60"/>
      <w:outlineLvl w:val="5"/>
    </w:pPr>
    <w:rPr>
      <w:i/>
    </w:rPr>
  </w:style>
  <w:style w:type="paragraph" w:styleId="Heading7">
    <w:name w:val="heading 7"/>
    <w:basedOn w:val="Normal"/>
    <w:next w:val="Normal"/>
    <w:unhideWhenUsed/>
    <w:qFormat/>
    <w:rsid w:val="00C03F18"/>
    <w:pPr>
      <w:numPr>
        <w:ilvl w:val="6"/>
        <w:numId w:val="1"/>
      </w:numPr>
      <w:spacing w:before="240" w:after="60"/>
      <w:outlineLvl w:val="6"/>
    </w:pPr>
  </w:style>
  <w:style w:type="paragraph" w:styleId="Heading8">
    <w:name w:val="heading 8"/>
    <w:basedOn w:val="Normal"/>
    <w:next w:val="Normal"/>
    <w:unhideWhenUsed/>
    <w:qFormat/>
    <w:rsid w:val="00C03F18"/>
    <w:pPr>
      <w:keepNext/>
      <w:numPr>
        <w:ilvl w:val="7"/>
        <w:numId w:val="2"/>
      </w:numPr>
      <w:spacing w:before="360"/>
      <w:outlineLvl w:val="7"/>
    </w:pPr>
    <w:rPr>
      <w:b/>
      <w:color w:val="FF0000"/>
      <w:sz w:val="36"/>
    </w:rPr>
  </w:style>
  <w:style w:type="paragraph" w:styleId="Heading9">
    <w:name w:val="heading 9"/>
    <w:basedOn w:val="Normal"/>
    <w:next w:val="Normal"/>
    <w:unhideWhenUsed/>
    <w:qFormat/>
    <w:rsid w:val="002A7AE8"/>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4165"/>
    <w:pPr>
      <w:widowControl w:val="0"/>
      <w:tabs>
        <w:tab w:val="center" w:pos="4536"/>
        <w:tab w:val="right" w:pos="9072"/>
      </w:tabs>
      <w:overflowPunct w:val="0"/>
      <w:autoSpaceDE w:val="0"/>
      <w:autoSpaceDN w:val="0"/>
      <w:adjustRightInd w:val="0"/>
      <w:spacing w:before="60"/>
      <w:textAlignment w:val="baseline"/>
    </w:pPr>
    <w:rPr>
      <w:lang w:val="en-US"/>
    </w:rPr>
  </w:style>
  <w:style w:type="paragraph" w:styleId="Footer">
    <w:name w:val="footer"/>
    <w:basedOn w:val="Normal"/>
    <w:link w:val="FooterChar"/>
    <w:uiPriority w:val="99"/>
    <w:rsid w:val="002F34B9"/>
    <w:pPr>
      <w:widowControl w:val="0"/>
      <w:pBdr>
        <w:top w:val="single" w:sz="6" w:space="2" w:color="5C3439"/>
      </w:pBdr>
      <w:tabs>
        <w:tab w:val="center" w:pos="4536"/>
        <w:tab w:val="right" w:pos="9072"/>
      </w:tabs>
      <w:overflowPunct w:val="0"/>
      <w:autoSpaceDE w:val="0"/>
      <w:autoSpaceDN w:val="0"/>
      <w:adjustRightInd w:val="0"/>
      <w:spacing w:before="60"/>
      <w:textAlignment w:val="baseline"/>
    </w:pPr>
    <w:rPr>
      <w:i/>
      <w:color w:val="ED7D0D"/>
      <w:sz w:val="18"/>
      <w:lang w:val="en-US"/>
    </w:rPr>
  </w:style>
  <w:style w:type="paragraph" w:styleId="FootnoteText">
    <w:name w:val="footnote text"/>
    <w:basedOn w:val="Normal"/>
    <w:link w:val="FootnoteTextChar"/>
    <w:uiPriority w:val="99"/>
    <w:rsid w:val="002A7AE8"/>
    <w:pPr>
      <w:tabs>
        <w:tab w:val="left" w:pos="284"/>
      </w:tabs>
      <w:ind w:left="284" w:hanging="284"/>
    </w:pPr>
    <w:rPr>
      <w:sz w:val="18"/>
    </w:rPr>
  </w:style>
  <w:style w:type="paragraph" w:styleId="Caption">
    <w:name w:val="caption"/>
    <w:basedOn w:val="Normal"/>
    <w:next w:val="Normal"/>
    <w:uiPriority w:val="35"/>
    <w:qFormat/>
    <w:rsid w:val="00F927A2"/>
    <w:pPr>
      <w:keepNext/>
      <w:keepLines/>
      <w:jc w:val="center"/>
    </w:pPr>
    <w:rPr>
      <w:b/>
      <w:bCs/>
      <w:color w:val="5C5C5C"/>
      <w:sz w:val="18"/>
    </w:rPr>
  </w:style>
  <w:style w:type="character" w:styleId="FootnoteReference">
    <w:name w:val="footnote reference"/>
    <w:basedOn w:val="DefaultParagraphFont"/>
    <w:uiPriority w:val="99"/>
    <w:rsid w:val="002A7AE8"/>
    <w:rPr>
      <w:vertAlign w:val="superscript"/>
    </w:rPr>
  </w:style>
  <w:style w:type="character" w:styleId="Hyperlink">
    <w:name w:val="Hyperlink"/>
    <w:basedOn w:val="DefaultParagraphFont"/>
    <w:uiPriority w:val="99"/>
    <w:rsid w:val="002A7AE8"/>
    <w:rPr>
      <w:color w:val="0000FF"/>
      <w:u w:val="single"/>
    </w:rPr>
  </w:style>
  <w:style w:type="character" w:styleId="PageNumber">
    <w:name w:val="page number"/>
    <w:basedOn w:val="DefaultParagraphFont"/>
    <w:unhideWhenUsed/>
    <w:rsid w:val="002F34B9"/>
    <w:rPr>
      <w:color w:val="ED7D0D"/>
    </w:rPr>
  </w:style>
  <w:style w:type="paragraph" w:styleId="TableofFigures">
    <w:name w:val="table of figures"/>
    <w:basedOn w:val="Normal"/>
    <w:next w:val="Normal"/>
    <w:unhideWhenUsed/>
    <w:rsid w:val="002A7AE8"/>
    <w:pPr>
      <w:tabs>
        <w:tab w:val="left" w:pos="1134"/>
        <w:tab w:val="right" w:leader="dot" w:pos="9072"/>
      </w:tabs>
      <w:spacing w:before="40" w:after="40"/>
      <w:ind w:left="1134" w:right="567" w:hanging="1134"/>
    </w:pPr>
  </w:style>
  <w:style w:type="paragraph" w:customStyle="1" w:styleId="Tabledesmatires">
    <w:name w:val="Table des matières"/>
    <w:basedOn w:val="Normal"/>
    <w:rsid w:val="002F34B9"/>
    <w:pPr>
      <w:pageBreakBefore/>
      <w:pBdr>
        <w:bottom w:val="single" w:sz="6" w:space="3" w:color="ED7D0D"/>
      </w:pBdr>
      <w:spacing w:after="240"/>
      <w:jc w:val="center"/>
    </w:pPr>
    <w:rPr>
      <w:rFonts w:ascii="Arial Black" w:hAnsi="Arial Black" w:cs="Arial"/>
      <w:b/>
      <w:bCs/>
      <w:color w:val="5C3439"/>
      <w:sz w:val="36"/>
    </w:rPr>
  </w:style>
  <w:style w:type="paragraph" w:customStyle="1" w:styleId="Titredurapport">
    <w:name w:val="Titre du rapport"/>
    <w:basedOn w:val="Normal"/>
    <w:rsid w:val="002F34B9"/>
    <w:pPr>
      <w:spacing w:before="720" w:after="720"/>
      <w:jc w:val="center"/>
    </w:pPr>
    <w:rPr>
      <w:rFonts w:ascii="Arial Black" w:hAnsi="Arial Black"/>
      <w:b/>
      <w:color w:val="ED7D0D"/>
      <w:sz w:val="48"/>
    </w:rPr>
  </w:style>
  <w:style w:type="paragraph" w:styleId="TOC1">
    <w:name w:val="toc 1"/>
    <w:basedOn w:val="Normal"/>
    <w:next w:val="Normal"/>
    <w:autoRedefine/>
    <w:uiPriority w:val="39"/>
    <w:rsid w:val="00607A57"/>
    <w:pPr>
      <w:keepNext/>
      <w:tabs>
        <w:tab w:val="right" w:leader="dot" w:pos="9072"/>
      </w:tabs>
      <w:spacing w:after="120"/>
      <w:ind w:left="284" w:right="567" w:hanging="284"/>
      <w:jc w:val="left"/>
    </w:pPr>
    <w:rPr>
      <w:b/>
      <w:noProof/>
      <w:color w:val="1F497D" w:themeColor="text2"/>
      <w:sz w:val="24"/>
      <w:szCs w:val="48"/>
      <w:lang w:val="en-US"/>
    </w:rPr>
  </w:style>
  <w:style w:type="paragraph" w:styleId="TOC2">
    <w:name w:val="toc 2"/>
    <w:basedOn w:val="Normal"/>
    <w:next w:val="Normal"/>
    <w:autoRedefine/>
    <w:uiPriority w:val="39"/>
    <w:rsid w:val="00607A57"/>
    <w:pPr>
      <w:keepNext/>
      <w:tabs>
        <w:tab w:val="right" w:leader="dot" w:pos="9072"/>
      </w:tabs>
      <w:spacing w:before="60" w:after="60"/>
      <w:ind w:left="709" w:right="567" w:hanging="425"/>
      <w:jc w:val="left"/>
    </w:pPr>
    <w:rPr>
      <w:b/>
      <w:iCs/>
      <w:noProof/>
      <w:color w:val="4F81BD" w:themeColor="accent1"/>
      <w:szCs w:val="36"/>
      <w:lang w:val="en-US"/>
    </w:rPr>
  </w:style>
  <w:style w:type="paragraph" w:styleId="TOC3">
    <w:name w:val="toc 3"/>
    <w:basedOn w:val="Normal"/>
    <w:next w:val="Normal"/>
    <w:autoRedefine/>
    <w:uiPriority w:val="39"/>
    <w:rsid w:val="00607A57"/>
    <w:pPr>
      <w:tabs>
        <w:tab w:val="right" w:leader="dot" w:pos="9072"/>
      </w:tabs>
      <w:spacing w:before="20" w:after="20"/>
      <w:ind w:left="1276" w:right="566" w:hanging="567"/>
      <w:jc w:val="left"/>
    </w:pPr>
    <w:rPr>
      <w:noProof/>
      <w:sz w:val="18"/>
      <w:szCs w:val="26"/>
      <w:lang w:val="en-US"/>
    </w:rPr>
  </w:style>
  <w:style w:type="paragraph" w:styleId="TOC4">
    <w:name w:val="toc 4"/>
    <w:basedOn w:val="Normal"/>
    <w:next w:val="Normal"/>
    <w:autoRedefine/>
    <w:rsid w:val="00607A57"/>
    <w:pPr>
      <w:spacing w:before="0" w:after="120"/>
      <w:ind w:left="720"/>
      <w:jc w:val="left"/>
    </w:pPr>
    <w:rPr>
      <w:sz w:val="20"/>
      <w:lang w:val="en-US"/>
    </w:rPr>
  </w:style>
  <w:style w:type="paragraph" w:styleId="TOC5">
    <w:name w:val="toc 5"/>
    <w:basedOn w:val="Normal"/>
    <w:next w:val="Normal"/>
    <w:autoRedefine/>
    <w:unhideWhenUsed/>
    <w:rsid w:val="002A7AE8"/>
    <w:pPr>
      <w:ind w:left="960"/>
    </w:pPr>
  </w:style>
  <w:style w:type="paragraph" w:styleId="TOC6">
    <w:name w:val="toc 6"/>
    <w:basedOn w:val="Normal"/>
    <w:next w:val="Normal"/>
    <w:autoRedefine/>
    <w:unhideWhenUsed/>
    <w:rsid w:val="002A7AE8"/>
    <w:pPr>
      <w:ind w:left="1100"/>
    </w:pPr>
    <w:rPr>
      <w:szCs w:val="24"/>
    </w:rPr>
  </w:style>
  <w:style w:type="paragraph" w:styleId="TOC7">
    <w:name w:val="toc 7"/>
    <w:basedOn w:val="Normal"/>
    <w:next w:val="Normal"/>
    <w:autoRedefine/>
    <w:unhideWhenUsed/>
    <w:rsid w:val="002A7AE8"/>
    <w:pPr>
      <w:ind w:left="1320"/>
    </w:pPr>
    <w:rPr>
      <w:szCs w:val="24"/>
    </w:rPr>
  </w:style>
  <w:style w:type="paragraph" w:styleId="TOC8">
    <w:name w:val="toc 8"/>
    <w:basedOn w:val="Normal"/>
    <w:next w:val="Normal"/>
    <w:autoRedefine/>
    <w:unhideWhenUsed/>
    <w:rsid w:val="002A7AE8"/>
    <w:pPr>
      <w:ind w:left="1540"/>
    </w:pPr>
    <w:rPr>
      <w:szCs w:val="24"/>
    </w:rPr>
  </w:style>
  <w:style w:type="paragraph" w:styleId="TOC9">
    <w:name w:val="toc 9"/>
    <w:basedOn w:val="Normal"/>
    <w:next w:val="Normal"/>
    <w:autoRedefine/>
    <w:unhideWhenUsed/>
    <w:rsid w:val="002A7AE8"/>
    <w:pPr>
      <w:ind w:left="1760"/>
    </w:pPr>
    <w:rPr>
      <w:szCs w:val="24"/>
    </w:rPr>
  </w:style>
  <w:style w:type="paragraph" w:customStyle="1" w:styleId="Annexes">
    <w:name w:val="Annexes"/>
    <w:basedOn w:val="Normal"/>
    <w:next w:val="Normal"/>
    <w:rsid w:val="000F34C0"/>
    <w:pPr>
      <w:pageBreakBefore/>
      <w:numPr>
        <w:numId w:val="5"/>
      </w:numPr>
      <w:spacing w:before="0" w:after="240"/>
      <w:jc w:val="left"/>
      <w:outlineLvl w:val="1"/>
    </w:pPr>
    <w:rPr>
      <w:rFonts w:ascii="Tahoma" w:hAnsi="Tahoma"/>
      <w:b/>
      <w:color w:val="5C3439"/>
      <w:sz w:val="36"/>
    </w:rPr>
  </w:style>
  <w:style w:type="paragraph" w:styleId="Bibliography">
    <w:name w:val="Bibliography"/>
    <w:basedOn w:val="Normal"/>
    <w:unhideWhenUsed/>
    <w:rsid w:val="002A7AE8"/>
    <w:rPr>
      <w:lang w:val="en-US"/>
    </w:rPr>
  </w:style>
  <w:style w:type="character" w:customStyle="1" w:styleId="Hydroconseil">
    <w:name w:val="Hydroconseil"/>
    <w:basedOn w:val="DefaultParagraphFont"/>
    <w:rsid w:val="00EB30A0"/>
    <w:rPr>
      <w:rFonts w:ascii="Arial Rounded MT Bold" w:hAnsi="Arial Rounded MT Bold"/>
      <w:i/>
      <w:caps/>
      <w:color w:val="0080FF"/>
    </w:rPr>
  </w:style>
  <w:style w:type="paragraph" w:customStyle="1" w:styleId="Tableau">
    <w:name w:val="Tableau"/>
    <w:basedOn w:val="Normal"/>
    <w:rsid w:val="00D50629"/>
    <w:pPr>
      <w:spacing w:before="40" w:after="40"/>
      <w:jc w:val="left"/>
    </w:pPr>
    <w:rPr>
      <w:bCs/>
      <w:sz w:val="20"/>
    </w:rPr>
  </w:style>
  <w:style w:type="paragraph" w:customStyle="1" w:styleId="Tableau-texteaprs">
    <w:name w:val="Tableau-texte après"/>
    <w:basedOn w:val="Normal"/>
    <w:next w:val="Normal"/>
    <w:rsid w:val="002A7AE8"/>
    <w:pPr>
      <w:overflowPunct w:val="0"/>
      <w:autoSpaceDE w:val="0"/>
      <w:autoSpaceDN w:val="0"/>
      <w:adjustRightInd w:val="0"/>
      <w:spacing w:before="240"/>
      <w:textAlignment w:val="baseline"/>
    </w:pPr>
  </w:style>
  <w:style w:type="paragraph" w:customStyle="1" w:styleId="Tableau-titre">
    <w:name w:val="Tableau-titre"/>
    <w:basedOn w:val="Normal"/>
    <w:next w:val="Tableau"/>
    <w:rsid w:val="002F34B9"/>
    <w:pPr>
      <w:keepNext/>
      <w:shd w:val="clear" w:color="auto" w:fill="FFCC99"/>
      <w:overflowPunct w:val="0"/>
      <w:autoSpaceDE w:val="0"/>
      <w:autoSpaceDN w:val="0"/>
      <w:adjustRightInd w:val="0"/>
      <w:spacing w:before="80" w:after="80"/>
      <w:jc w:val="center"/>
      <w:textAlignment w:val="baseline"/>
    </w:pPr>
    <w:rPr>
      <w:rFonts w:cs="Arial"/>
      <w:b/>
      <w:color w:val="5C3439"/>
    </w:rPr>
  </w:style>
  <w:style w:type="paragraph" w:styleId="ListBullet">
    <w:name w:val="List Bullet"/>
    <w:basedOn w:val="Normal"/>
    <w:rsid w:val="00A27B79"/>
    <w:pPr>
      <w:numPr>
        <w:numId w:val="3"/>
      </w:numPr>
    </w:pPr>
  </w:style>
  <w:style w:type="paragraph" w:styleId="ListNumber">
    <w:name w:val="List Number"/>
    <w:basedOn w:val="Normal"/>
    <w:uiPriority w:val="99"/>
    <w:rsid w:val="002A7AE8"/>
    <w:pPr>
      <w:numPr>
        <w:numId w:val="4"/>
      </w:numPr>
    </w:pPr>
  </w:style>
  <w:style w:type="table" w:styleId="TableGrid">
    <w:name w:val="Table Grid"/>
    <w:basedOn w:val="TableNormal"/>
    <w:uiPriority w:val="59"/>
    <w:rsid w:val="00066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684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84F"/>
    <w:rPr>
      <w:rFonts w:ascii="Tahoma" w:hAnsi="Tahoma" w:cs="Tahoma"/>
      <w:sz w:val="16"/>
      <w:szCs w:val="16"/>
      <w:lang w:val="en-GB"/>
    </w:rPr>
  </w:style>
  <w:style w:type="paragraph" w:customStyle="1" w:styleId="Tableau-Puces">
    <w:name w:val="Tableau-Puces"/>
    <w:basedOn w:val="ListBullet"/>
    <w:qFormat/>
    <w:rsid w:val="00C03F18"/>
    <w:pPr>
      <w:spacing w:before="40" w:after="40"/>
      <w:jc w:val="left"/>
    </w:pPr>
    <w:rPr>
      <w:sz w:val="20"/>
    </w:rPr>
  </w:style>
  <w:style w:type="character" w:customStyle="1" w:styleId="HeaderChar">
    <w:name w:val="Header Char"/>
    <w:basedOn w:val="DefaultParagraphFont"/>
    <w:link w:val="Header"/>
    <w:uiPriority w:val="99"/>
    <w:rsid w:val="001B4165"/>
    <w:rPr>
      <w:rFonts w:ascii="Arial" w:hAnsi="Arial"/>
      <w:sz w:val="22"/>
      <w:lang w:val="en-US"/>
    </w:rPr>
  </w:style>
  <w:style w:type="character" w:customStyle="1" w:styleId="FooterChar">
    <w:name w:val="Footer Char"/>
    <w:basedOn w:val="DefaultParagraphFont"/>
    <w:link w:val="Footer"/>
    <w:uiPriority w:val="99"/>
    <w:rsid w:val="002F34B9"/>
    <w:rPr>
      <w:rFonts w:ascii="Arial" w:hAnsi="Arial"/>
      <w:i/>
      <w:color w:val="ED7D0D"/>
      <w:sz w:val="18"/>
      <w:lang w:val="en-US"/>
    </w:rPr>
  </w:style>
  <w:style w:type="character" w:customStyle="1" w:styleId="Heading1Char">
    <w:name w:val="Heading 1 Char"/>
    <w:basedOn w:val="DefaultParagraphFont"/>
    <w:link w:val="Heading1"/>
    <w:uiPriority w:val="9"/>
    <w:rsid w:val="00DB30FD"/>
    <w:rPr>
      <w:rFonts w:ascii="Arial" w:hAnsi="Arial" w:cs="Tahoma"/>
      <w:b/>
      <w:color w:val="1F497D" w:themeColor="text2"/>
      <w:sz w:val="48"/>
      <w:szCs w:val="36"/>
    </w:rPr>
  </w:style>
  <w:style w:type="character" w:customStyle="1" w:styleId="Heading2Char">
    <w:name w:val="Heading 2 Char"/>
    <w:basedOn w:val="DefaultParagraphFont"/>
    <w:link w:val="Heading2"/>
    <w:uiPriority w:val="9"/>
    <w:rsid w:val="00F927A2"/>
    <w:rPr>
      <w:rFonts w:ascii="Arial" w:hAnsi="Arial"/>
      <w:b/>
      <w:color w:val="1F497D" w:themeColor="text2"/>
      <w:sz w:val="28"/>
    </w:rPr>
  </w:style>
  <w:style w:type="character" w:customStyle="1" w:styleId="Heading3Char">
    <w:name w:val="Heading 3 Char"/>
    <w:basedOn w:val="DefaultParagraphFont"/>
    <w:link w:val="Heading3"/>
    <w:uiPriority w:val="9"/>
    <w:rsid w:val="00F927A2"/>
    <w:rPr>
      <w:rFonts w:ascii="Arial" w:hAnsi="Arial" w:cs="Arial"/>
      <w:b/>
      <w:bCs/>
      <w:color w:val="4F81BD" w:themeColor="accent1"/>
      <w:sz w:val="24"/>
    </w:rPr>
  </w:style>
  <w:style w:type="character" w:customStyle="1" w:styleId="Heading4Char">
    <w:name w:val="Heading 4 Char"/>
    <w:basedOn w:val="DefaultParagraphFont"/>
    <w:link w:val="Heading4"/>
    <w:rsid w:val="00F927A2"/>
    <w:rPr>
      <w:rFonts w:ascii="Arial" w:hAnsi="Arial"/>
      <w:i/>
      <w:color w:val="0070C0"/>
      <w:sz w:val="22"/>
    </w:rPr>
  </w:style>
  <w:style w:type="paragraph" w:styleId="Title">
    <w:name w:val="Title"/>
    <w:basedOn w:val="Normal"/>
    <w:next w:val="Normal"/>
    <w:link w:val="TitleChar"/>
    <w:uiPriority w:val="10"/>
    <w:qFormat/>
    <w:rsid w:val="00C03F18"/>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F18"/>
    <w:rPr>
      <w:rFonts w:asciiTheme="majorHAnsi" w:eastAsiaTheme="majorEastAsia" w:hAnsiTheme="majorHAnsi" w:cstheme="majorBidi"/>
      <w:spacing w:val="-10"/>
      <w:kern w:val="28"/>
      <w:sz w:val="56"/>
      <w:szCs w:val="56"/>
    </w:rPr>
  </w:style>
  <w:style w:type="character" w:styleId="CommentReference">
    <w:name w:val="annotation reference"/>
    <w:uiPriority w:val="99"/>
    <w:semiHidden/>
    <w:rsid w:val="00066EE8"/>
    <w:rPr>
      <w:sz w:val="16"/>
      <w:szCs w:val="16"/>
    </w:rPr>
  </w:style>
  <w:style w:type="paragraph" w:styleId="CommentText">
    <w:name w:val="annotation text"/>
    <w:basedOn w:val="Normal"/>
    <w:link w:val="CommentTextChar"/>
    <w:uiPriority w:val="99"/>
    <w:rsid w:val="00066EE8"/>
    <w:pPr>
      <w:spacing w:before="0"/>
      <w:jc w:val="left"/>
    </w:pPr>
    <w:rPr>
      <w:rFonts w:ascii="Times New Roman" w:hAnsi="Times New Roman"/>
      <w:sz w:val="20"/>
      <w:lang w:val="x-none" w:eastAsia="x-none"/>
    </w:rPr>
  </w:style>
  <w:style w:type="character" w:customStyle="1" w:styleId="CommentTextChar">
    <w:name w:val="Comment Text Char"/>
    <w:basedOn w:val="DefaultParagraphFont"/>
    <w:link w:val="CommentText"/>
    <w:uiPriority w:val="99"/>
    <w:rsid w:val="00066EE8"/>
    <w:rPr>
      <w:lang w:val="x-none" w:eastAsia="x-none"/>
    </w:rPr>
  </w:style>
  <w:style w:type="paragraph" w:styleId="ListParagraph">
    <w:name w:val="List Paragraph"/>
    <w:basedOn w:val="Normal"/>
    <w:link w:val="ListParagraphChar"/>
    <w:uiPriority w:val="34"/>
    <w:qFormat/>
    <w:rsid w:val="00380C1B"/>
    <w:pPr>
      <w:ind w:left="720"/>
      <w:contextualSpacing/>
    </w:pPr>
  </w:style>
  <w:style w:type="paragraph" w:styleId="CommentSubject">
    <w:name w:val="annotation subject"/>
    <w:basedOn w:val="CommentText"/>
    <w:next w:val="CommentText"/>
    <w:link w:val="CommentSubjectChar"/>
    <w:uiPriority w:val="99"/>
    <w:semiHidden/>
    <w:unhideWhenUsed/>
    <w:rsid w:val="00143BD4"/>
    <w:pPr>
      <w:spacing w:before="120"/>
      <w:jc w:val="both"/>
    </w:pPr>
    <w:rPr>
      <w:rFonts w:ascii="Arial" w:hAnsi="Arial"/>
      <w:b/>
      <w:bCs/>
      <w:lang w:val="fr-FR" w:eastAsia="fr-FR"/>
    </w:rPr>
  </w:style>
  <w:style w:type="character" w:customStyle="1" w:styleId="CommentSubjectChar">
    <w:name w:val="Comment Subject Char"/>
    <w:basedOn w:val="CommentTextChar"/>
    <w:link w:val="CommentSubject"/>
    <w:uiPriority w:val="99"/>
    <w:semiHidden/>
    <w:rsid w:val="00143BD4"/>
    <w:rPr>
      <w:rFonts w:ascii="Arial" w:hAnsi="Arial"/>
      <w:b/>
      <w:bCs/>
      <w:lang w:val="x-none" w:eastAsia="x-none"/>
    </w:rPr>
  </w:style>
  <w:style w:type="character" w:styleId="Emphasis">
    <w:name w:val="Emphasis"/>
    <w:uiPriority w:val="20"/>
    <w:qFormat/>
    <w:rsid w:val="000F34C0"/>
    <w:rPr>
      <w:i/>
      <w:iCs/>
    </w:rPr>
  </w:style>
  <w:style w:type="character" w:styleId="Strong">
    <w:name w:val="Strong"/>
    <w:uiPriority w:val="22"/>
    <w:qFormat/>
    <w:rsid w:val="000F34C0"/>
    <w:rPr>
      <w:b/>
      <w:bCs/>
    </w:rPr>
  </w:style>
  <w:style w:type="character" w:customStyle="1" w:styleId="ListParagraphChar">
    <w:name w:val="List Paragraph Char"/>
    <w:basedOn w:val="DefaultParagraphFont"/>
    <w:link w:val="ListParagraph"/>
    <w:uiPriority w:val="34"/>
    <w:rsid w:val="000F34C0"/>
    <w:rPr>
      <w:rFonts w:ascii="Arial" w:hAnsi="Arial"/>
      <w:sz w:val="22"/>
    </w:rPr>
  </w:style>
  <w:style w:type="character" w:customStyle="1" w:styleId="FootnoteTextChar">
    <w:name w:val="Footnote Text Char"/>
    <w:basedOn w:val="DefaultParagraphFont"/>
    <w:link w:val="FootnoteText"/>
    <w:uiPriority w:val="99"/>
    <w:rsid w:val="000F34C0"/>
    <w:rPr>
      <w:rFonts w:ascii="Arial" w:hAnsi="Arial"/>
      <w:sz w:val="18"/>
    </w:rPr>
  </w:style>
  <w:style w:type="paragraph" w:styleId="NoSpacing">
    <w:name w:val="No Spacing"/>
    <w:link w:val="NoSpacingChar"/>
    <w:uiPriority w:val="1"/>
    <w:qFormat/>
    <w:rsid w:val="000F34C0"/>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0F34C0"/>
    <w:rPr>
      <w:rFonts w:ascii="Calibri" w:eastAsia="Calibri" w:hAnsi="Calibri"/>
      <w:sz w:val="22"/>
      <w:szCs w:val="22"/>
      <w:lang w:val="en-US" w:eastAsia="en-US"/>
    </w:rPr>
  </w:style>
  <w:style w:type="paragraph" w:customStyle="1" w:styleId="MediumShading1-Accent21">
    <w:name w:val="Medium Shading 1 - Accent 21"/>
    <w:basedOn w:val="Normal"/>
    <w:link w:val="MediumShading1-Accent2Char"/>
    <w:uiPriority w:val="1"/>
    <w:qFormat/>
    <w:rsid w:val="000F34C0"/>
    <w:pPr>
      <w:numPr>
        <w:numId w:val="7"/>
      </w:numPr>
      <w:autoSpaceDE w:val="0"/>
      <w:autoSpaceDN w:val="0"/>
      <w:adjustRightInd w:val="0"/>
      <w:spacing w:before="0" w:after="200"/>
    </w:pPr>
    <w:rPr>
      <w:rFonts w:ascii="Times New Roman" w:eastAsia="Calibri" w:hAnsi="Times New Roman"/>
      <w:color w:val="000000"/>
      <w:sz w:val="24"/>
      <w:szCs w:val="22"/>
      <w:lang w:val="en-GB" w:eastAsia="en-US"/>
    </w:rPr>
  </w:style>
  <w:style w:type="character" w:customStyle="1" w:styleId="MediumShading1-Accent2Char">
    <w:name w:val="Medium Shading 1 - Accent 2 Char"/>
    <w:link w:val="MediumShading1-Accent21"/>
    <w:uiPriority w:val="1"/>
    <w:rsid w:val="000F34C0"/>
    <w:rPr>
      <w:rFonts w:eastAsia="Calibri"/>
      <w:color w:val="000000"/>
      <w:sz w:val="24"/>
      <w:szCs w:val="22"/>
      <w:lang w:val="en-GB" w:eastAsia="en-US"/>
    </w:rPr>
  </w:style>
  <w:style w:type="paragraph" w:styleId="TOCHeading">
    <w:name w:val="TOC Heading"/>
    <w:basedOn w:val="Heading1"/>
    <w:next w:val="Normal"/>
    <w:uiPriority w:val="39"/>
    <w:unhideWhenUsed/>
    <w:qFormat/>
    <w:rsid w:val="00345E5D"/>
    <w:pPr>
      <w:keepNext/>
      <w:pageBreakBefore w:val="0"/>
      <w:numPr>
        <w:numId w:val="0"/>
      </w:num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9C2A6D"/>
    <w:rPr>
      <w:rFonts w:ascii="Arial" w:hAnsi="Arial"/>
      <w:sz w:val="22"/>
    </w:rPr>
  </w:style>
  <w:style w:type="character" w:customStyle="1" w:styleId="st">
    <w:name w:val="st"/>
    <w:rsid w:val="00DB30FD"/>
  </w:style>
  <w:style w:type="character" w:customStyle="1" w:styleId="Listecouleur-Accent1Car">
    <w:name w:val="Liste couleur - Accent 1 Car"/>
    <w:link w:val="ColorfulList-Accent1"/>
    <w:rsid w:val="00DB30FD"/>
    <w:rPr>
      <w:sz w:val="22"/>
      <w:szCs w:val="22"/>
      <w:lang w:val="en-GB" w:eastAsia="en-US"/>
    </w:rPr>
  </w:style>
  <w:style w:type="table" w:styleId="ColorfulList-Accent1">
    <w:name w:val="Colorful List Accent 1"/>
    <w:basedOn w:val="TableNormal"/>
    <w:link w:val="Listecouleur-Accent1Car"/>
    <w:semiHidden/>
    <w:unhideWhenUsed/>
    <w:rsid w:val="00DB30FD"/>
    <w:rPr>
      <w:sz w:val="22"/>
      <w:szCs w:val="22"/>
      <w:lang w:val="en-GB"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Versionetauteur">
    <w:name w:val="Version et auteur"/>
    <w:basedOn w:val="Normal"/>
    <w:rsid w:val="00F927A2"/>
    <w:pPr>
      <w:spacing w:before="0" w:after="120"/>
    </w:pPr>
    <w:rPr>
      <w:rFonts w:asciiTheme="minorHAnsi" w:hAnsiTheme="minorHAnsi"/>
      <w:sz w:val="18"/>
      <w:szCs w:val="24"/>
      <w:lang w:val="en-GB"/>
    </w:rPr>
  </w:style>
  <w:style w:type="table" w:customStyle="1" w:styleId="TableauGrille5Fonc-Accentuation61">
    <w:name w:val="Tableau Grille 5 Foncé - Accentuation 61"/>
    <w:basedOn w:val="TableNormal"/>
    <w:uiPriority w:val="50"/>
    <w:rsid w:val="00F927A2"/>
    <w:rPr>
      <w:rFonts w:asciiTheme="minorHAnsi" w:eastAsiaTheme="minorHAnsi" w:hAnsiTheme="minorHAnsi" w:cstheme="minorBidi"/>
      <w:sz w:val="22"/>
      <w:szCs w:val="22"/>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NormalWeb">
    <w:name w:val="Normal (Web)"/>
    <w:basedOn w:val="Normal"/>
    <w:uiPriority w:val="99"/>
    <w:semiHidden/>
    <w:unhideWhenUsed/>
    <w:rsid w:val="00F927A2"/>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00684">
      <w:bodyDiv w:val="1"/>
      <w:marLeft w:val="0"/>
      <w:marRight w:val="0"/>
      <w:marTop w:val="0"/>
      <w:marBottom w:val="0"/>
      <w:divBdr>
        <w:top w:val="none" w:sz="0" w:space="0" w:color="auto"/>
        <w:left w:val="none" w:sz="0" w:space="0" w:color="auto"/>
        <w:bottom w:val="none" w:sz="0" w:space="0" w:color="auto"/>
        <w:right w:val="none" w:sz="0" w:space="0" w:color="auto"/>
      </w:divBdr>
    </w:div>
    <w:div w:id="537352115">
      <w:bodyDiv w:val="1"/>
      <w:marLeft w:val="0"/>
      <w:marRight w:val="0"/>
      <w:marTop w:val="0"/>
      <w:marBottom w:val="0"/>
      <w:divBdr>
        <w:top w:val="none" w:sz="0" w:space="0" w:color="auto"/>
        <w:left w:val="none" w:sz="0" w:space="0" w:color="auto"/>
        <w:bottom w:val="none" w:sz="0" w:space="0" w:color="auto"/>
        <w:right w:val="none" w:sz="0" w:space="0" w:color="auto"/>
      </w:divBdr>
    </w:div>
    <w:div w:id="847450384">
      <w:bodyDiv w:val="1"/>
      <w:marLeft w:val="0"/>
      <w:marRight w:val="0"/>
      <w:marTop w:val="0"/>
      <w:marBottom w:val="0"/>
      <w:divBdr>
        <w:top w:val="none" w:sz="0" w:space="0" w:color="auto"/>
        <w:left w:val="none" w:sz="0" w:space="0" w:color="auto"/>
        <w:bottom w:val="none" w:sz="0" w:space="0" w:color="auto"/>
        <w:right w:val="none" w:sz="0" w:space="0" w:color="auto"/>
      </w:divBdr>
    </w:div>
    <w:div w:id="1413238725">
      <w:bodyDiv w:val="1"/>
      <w:marLeft w:val="0"/>
      <w:marRight w:val="0"/>
      <w:marTop w:val="0"/>
      <w:marBottom w:val="0"/>
      <w:divBdr>
        <w:top w:val="none" w:sz="0" w:space="0" w:color="auto"/>
        <w:left w:val="none" w:sz="0" w:space="0" w:color="auto"/>
        <w:bottom w:val="none" w:sz="0" w:space="0" w:color="auto"/>
        <w:right w:val="none" w:sz="0" w:space="0" w:color="auto"/>
      </w:divBdr>
    </w:div>
    <w:div w:id="163047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image" Target="media/image12.emf"/><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image" Target="media/image20.emf"/><Relationship Id="rId42" Type="http://schemas.openxmlformats.org/officeDocument/2006/relationships/hyperlink" Target="mailto:nasrulhadi@townplan.gov.my"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8.emf"/><Relationship Id="rId29" Type="http://schemas.openxmlformats.org/officeDocument/2006/relationships/image" Target="media/image15.emf"/><Relationship Id="rId41" Type="http://schemas.openxmlformats.org/officeDocument/2006/relationships/hyperlink" Target="http://murninet.townplan.gov.m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hyperlink" Target="mailto:tijani_yeye@yahoo.fr"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2.emf"/><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7.e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image" Target="media/image21.emf"/><Relationship Id="rId43" Type="http://schemas.openxmlformats.org/officeDocument/2006/relationships/hyperlink" Target="mailto:pdue_tchaptchet@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96F46-A9E7-4A1A-AF68-119F247B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24682</Words>
  <Characters>138964</Characters>
  <Application>Microsoft Office Word</Application>
  <DocSecurity>4</DocSecurity>
  <Lines>4791</Lines>
  <Paragraphs>1925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Hydroconseil</Company>
  <LinksUpToDate>false</LinksUpToDate>
  <CharactersWithSpaces>161721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Donne</dc:creator>
  <cp:lastModifiedBy>JARDINET Sylvanie (EEAS-PORT-AU-PRINCE)</cp:lastModifiedBy>
  <cp:revision>2</cp:revision>
  <cp:lastPrinted>2012-03-12T22:07:00Z</cp:lastPrinted>
  <dcterms:created xsi:type="dcterms:W3CDTF">2016-12-07T22:28:00Z</dcterms:created>
  <dcterms:modified xsi:type="dcterms:W3CDTF">2016-12-07T22:28:00Z</dcterms:modified>
</cp:coreProperties>
</file>