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50D53" w14:textId="77777777" w:rsidR="00BE2BA1" w:rsidRDefault="00BE2BA1" w:rsidP="00BE2BA1">
      <w:pPr>
        <w:rPr>
          <w:b/>
          <w:bCs/>
          <w:color w:val="000000"/>
        </w:rPr>
      </w:pPr>
      <w:bookmarkStart w:id="0" w:name="_GoBack"/>
      <w:bookmarkEnd w:id="0"/>
    </w:p>
    <w:p w14:paraId="7ACD1C3D" w14:textId="77777777" w:rsidR="00BE2BA1" w:rsidRDefault="00BE2BA1" w:rsidP="00BE2BA1">
      <w:pPr>
        <w:rPr>
          <w:b/>
          <w:bCs/>
          <w:color w:val="000000"/>
        </w:rPr>
      </w:pPr>
    </w:p>
    <w:p w14:paraId="29C1505D" w14:textId="77777777" w:rsidR="00BE2BA1" w:rsidRDefault="00BE2BA1" w:rsidP="00BE2BA1">
      <w:pPr>
        <w:rPr>
          <w:b/>
          <w:bCs/>
          <w:color w:val="000000"/>
        </w:rPr>
      </w:pPr>
    </w:p>
    <w:p w14:paraId="7834D187" w14:textId="77777777" w:rsidR="00BE2BA1" w:rsidRDefault="00BE2BA1" w:rsidP="00BE2BA1">
      <w:pPr>
        <w:rPr>
          <w:b/>
          <w:bCs/>
          <w:color w:val="000000"/>
        </w:rPr>
      </w:pPr>
    </w:p>
    <w:p w14:paraId="1D572EC4" w14:textId="77777777" w:rsidR="00BE2BA1" w:rsidRDefault="00BE2BA1" w:rsidP="00BE2BA1">
      <w:pPr>
        <w:rPr>
          <w:b/>
          <w:bCs/>
          <w:color w:val="000000"/>
        </w:rPr>
      </w:pPr>
    </w:p>
    <w:p w14:paraId="34A9DF75" w14:textId="77777777" w:rsidR="00BE2BA1" w:rsidRDefault="00BE2BA1" w:rsidP="00BE2BA1">
      <w:pPr>
        <w:rPr>
          <w:b/>
          <w:bCs/>
          <w:color w:val="000000"/>
        </w:rPr>
      </w:pPr>
    </w:p>
    <w:p w14:paraId="73EE6591" w14:textId="77777777" w:rsidR="00BE2BA1" w:rsidRPr="00BE2BA1" w:rsidRDefault="004A2038" w:rsidP="00BE2BA1">
      <w:pPr>
        <w:rPr>
          <w:b/>
          <w:bCs/>
          <w:color w:val="000000"/>
          <w:u w:val="single"/>
        </w:rPr>
      </w:pPr>
      <w:r>
        <w:rPr>
          <w:b/>
          <w:bCs/>
          <w:color w:val="000000"/>
          <w:u w:val="single"/>
        </w:rPr>
        <w:t>Briefing note:</w:t>
      </w:r>
      <w:r w:rsidR="00BE2BA1" w:rsidRPr="00BE2BA1">
        <w:rPr>
          <w:b/>
          <w:bCs/>
          <w:color w:val="000000"/>
          <w:u w:val="single"/>
        </w:rPr>
        <w:t xml:space="preserve"> International Donor Group on Civil Society, The Hague, November 26-27 2018.</w:t>
      </w:r>
    </w:p>
    <w:p w14:paraId="1BBB5241" w14:textId="77777777" w:rsidR="00BE2BA1" w:rsidRDefault="00BE2BA1" w:rsidP="00BE2BA1">
      <w:pPr>
        <w:rPr>
          <w:b/>
          <w:bCs/>
          <w:color w:val="000000"/>
        </w:rPr>
      </w:pPr>
    </w:p>
    <w:p w14:paraId="7C4F54B6" w14:textId="77777777" w:rsidR="00BE2BA1" w:rsidRDefault="00BE2BA1" w:rsidP="00BE2BA1">
      <w:pPr>
        <w:rPr>
          <w:b/>
          <w:bCs/>
          <w:color w:val="000000"/>
        </w:rPr>
      </w:pPr>
      <w:r>
        <w:rPr>
          <w:b/>
          <w:bCs/>
          <w:color w:val="000000"/>
        </w:rPr>
        <w:t xml:space="preserve">A summary of the Irish </w:t>
      </w:r>
      <w:r>
        <w:rPr>
          <w:b/>
          <w:bCs/>
          <w:color w:val="181717"/>
        </w:rPr>
        <w:t xml:space="preserve">Embassy in Ethiopia’s contribution and engagement </w:t>
      </w:r>
      <w:r>
        <w:rPr>
          <w:b/>
          <w:bCs/>
          <w:color w:val="000000"/>
        </w:rPr>
        <w:t>with Civil Society Space and legislation in Ethiopia 2009-2018</w:t>
      </w:r>
      <w:r>
        <w:rPr>
          <w:rStyle w:val="FootnoteReference"/>
          <w:b/>
          <w:bCs/>
          <w:color w:val="000000"/>
        </w:rPr>
        <w:footnoteReference w:id="1"/>
      </w:r>
      <w:r>
        <w:rPr>
          <w:b/>
          <w:bCs/>
          <w:color w:val="000000"/>
        </w:rPr>
        <w:t>.</w:t>
      </w:r>
    </w:p>
    <w:p w14:paraId="0A71C6CD" w14:textId="77777777" w:rsidR="00BE2BA1" w:rsidRDefault="00BE2BA1" w:rsidP="00BE2BA1">
      <w:pPr>
        <w:rPr>
          <w:color w:val="000000"/>
        </w:rPr>
      </w:pPr>
    </w:p>
    <w:p w14:paraId="49E4638A" w14:textId="77777777" w:rsidR="00BE2BA1" w:rsidRDefault="00BE2BA1" w:rsidP="00BE2BA1">
      <w:pPr>
        <w:jc w:val="both"/>
        <w:rPr>
          <w:color w:val="000000"/>
        </w:rPr>
      </w:pPr>
      <w:r>
        <w:rPr>
          <w:color w:val="000000"/>
        </w:rPr>
        <w:t xml:space="preserve">Ethiopia’s legislation and directives which instruct the environment for Civil Society Organisations became operative in 2009 and were widely seen as some of the most restrictive then present in the world.   Drafted following the 2005 elections which had seen opposition parties achieve unanticipated support, the Government took the view that CSOs had, with international funding, potentially acted to influence the election or sided with opposition political parties.  </w:t>
      </w:r>
    </w:p>
    <w:p w14:paraId="59CB8065" w14:textId="77777777" w:rsidR="00BE2BA1" w:rsidRDefault="00BE2BA1" w:rsidP="00BE2BA1">
      <w:pPr>
        <w:jc w:val="both"/>
        <w:rPr>
          <w:color w:val="000000"/>
        </w:rPr>
      </w:pPr>
    </w:p>
    <w:p w14:paraId="6F0985AB" w14:textId="77777777" w:rsidR="00BE2BA1" w:rsidRDefault="00BE2BA1" w:rsidP="00BE2BA1">
      <w:pPr>
        <w:jc w:val="both"/>
        <w:rPr>
          <w:color w:val="000000"/>
        </w:rPr>
      </w:pPr>
      <w:r>
        <w:rPr>
          <w:color w:val="000000"/>
        </w:rPr>
        <w:t xml:space="preserve">Whilst the period before the proclamation was problematic for CSOs in that the absence of clear guidance resulted in arbitrary treatment, the period following the CSP’s activation saw systematic regulation of the sector, dictating the areas within which CSOs in receipt of national or international resources could operate.  CSOs were expected to principally serve as public service gap fillers to complement Government systems and were restricted from working </w:t>
      </w:r>
      <w:r w:rsidR="00AE7E68">
        <w:rPr>
          <w:color w:val="000000"/>
        </w:rPr>
        <w:t xml:space="preserve">(with foreign funding) </w:t>
      </w:r>
      <w:r>
        <w:rPr>
          <w:color w:val="000000"/>
        </w:rPr>
        <w:t>in areas pertaining to rights (particularly civil and political rights), criticism of government policies, practices and standards etc.</w:t>
      </w:r>
    </w:p>
    <w:p w14:paraId="5B59EF4D" w14:textId="77777777" w:rsidR="00BE2BA1" w:rsidRDefault="00BE2BA1" w:rsidP="00BE2BA1">
      <w:pPr>
        <w:jc w:val="both"/>
        <w:rPr>
          <w:color w:val="000000"/>
        </w:rPr>
      </w:pPr>
    </w:p>
    <w:p w14:paraId="243E3251" w14:textId="77777777" w:rsidR="00BE2BA1" w:rsidRDefault="00BE2BA1" w:rsidP="00BE2BA1">
      <w:pPr>
        <w:jc w:val="both"/>
        <w:rPr>
          <w:color w:val="000000"/>
        </w:rPr>
      </w:pPr>
      <w:r>
        <w:rPr>
          <w:color w:val="000000"/>
        </w:rPr>
        <w:t>The CSP also pushed for greater efficiencies within the CSO sector, requiring that goods and services should absorb at least 70% of all a CSO’s expenditure, and administration (including all salaries, transport, assets, recurrent costs etc.) would not be greater than 30%</w:t>
      </w:r>
      <w:r>
        <w:t>.</w:t>
      </w:r>
      <w:r>
        <w:rPr>
          <w:color w:val="000000"/>
        </w:rPr>
        <w:t xml:space="preserve">  Efforts to increase efficiency and remove agencies from the sector which were not bringing benefits in line with their purported mandates etc. were to be welcomed, but the excessively strict and often arbitrary interpretation of these directives resulted in an extremely difficult environment for CSOs and the closure of many.</w:t>
      </w:r>
    </w:p>
    <w:p w14:paraId="011D2300" w14:textId="77777777" w:rsidR="00BE2BA1" w:rsidRDefault="00BE2BA1" w:rsidP="00BE2BA1">
      <w:pPr>
        <w:jc w:val="both"/>
        <w:rPr>
          <w:color w:val="000000"/>
        </w:rPr>
      </w:pPr>
    </w:p>
    <w:p w14:paraId="55D454BF" w14:textId="77777777" w:rsidR="00BE2BA1" w:rsidRDefault="00BE2BA1" w:rsidP="00BE2BA1">
      <w:pPr>
        <w:jc w:val="both"/>
        <w:rPr>
          <w:color w:val="000000"/>
        </w:rPr>
      </w:pPr>
      <w:r>
        <w:rPr>
          <w:color w:val="000000"/>
        </w:rPr>
        <w:t>The CSP was part of a trio of laws which followed the 2005 elections and were seen as structural efforts to limit civil opposition to the dominant party, the EPRDF.  The CSP was accompanied by the Anti-Terrorist Proclamation and Media Law</w:t>
      </w:r>
      <w:r>
        <w:t>, all of which are now under review by request of PM Abiy, who took power promising many reforms in April 2018.</w:t>
      </w:r>
      <w:r>
        <w:rPr>
          <w:color w:val="000000"/>
        </w:rPr>
        <w:t xml:space="preserve"> </w:t>
      </w:r>
    </w:p>
    <w:p w14:paraId="4DC4017F" w14:textId="77777777" w:rsidR="00BE2BA1" w:rsidRDefault="00BE2BA1" w:rsidP="00BE2BA1">
      <w:pPr>
        <w:jc w:val="both"/>
        <w:rPr>
          <w:color w:val="000000"/>
        </w:rPr>
      </w:pPr>
    </w:p>
    <w:p w14:paraId="737A4FD5" w14:textId="77777777" w:rsidR="00BE2BA1" w:rsidRDefault="00BE2BA1" w:rsidP="00BE2BA1">
      <w:pPr>
        <w:jc w:val="both"/>
        <w:rPr>
          <w:color w:val="000000"/>
        </w:rPr>
      </w:pPr>
      <w:r>
        <w:rPr>
          <w:color w:val="000000"/>
        </w:rPr>
        <w:t>Supporting Civil Society has been a key focus of Irish Aid’s programming both before and after the passing of the CSP.  Following the CSP’s implementation, Irish Aid contribut</w:t>
      </w:r>
      <w:r w:rsidR="00AE7E68">
        <w:rPr>
          <w:color w:val="000000"/>
        </w:rPr>
        <w:t>ed</w:t>
      </w:r>
      <w:r>
        <w:rPr>
          <w:color w:val="000000"/>
        </w:rPr>
        <w:t xml:space="preserve"> to:</w:t>
      </w:r>
    </w:p>
    <w:p w14:paraId="36559165" w14:textId="77777777" w:rsidR="00BE2BA1" w:rsidRDefault="00BE2BA1" w:rsidP="00BE2BA1">
      <w:pPr>
        <w:jc w:val="both"/>
        <w:rPr>
          <w:color w:val="000000"/>
        </w:rPr>
      </w:pPr>
    </w:p>
    <w:p w14:paraId="0BB7A2A4" w14:textId="77777777" w:rsidR="00BE2BA1" w:rsidRPr="00BE2BA1" w:rsidRDefault="00BE2BA1" w:rsidP="00BE2BA1">
      <w:pPr>
        <w:pStyle w:val="ListParagraph"/>
        <w:numPr>
          <w:ilvl w:val="0"/>
          <w:numId w:val="5"/>
        </w:numPr>
        <w:jc w:val="both"/>
        <w:rPr>
          <w:color w:val="000000"/>
        </w:rPr>
      </w:pPr>
      <w:r w:rsidRPr="00BE2BA1">
        <w:rPr>
          <w:color w:val="000000"/>
        </w:rPr>
        <w:t xml:space="preserve">the expansion of space for civil society and </w:t>
      </w:r>
    </w:p>
    <w:p w14:paraId="1EE723FA" w14:textId="77777777" w:rsidR="00BE2BA1" w:rsidRPr="00BE2BA1" w:rsidRDefault="00BE2BA1" w:rsidP="00BE2BA1">
      <w:pPr>
        <w:pStyle w:val="ListParagraph"/>
        <w:numPr>
          <w:ilvl w:val="0"/>
          <w:numId w:val="5"/>
        </w:numPr>
        <w:jc w:val="both"/>
        <w:rPr>
          <w:color w:val="000000"/>
        </w:rPr>
      </w:pPr>
      <w:r>
        <w:rPr>
          <w:color w:val="000000"/>
        </w:rPr>
        <w:t>s</w:t>
      </w:r>
      <w:r w:rsidRPr="00BE2BA1">
        <w:rPr>
          <w:color w:val="000000"/>
        </w:rPr>
        <w:t xml:space="preserve">upport capacity building and enhancing the contribution of civil society in Ethiopia. </w:t>
      </w:r>
    </w:p>
    <w:p w14:paraId="245C02B7" w14:textId="77777777" w:rsidR="00BE2BA1" w:rsidRDefault="00BE2BA1" w:rsidP="00BE2BA1">
      <w:pPr>
        <w:jc w:val="both"/>
        <w:rPr>
          <w:color w:val="000000"/>
        </w:rPr>
      </w:pPr>
    </w:p>
    <w:p w14:paraId="78E0F899" w14:textId="77777777" w:rsidR="00BE2BA1" w:rsidRDefault="00BE2BA1" w:rsidP="00BE2BA1">
      <w:pPr>
        <w:jc w:val="both"/>
        <w:rPr>
          <w:color w:val="000000"/>
        </w:rPr>
      </w:pPr>
      <w:r>
        <w:rPr>
          <w:color w:val="000000"/>
        </w:rPr>
        <w:lastRenderedPageBreak/>
        <w:t>These activities are broadly split into:</w:t>
      </w:r>
    </w:p>
    <w:p w14:paraId="69AE08C7" w14:textId="77777777" w:rsidR="00BE2BA1" w:rsidRDefault="00BE2BA1" w:rsidP="00BE2BA1">
      <w:pPr>
        <w:pStyle w:val="ListParagraph"/>
        <w:numPr>
          <w:ilvl w:val="0"/>
          <w:numId w:val="1"/>
        </w:numPr>
        <w:jc w:val="both"/>
        <w:rPr>
          <w:color w:val="000000"/>
        </w:rPr>
      </w:pPr>
      <w:r>
        <w:rPr>
          <w:color w:val="000000"/>
        </w:rPr>
        <w:t>Engagement in multi-partner forums focused on widening CS space</w:t>
      </w:r>
    </w:p>
    <w:p w14:paraId="5493BC98" w14:textId="77777777" w:rsidR="00BE2BA1" w:rsidRDefault="00BE2BA1" w:rsidP="00BE2BA1">
      <w:pPr>
        <w:pStyle w:val="ListParagraph"/>
        <w:numPr>
          <w:ilvl w:val="0"/>
          <w:numId w:val="1"/>
        </w:numPr>
        <w:jc w:val="both"/>
        <w:rPr>
          <w:color w:val="000000"/>
        </w:rPr>
      </w:pPr>
      <w:r>
        <w:rPr>
          <w:color w:val="000000"/>
        </w:rPr>
        <w:t>Direct support to CS partners engaged in national level advocacy on the CSP</w:t>
      </w:r>
    </w:p>
    <w:p w14:paraId="42B6E830" w14:textId="77777777" w:rsidR="00BE2BA1" w:rsidRDefault="00BE2BA1" w:rsidP="00BE2BA1">
      <w:pPr>
        <w:jc w:val="both"/>
        <w:rPr>
          <w:color w:val="000000"/>
        </w:rPr>
      </w:pPr>
    </w:p>
    <w:p w14:paraId="7DF65286" w14:textId="77777777" w:rsidR="00BE2BA1" w:rsidRDefault="00AE7E68" w:rsidP="00BE2BA1">
      <w:pPr>
        <w:jc w:val="both"/>
        <w:rPr>
          <w:color w:val="000000"/>
        </w:rPr>
      </w:pPr>
      <w:r>
        <w:rPr>
          <w:color w:val="000000"/>
        </w:rPr>
        <w:t xml:space="preserve">Summary of </w:t>
      </w:r>
      <w:r w:rsidR="00BE2BA1">
        <w:rPr>
          <w:color w:val="000000"/>
        </w:rPr>
        <w:t>O</w:t>
      </w:r>
      <w:r>
        <w:rPr>
          <w:color w:val="000000"/>
        </w:rPr>
        <w:t xml:space="preserve">utcomes </w:t>
      </w:r>
    </w:p>
    <w:p w14:paraId="6DC8DDC1" w14:textId="77777777" w:rsidR="00BE2BA1" w:rsidRDefault="00BE2BA1" w:rsidP="00BE2BA1">
      <w:pPr>
        <w:jc w:val="both"/>
        <w:rPr>
          <w:color w:val="000000"/>
        </w:rPr>
      </w:pPr>
    </w:p>
    <w:p w14:paraId="4DF037B6" w14:textId="77777777" w:rsidR="00BE2BA1" w:rsidRDefault="00BE2BA1" w:rsidP="00BE2BA1">
      <w:pPr>
        <w:pStyle w:val="ListParagraph"/>
        <w:numPr>
          <w:ilvl w:val="0"/>
          <w:numId w:val="2"/>
        </w:numPr>
        <w:jc w:val="both"/>
        <w:rPr>
          <w:color w:val="000000"/>
          <w:u w:val="single"/>
        </w:rPr>
      </w:pPr>
      <w:r>
        <w:rPr>
          <w:color w:val="000000"/>
          <w:u w:val="single"/>
        </w:rPr>
        <w:t>Engagement in multi-partner forums focused on widening CS space</w:t>
      </w:r>
    </w:p>
    <w:p w14:paraId="1396320A" w14:textId="77777777" w:rsidR="00BE2BA1" w:rsidRDefault="00BE2BA1" w:rsidP="00BE2BA1">
      <w:pPr>
        <w:pStyle w:val="ListParagraph"/>
        <w:jc w:val="both"/>
        <w:rPr>
          <w:color w:val="000000"/>
        </w:rPr>
      </w:pPr>
    </w:p>
    <w:p w14:paraId="040A52D9" w14:textId="77777777" w:rsidR="00BE2BA1" w:rsidRDefault="00BE2BA1" w:rsidP="00BE2BA1">
      <w:pPr>
        <w:pStyle w:val="ListParagraph"/>
        <w:numPr>
          <w:ilvl w:val="0"/>
          <w:numId w:val="3"/>
        </w:numPr>
        <w:jc w:val="both"/>
        <w:rPr>
          <w:color w:val="000000"/>
        </w:rPr>
      </w:pPr>
      <w:r>
        <w:rPr>
          <w:color w:val="000000"/>
        </w:rPr>
        <w:t xml:space="preserve">Co-Chairing the Donor Assistance Group’s </w:t>
      </w:r>
      <w:r w:rsidR="00AE7E68">
        <w:rPr>
          <w:color w:val="000000"/>
        </w:rPr>
        <w:t xml:space="preserve">(DAG) </w:t>
      </w:r>
      <w:r>
        <w:rPr>
          <w:b/>
          <w:bCs/>
          <w:color w:val="000000"/>
        </w:rPr>
        <w:t xml:space="preserve">Civil Society Sub-Group (the CSSG) – </w:t>
      </w:r>
      <w:r>
        <w:rPr>
          <w:color w:val="000000"/>
        </w:rPr>
        <w:t xml:space="preserve">a donor group focused on support to Civil Society.  IA </w:t>
      </w:r>
      <w:r w:rsidR="00571561">
        <w:rPr>
          <w:color w:val="000000"/>
        </w:rPr>
        <w:t xml:space="preserve">volunteered to </w:t>
      </w:r>
      <w:r w:rsidR="00AE7E68">
        <w:rPr>
          <w:color w:val="000000"/>
        </w:rPr>
        <w:t>co-</w:t>
      </w:r>
      <w:r>
        <w:rPr>
          <w:color w:val="000000"/>
        </w:rPr>
        <w:t>chair the group at the time the Proclamation was enacted</w:t>
      </w:r>
      <w:r>
        <w:t>, coordinating donor reactions and messaging</w:t>
      </w:r>
      <w:r>
        <w:rPr>
          <w:color w:val="1F497D"/>
        </w:rPr>
        <w:t xml:space="preserve">, </w:t>
      </w:r>
      <w:r>
        <w:rPr>
          <w:color w:val="000000"/>
        </w:rPr>
        <w:t xml:space="preserve">through the DAG, on the same to Government. </w:t>
      </w:r>
    </w:p>
    <w:p w14:paraId="1B18FE90" w14:textId="77777777" w:rsidR="00BE2BA1" w:rsidRDefault="00BE2BA1" w:rsidP="00BE2BA1">
      <w:pPr>
        <w:pStyle w:val="ListParagraph"/>
        <w:numPr>
          <w:ilvl w:val="0"/>
          <w:numId w:val="3"/>
        </w:numPr>
        <w:jc w:val="both"/>
        <w:rPr>
          <w:color w:val="000000"/>
        </w:rPr>
      </w:pPr>
      <w:r>
        <w:rPr>
          <w:color w:val="000000"/>
        </w:rPr>
        <w:t xml:space="preserve">IA was an active </w:t>
      </w:r>
      <w:r>
        <w:rPr>
          <w:b/>
          <w:bCs/>
          <w:color w:val="000000"/>
        </w:rPr>
        <w:t>member of the national level Civil Society Sector Working Group (CSSWG)</w:t>
      </w:r>
      <w:r w:rsidR="00571561">
        <w:rPr>
          <w:b/>
          <w:bCs/>
          <w:color w:val="000000"/>
        </w:rPr>
        <w:t xml:space="preserve"> </w:t>
      </w:r>
      <w:r>
        <w:rPr>
          <w:b/>
          <w:bCs/>
          <w:color w:val="000000"/>
        </w:rPr>
        <w:t xml:space="preserve">- </w:t>
      </w:r>
      <w:r>
        <w:rPr>
          <w:color w:val="000000"/>
        </w:rPr>
        <w:t>which included CSOs; the Government’s CSO oversight institution, the Charities and Societies Agency (</w:t>
      </w:r>
      <w:proofErr w:type="spellStart"/>
      <w:r>
        <w:rPr>
          <w:color w:val="000000"/>
        </w:rPr>
        <w:t>ChSA</w:t>
      </w:r>
      <w:proofErr w:type="spellEnd"/>
      <w:r>
        <w:rPr>
          <w:color w:val="000000"/>
        </w:rPr>
        <w:t>); the Ministry of Federal Affairs, sector ministries and development partners. The Government counterparts stopped convening the CSSWG in mid-2014.  Despite commitments from the Government to the EU’s Special Representative for Human Rights to restart the CSSWG in 2016, it remains moribund.</w:t>
      </w:r>
    </w:p>
    <w:p w14:paraId="28EAA8D7" w14:textId="77777777" w:rsidR="00BE2BA1" w:rsidRDefault="00BE2BA1" w:rsidP="00BE2BA1">
      <w:pPr>
        <w:pStyle w:val="ListParagraph"/>
        <w:numPr>
          <w:ilvl w:val="0"/>
          <w:numId w:val="3"/>
        </w:numPr>
        <w:jc w:val="both"/>
        <w:rPr>
          <w:color w:val="000000"/>
        </w:rPr>
      </w:pPr>
      <w:r>
        <w:rPr>
          <w:color w:val="000000"/>
        </w:rPr>
        <w:t xml:space="preserve">Irish Aid volunteered to lead the multi-donor </w:t>
      </w:r>
      <w:r>
        <w:rPr>
          <w:b/>
          <w:bCs/>
          <w:color w:val="000000"/>
        </w:rPr>
        <w:t>Civil Society Support Programme (CSSP</w:t>
      </w:r>
      <w:r w:rsidR="00AE7E68">
        <w:rPr>
          <w:b/>
          <w:bCs/>
          <w:color w:val="000000"/>
        </w:rPr>
        <w:t xml:space="preserve"> I</w:t>
      </w:r>
      <w:r>
        <w:rPr>
          <w:b/>
          <w:bCs/>
          <w:color w:val="000000"/>
        </w:rPr>
        <w:t>)</w:t>
      </w:r>
      <w:r>
        <w:rPr>
          <w:color w:val="000000"/>
        </w:rPr>
        <w:t xml:space="preserve"> for 6 years (sole contributor of new funds into a one year extension phase during 2016-2017</w:t>
      </w:r>
      <w:r w:rsidR="00AE7E68">
        <w:rPr>
          <w:color w:val="000000"/>
        </w:rPr>
        <w:t>)</w:t>
      </w:r>
      <w:r w:rsidR="00571561">
        <w:rPr>
          <w:color w:val="000000"/>
        </w:rPr>
        <w:t>. T</w:t>
      </w:r>
      <w:r>
        <w:rPr>
          <w:color w:val="000000"/>
        </w:rPr>
        <w:t>he CSSP was a lifeline to over 500 CSOs, through 772 grants as well as capacity building at a time when Civil Society was suffering a collapse in funding routes following the imposition of the CSP.  CSSP supported CSOs in all nine regions of Ethiopia.</w:t>
      </w:r>
    </w:p>
    <w:p w14:paraId="4D5C015E" w14:textId="77777777" w:rsidR="00AE7E68" w:rsidRDefault="00AE7E68" w:rsidP="00AE7E68">
      <w:pPr>
        <w:jc w:val="both"/>
        <w:rPr>
          <w:color w:val="000000"/>
        </w:rPr>
      </w:pPr>
    </w:p>
    <w:p w14:paraId="5DAD5501" w14:textId="77777777" w:rsidR="00AE7E68" w:rsidRPr="00AE7E68" w:rsidRDefault="00AE7E68" w:rsidP="00AE7E68">
      <w:pPr>
        <w:jc w:val="both"/>
        <w:rPr>
          <w:color w:val="000000"/>
        </w:rPr>
      </w:pPr>
      <w:r w:rsidRPr="00AE7E68">
        <w:rPr>
          <w:color w:val="000000"/>
        </w:rPr>
        <w:t>IA is also signed up to support CSSPII from 201</w:t>
      </w:r>
      <w:r>
        <w:rPr>
          <w:color w:val="000000"/>
        </w:rPr>
        <w:t>9</w:t>
      </w:r>
      <w:r w:rsidRPr="00AE7E68">
        <w:rPr>
          <w:color w:val="000000"/>
        </w:rPr>
        <w:t>-2021.  CSSP support focusse</w:t>
      </w:r>
      <w:r>
        <w:rPr>
          <w:color w:val="000000"/>
        </w:rPr>
        <w:t>s</w:t>
      </w:r>
      <w:r w:rsidRPr="00AE7E68">
        <w:rPr>
          <w:color w:val="000000"/>
        </w:rPr>
        <w:t xml:space="preserve"> on building and maintaining civil society-Government partnerships and dialogue in a number of areas: challenges faced by civil society due to the Proclamation and its Directives; facilitating dialogue and discussion between civil society and the </w:t>
      </w:r>
      <w:proofErr w:type="spellStart"/>
      <w:r w:rsidRPr="00AE7E68">
        <w:rPr>
          <w:color w:val="000000"/>
        </w:rPr>
        <w:t>ChSA</w:t>
      </w:r>
      <w:proofErr w:type="spellEnd"/>
      <w:r w:rsidRPr="00AE7E68">
        <w:rPr>
          <w:color w:val="000000"/>
        </w:rPr>
        <w:t xml:space="preserve">; reaching out to other Govt Offices other than the </w:t>
      </w:r>
      <w:proofErr w:type="spellStart"/>
      <w:r w:rsidRPr="00AE7E68">
        <w:rPr>
          <w:color w:val="000000"/>
        </w:rPr>
        <w:t>ChSA</w:t>
      </w:r>
      <w:proofErr w:type="spellEnd"/>
      <w:r w:rsidRPr="00AE7E68">
        <w:rPr>
          <w:color w:val="000000"/>
        </w:rPr>
        <w:t xml:space="preserve"> to explore partnerships: with the Growth and Transformation Plan (GTP), National Planning Commission and MoFEC (to facilitate civil society input into GTP design and review), strengthening partnership with the Ministry of Federal and Pastoralist Affairs (to which the </w:t>
      </w:r>
      <w:proofErr w:type="spellStart"/>
      <w:r w:rsidRPr="00AE7E68">
        <w:rPr>
          <w:color w:val="000000"/>
        </w:rPr>
        <w:t>ChSA</w:t>
      </w:r>
      <w:proofErr w:type="spellEnd"/>
      <w:r w:rsidRPr="00AE7E68">
        <w:rPr>
          <w:color w:val="000000"/>
        </w:rPr>
        <w:t xml:space="preserve"> officially reports), and more recently with the Prime Minister’s Office and the Office of the Federal Attorney General to facilitate legislative reform of the Proclamation and to facilitate a dialogue platform with the PM.</w:t>
      </w:r>
    </w:p>
    <w:p w14:paraId="5DA2E9BE" w14:textId="77777777" w:rsidR="00BE2BA1" w:rsidRDefault="00BE2BA1" w:rsidP="00BE2BA1">
      <w:pPr>
        <w:jc w:val="both"/>
        <w:rPr>
          <w:color w:val="000000"/>
        </w:rPr>
      </w:pPr>
    </w:p>
    <w:p w14:paraId="4DEE0AD2" w14:textId="77777777" w:rsidR="00BE2BA1" w:rsidRDefault="00BE2BA1" w:rsidP="00BE2BA1">
      <w:pPr>
        <w:pStyle w:val="ListParagraph"/>
        <w:numPr>
          <w:ilvl w:val="0"/>
          <w:numId w:val="2"/>
        </w:numPr>
        <w:jc w:val="both"/>
        <w:rPr>
          <w:color w:val="000000"/>
          <w:u w:val="single"/>
        </w:rPr>
      </w:pPr>
      <w:r>
        <w:rPr>
          <w:color w:val="000000"/>
          <w:u w:val="single"/>
        </w:rPr>
        <w:t>Direct support to CSOs and programmes supporting CSOs undertake poverty reduction work, but also those working directly on the reform of the CSP</w:t>
      </w:r>
    </w:p>
    <w:p w14:paraId="4021EA3D" w14:textId="77777777" w:rsidR="00BE2BA1" w:rsidRDefault="00BE2BA1" w:rsidP="00BE2BA1">
      <w:pPr>
        <w:pStyle w:val="ListParagraph"/>
        <w:jc w:val="both"/>
        <w:rPr>
          <w:color w:val="000000"/>
        </w:rPr>
      </w:pPr>
    </w:p>
    <w:p w14:paraId="7023F8BB" w14:textId="77777777" w:rsidR="00BE2BA1" w:rsidRDefault="00BE2BA1" w:rsidP="00BE2BA1">
      <w:pPr>
        <w:pStyle w:val="ListParagraph"/>
        <w:numPr>
          <w:ilvl w:val="0"/>
          <w:numId w:val="3"/>
        </w:numPr>
        <w:jc w:val="both"/>
        <w:rPr>
          <w:color w:val="000000"/>
        </w:rPr>
      </w:pPr>
      <w:r>
        <w:rPr>
          <w:color w:val="000000"/>
        </w:rPr>
        <w:t xml:space="preserve">Providing financial and technical support to </w:t>
      </w:r>
      <w:r w:rsidR="00AE7E68">
        <w:rPr>
          <w:color w:val="000000"/>
        </w:rPr>
        <w:t>an</w:t>
      </w:r>
      <w:r>
        <w:rPr>
          <w:b/>
          <w:bCs/>
          <w:color w:val="000000"/>
        </w:rPr>
        <w:t> ‘Adaptation Facility-AF’</w:t>
      </w:r>
      <w:r>
        <w:rPr>
          <w:color w:val="000000"/>
        </w:rPr>
        <w:t xml:space="preserve"> (helping civil society to ‘adapt’ once the Proclamation was passed by Parliament). The AF was implemented from 2009-2012. Through the AF</w:t>
      </w:r>
      <w:r w:rsidR="00571561">
        <w:rPr>
          <w:color w:val="000000"/>
        </w:rPr>
        <w:t>,</w:t>
      </w:r>
      <w:r>
        <w:rPr>
          <w:color w:val="000000"/>
        </w:rPr>
        <w:t xml:space="preserve"> 99 CSOs received grants to improve organizational capacity, with 236 of their employees trained in strategic planning and resource mobilization.</w:t>
      </w:r>
    </w:p>
    <w:p w14:paraId="2F09FE38" w14:textId="77777777" w:rsidR="00BE2BA1" w:rsidRDefault="00BE2BA1" w:rsidP="00BE2BA1">
      <w:pPr>
        <w:pStyle w:val="ListParagraph"/>
        <w:numPr>
          <w:ilvl w:val="0"/>
          <w:numId w:val="3"/>
        </w:numPr>
        <w:jc w:val="both"/>
        <w:rPr>
          <w:color w:val="000000"/>
        </w:rPr>
      </w:pPr>
      <w:r>
        <w:rPr>
          <w:color w:val="000000"/>
        </w:rPr>
        <w:t>IA also support</w:t>
      </w:r>
      <w:r w:rsidR="00AE7E68">
        <w:rPr>
          <w:color w:val="000000"/>
        </w:rPr>
        <w:t>s</w:t>
      </w:r>
      <w:r>
        <w:rPr>
          <w:color w:val="000000"/>
        </w:rPr>
        <w:t xml:space="preserve"> the </w:t>
      </w:r>
      <w:r w:rsidR="00AE7E68">
        <w:rPr>
          <w:color w:val="000000"/>
        </w:rPr>
        <w:t xml:space="preserve">multi-donor </w:t>
      </w:r>
      <w:r>
        <w:rPr>
          <w:b/>
          <w:bCs/>
          <w:color w:val="000000"/>
        </w:rPr>
        <w:t>Ethiopia Social Accountability Programme</w:t>
      </w:r>
      <w:r>
        <w:rPr>
          <w:color w:val="000000"/>
        </w:rPr>
        <w:t xml:space="preserve"> </w:t>
      </w:r>
      <w:r w:rsidR="00AE7E68">
        <w:rPr>
          <w:color w:val="000000"/>
        </w:rPr>
        <w:t xml:space="preserve">(ESAP) </w:t>
      </w:r>
      <w:r>
        <w:rPr>
          <w:color w:val="000000"/>
        </w:rPr>
        <w:t xml:space="preserve">since 2007.  ESAP allows community members and local government work together to increase citizens’ participation, increase the quality and accountability around the provision of public services.  It is entirely facilitated by civil society organizations in 223 districts. ESAP also serves as a platform for dialogue with Government (MoFEC, M of Civil Service, </w:t>
      </w:r>
      <w:proofErr w:type="spellStart"/>
      <w:r>
        <w:rPr>
          <w:color w:val="000000"/>
        </w:rPr>
        <w:t>ChSA</w:t>
      </w:r>
      <w:proofErr w:type="spellEnd"/>
      <w:r>
        <w:rPr>
          <w:color w:val="000000"/>
        </w:rPr>
        <w:t>) on the role and contribution of civil society.</w:t>
      </w:r>
      <w:r>
        <w:t xml:space="preserve">  IA, along with the </w:t>
      </w:r>
      <w:r w:rsidR="00571561">
        <w:t>E</w:t>
      </w:r>
      <w:r>
        <w:t xml:space="preserve">U and UK, has been a firm advocate that CSOs delivering ESAP should reflect the variety of CSOs in Ethiopia and not just those determined under the CSP to be authorised to work on rights issue.  IA </w:t>
      </w:r>
      <w:r w:rsidR="00AE7E68">
        <w:t xml:space="preserve">with others donors </w:t>
      </w:r>
      <w:r>
        <w:t xml:space="preserve">led a proposal in mid-2018 to ensure that such space remained open in the ESAP III programme in 2019.  This succeeded in gaining agreement from the contributing donors and the Ministry of Finance and </w:t>
      </w:r>
      <w:r>
        <w:lastRenderedPageBreak/>
        <w:t>Economic Cooperation to retain the variety of CSOs present in the preceding phase and not agreeing to expansion into new areas if the continuation of a variety of CSOs was not agreed.  Practically, this was to buy time for the observed reform processes to run with the expectation that barriers to CSO engagement on ESAP issues would diminish over ESAP III’s first year.</w:t>
      </w:r>
    </w:p>
    <w:p w14:paraId="2D6A6D8E" w14:textId="77777777" w:rsidR="00BE2BA1" w:rsidRDefault="00BE2BA1" w:rsidP="00BE2BA1">
      <w:pPr>
        <w:pStyle w:val="ListParagraph"/>
        <w:numPr>
          <w:ilvl w:val="0"/>
          <w:numId w:val="3"/>
        </w:numPr>
        <w:jc w:val="both"/>
        <w:rPr>
          <w:b/>
          <w:bCs/>
          <w:color w:val="000000"/>
        </w:rPr>
      </w:pPr>
      <w:r>
        <w:rPr>
          <w:color w:val="000000"/>
        </w:rPr>
        <w:t xml:space="preserve">Providing financial and technical support to the </w:t>
      </w:r>
      <w:r>
        <w:rPr>
          <w:b/>
          <w:bCs/>
          <w:color w:val="000000"/>
        </w:rPr>
        <w:t xml:space="preserve">‘Tracking Trends in Ethiopian Civil Society-TECS’: TECS </w:t>
      </w:r>
      <w:r>
        <w:rPr>
          <w:color w:val="000000"/>
        </w:rPr>
        <w:t>tracked the impact and implications of the Proclamation and some of its Directives on the sector and on partnerships, supported research and policy briefs on developments in the civil society sector to inform dialogue on the operating environment; facilitated exposure visits with the Charities and Societies Agency to see the impact of civil society projects. TECS provided information and analysis for four years delivering research studies. Although attribution is difficult</w:t>
      </w:r>
      <w:r w:rsidR="00571561">
        <w:rPr>
          <w:color w:val="000000"/>
        </w:rPr>
        <w:t>,</w:t>
      </w:r>
      <w:r>
        <w:rPr>
          <w:color w:val="000000"/>
        </w:rPr>
        <w:t xml:space="preserve"> it is believed that TECS influenced amendments to the application of the 30-70 Directive. It also influenced the introduction of a cost-recovery Directive. TECS was supported from 2011-2014.</w:t>
      </w:r>
    </w:p>
    <w:p w14:paraId="66F9B7CD" w14:textId="77777777" w:rsidR="00BE2BA1" w:rsidRDefault="00BE2BA1" w:rsidP="00BE2BA1">
      <w:pPr>
        <w:jc w:val="both"/>
        <w:rPr>
          <w:b/>
          <w:bCs/>
          <w:color w:val="000000"/>
        </w:rPr>
      </w:pPr>
    </w:p>
    <w:p w14:paraId="150D1DCD" w14:textId="77777777" w:rsidR="00BE2BA1" w:rsidRPr="00AE7E68" w:rsidRDefault="00BE2BA1" w:rsidP="0097042E">
      <w:pPr>
        <w:pStyle w:val="ListParagraph"/>
        <w:numPr>
          <w:ilvl w:val="1"/>
          <w:numId w:val="4"/>
        </w:numPr>
        <w:jc w:val="both"/>
        <w:rPr>
          <w:color w:val="000000"/>
        </w:rPr>
      </w:pPr>
      <w:r w:rsidRPr="00AE7E68">
        <w:rPr>
          <w:color w:val="000000"/>
        </w:rPr>
        <w:t>Supporting the</w:t>
      </w:r>
      <w:r w:rsidRPr="00AE7E68">
        <w:rPr>
          <w:b/>
          <w:bCs/>
          <w:color w:val="000000"/>
        </w:rPr>
        <w:t xml:space="preserve"> Ethiopian Charities and Societies Forum/ECSF </w:t>
      </w:r>
      <w:r w:rsidRPr="00AE7E68">
        <w:rPr>
          <w:color w:val="000000"/>
        </w:rPr>
        <w:t>(through the CSSP initially for the period 2012-2016 and bilaterally from 2017 to date</w:t>
      </w:r>
      <w:r w:rsidR="00571561" w:rsidRPr="00AE7E68">
        <w:rPr>
          <w:color w:val="000000"/>
        </w:rPr>
        <w:t>)</w:t>
      </w:r>
      <w:r w:rsidRPr="00AE7E68">
        <w:rPr>
          <w:color w:val="000000"/>
        </w:rPr>
        <w:t xml:space="preserve">.  The ECSF </w:t>
      </w:r>
      <w:r w:rsidR="00AE7E68" w:rsidRPr="00AE7E68">
        <w:rPr>
          <w:color w:val="000000"/>
        </w:rPr>
        <w:t>secured</w:t>
      </w:r>
      <w:r w:rsidRPr="00AE7E68">
        <w:rPr>
          <w:color w:val="000000"/>
        </w:rPr>
        <w:t xml:space="preserve"> a special </w:t>
      </w:r>
      <w:r w:rsidR="00AE7E68" w:rsidRPr="00AE7E68">
        <w:rPr>
          <w:color w:val="000000"/>
        </w:rPr>
        <w:t xml:space="preserve">unusual </w:t>
      </w:r>
      <w:r w:rsidRPr="00AE7E68">
        <w:rPr>
          <w:color w:val="000000"/>
        </w:rPr>
        <w:t xml:space="preserve">mandate to represent CSOs and their networks to the </w:t>
      </w:r>
      <w:proofErr w:type="spellStart"/>
      <w:r w:rsidRPr="00AE7E68">
        <w:rPr>
          <w:color w:val="000000"/>
        </w:rPr>
        <w:t>ChSA</w:t>
      </w:r>
      <w:proofErr w:type="spellEnd"/>
      <w:r w:rsidRPr="00AE7E68">
        <w:rPr>
          <w:color w:val="000000"/>
        </w:rPr>
        <w:t xml:space="preserve"> and Government.  </w:t>
      </w:r>
      <w:r w:rsidRPr="00AE7E68">
        <w:t xml:space="preserve">ECSF were viewed with a degree </w:t>
      </w:r>
      <w:r w:rsidRPr="00AE7E68">
        <w:rPr>
          <w:color w:val="1F497D"/>
        </w:rPr>
        <w:t>of</w:t>
      </w:r>
      <w:r w:rsidR="00AE7E68" w:rsidRPr="00AE7E68">
        <w:t xml:space="preserve"> suspicion by some donors and CSOs alike </w:t>
      </w:r>
      <w:r w:rsidRPr="00AE7E68">
        <w:t xml:space="preserve">as they were seen to be a creation of the Charities and Society’s Agency itself and so a distraction or co-opted structure.  </w:t>
      </w:r>
      <w:r w:rsidR="00AE7E68" w:rsidRPr="00AE7E68">
        <w:t>T</w:t>
      </w:r>
      <w:r w:rsidRPr="00AE7E68">
        <w:t>he ECSF</w:t>
      </w:r>
      <w:r w:rsidR="00AE7E68" w:rsidRPr="00AE7E68">
        <w:t xml:space="preserve"> was criticized without being resourced</w:t>
      </w:r>
      <w:r w:rsidRPr="00AE7E68">
        <w:t>.</w:t>
      </w:r>
      <w:r>
        <w:t xml:space="preserve">  IA cautiously supported the ECSF </w:t>
      </w:r>
      <w:r w:rsidR="00AE7E68">
        <w:t>and continues to</w:t>
      </w:r>
      <w:r>
        <w:t xml:space="preserve"> engage the ECSF in strategic discussion on how they </w:t>
      </w:r>
      <w:r w:rsidR="00AE7E68">
        <w:t>can better</w:t>
      </w:r>
      <w:r>
        <w:t xml:space="preserve"> advanc</w:t>
      </w:r>
      <w:r w:rsidR="00AE7E68">
        <w:t>e</w:t>
      </w:r>
      <w:r>
        <w:t xml:space="preserve"> Civil Society’s issues, including advocacy on the CSP.  </w:t>
      </w:r>
      <w:r w:rsidR="00AE7E68">
        <w:t>T</w:t>
      </w:r>
      <w:r>
        <w:t>h</w:t>
      </w:r>
      <w:r w:rsidR="00AE7E68">
        <w:t>is</w:t>
      </w:r>
      <w:r>
        <w:t xml:space="preserve"> approach helped through allowing IA to better understand the pressures the ECSF itself faced from both its CS constituents and Government.  They took on some and rejected other approaches recommended by IA.  This approach, we believe, helped the ECSF improve its representativeness and sharpen its advocacy points</w:t>
      </w:r>
      <w:r w:rsidR="00AE7E68">
        <w:t>-and, lately, also helped it secure funding or commitments from other donors</w:t>
      </w:r>
      <w:r>
        <w:t xml:space="preserve">.  As political reform agendas began widening in 2017, ECSF were then better positioned to advance CSP advocacy points. </w:t>
      </w:r>
      <w:r w:rsidR="00AE7E68">
        <w:t>It facilitated country-wide consultations with over 2000 CSOs on the new CSO law drafts.</w:t>
      </w:r>
    </w:p>
    <w:p w14:paraId="333CEB49" w14:textId="77777777" w:rsidR="00BE2BA1" w:rsidRDefault="00BE2BA1" w:rsidP="00BE2BA1">
      <w:pPr>
        <w:pStyle w:val="ListParagraph"/>
        <w:numPr>
          <w:ilvl w:val="1"/>
          <w:numId w:val="4"/>
        </w:numPr>
        <w:jc w:val="both"/>
        <w:rPr>
          <w:color w:val="000000"/>
        </w:rPr>
      </w:pPr>
      <w:r>
        <w:rPr>
          <w:color w:val="000000"/>
        </w:rPr>
        <w:t xml:space="preserve">Under the initial reforms initiated by PM Hailemariam in 2017, the ECSF were requested to serve as a conduit of CS observations on the Charities and Societies Proclamation.  Irish Aid supported the ECSF financially and technically in their work to consult and convey CSO priorities for reform of the CSP to a PM appointed Council.  </w:t>
      </w:r>
    </w:p>
    <w:p w14:paraId="431B10A2" w14:textId="77777777" w:rsidR="00BE2BA1" w:rsidRDefault="00BE2BA1" w:rsidP="00BE2BA1">
      <w:pPr>
        <w:pStyle w:val="ListParagraph"/>
        <w:numPr>
          <w:ilvl w:val="1"/>
          <w:numId w:val="4"/>
        </w:numPr>
        <w:jc w:val="both"/>
        <w:rPr>
          <w:color w:val="000000"/>
        </w:rPr>
      </w:pPr>
      <w:r w:rsidRPr="00AE7E68">
        <w:rPr>
          <w:i/>
          <w:color w:val="000000"/>
        </w:rPr>
        <w:t>Following the change of PMs in April 2018 the process was stepped up.  The Auditor General’s office was instructed to review the CSP, Anti-Terrorist Proclamation and Media Laws and Statutory BAR</w:t>
      </w:r>
      <w:r>
        <w:rPr>
          <w:color w:val="000000"/>
        </w:rPr>
        <w:t xml:space="preserve">. Other additional themes are </w:t>
      </w:r>
      <w:r w:rsidR="00AE7E68">
        <w:rPr>
          <w:color w:val="000000"/>
        </w:rPr>
        <w:t xml:space="preserve">also </w:t>
      </w:r>
      <w:r>
        <w:rPr>
          <w:color w:val="000000"/>
        </w:rPr>
        <w:t>being introduced</w:t>
      </w:r>
      <w:r w:rsidR="00AE7E68">
        <w:rPr>
          <w:color w:val="000000"/>
        </w:rPr>
        <w:t xml:space="preserve"> for review</w:t>
      </w:r>
      <w:r>
        <w:rPr>
          <w:color w:val="000000"/>
        </w:rPr>
        <w:t xml:space="preserve">: status of Democratic Institutions and review of the Judiciary.  Irish Aid remains the main bi-lateral support the ECSF had in their ongoing work of both channelling CSO input to the CSP review team as well as facilitate public and CSO consultations in the review process. Until CSSP2 is able to fully fund the ECSF, IA plans to continue this support. </w:t>
      </w:r>
    </w:p>
    <w:p w14:paraId="0059EAC7" w14:textId="77777777" w:rsidR="00BE2BA1" w:rsidRDefault="00BE2BA1" w:rsidP="00BE2BA1">
      <w:pPr>
        <w:jc w:val="both"/>
        <w:rPr>
          <w:color w:val="000000"/>
        </w:rPr>
      </w:pPr>
    </w:p>
    <w:p w14:paraId="14907231" w14:textId="77777777" w:rsidR="00BE2BA1" w:rsidRDefault="00BE2BA1" w:rsidP="00BE2BA1">
      <w:pPr>
        <w:jc w:val="both"/>
        <w:rPr>
          <w:b/>
          <w:bCs/>
          <w:color w:val="000000"/>
        </w:rPr>
      </w:pPr>
      <w:r>
        <w:rPr>
          <w:b/>
          <w:bCs/>
          <w:color w:val="000000"/>
        </w:rPr>
        <w:t>Detailed summary of Irish Aid partners’ contributions to the progress in reviewing Civil Society’s Legal Environment in Ethiopia 2011-2018</w:t>
      </w:r>
    </w:p>
    <w:p w14:paraId="0479877D" w14:textId="77777777" w:rsidR="00BE2BA1" w:rsidRDefault="00BE2BA1" w:rsidP="00BE2BA1">
      <w:pPr>
        <w:jc w:val="both"/>
        <w:rPr>
          <w:b/>
          <w:bCs/>
          <w:color w:val="000000"/>
        </w:rPr>
      </w:pPr>
    </w:p>
    <w:p w14:paraId="454F8568" w14:textId="77777777" w:rsidR="00BE2BA1" w:rsidRDefault="00BE2BA1" w:rsidP="00BE2BA1">
      <w:pPr>
        <w:pStyle w:val="ListParagraph"/>
        <w:numPr>
          <w:ilvl w:val="0"/>
          <w:numId w:val="4"/>
        </w:numPr>
        <w:jc w:val="both"/>
        <w:rPr>
          <w:color w:val="000000"/>
        </w:rPr>
      </w:pPr>
      <w:r>
        <w:rPr>
          <w:color w:val="000000"/>
        </w:rPr>
        <w:t>There has been some success in arguing for modifications to the Directives of the Proclamation, particularly the 30% admin-70% goods and services Directive. Nine</w:t>
      </w:r>
      <w:r>
        <w:rPr>
          <w:color w:val="000000"/>
          <w:sz w:val="14"/>
          <w:szCs w:val="14"/>
        </w:rPr>
        <w:t xml:space="preserve"> </w:t>
      </w:r>
      <w:r>
        <w:rPr>
          <w:color w:val="000000"/>
        </w:rPr>
        <w:t xml:space="preserve">areas in this Directive have been amended by the Charities and Societies Agency. This was made possible by IA and others supporting evidence based research and through low-key diplomacy. These </w:t>
      </w:r>
      <w:r>
        <w:rPr>
          <w:color w:val="000000"/>
        </w:rPr>
        <w:lastRenderedPageBreak/>
        <w:t>revisions were possible due to consultations and evidence organized by TECS and the ECSF over the period 2012-2016. The very first activity of the ECSF (through the CSSP I) was to communicate the details and implications of the CSP in order to raise awareness as to how CSOs could be compliant and so avoid penalisation, but also to empower civil society groups to conduct effective advocacy for reform.</w:t>
      </w:r>
    </w:p>
    <w:p w14:paraId="16BDBF41" w14:textId="77777777" w:rsidR="00BE2BA1" w:rsidRDefault="00BE2BA1" w:rsidP="00BE2BA1">
      <w:pPr>
        <w:pStyle w:val="ListParagraph"/>
        <w:numPr>
          <w:ilvl w:val="0"/>
          <w:numId w:val="4"/>
        </w:numPr>
        <w:jc w:val="both"/>
        <w:rPr>
          <w:i/>
          <w:iCs/>
          <w:color w:val="000000"/>
        </w:rPr>
      </w:pPr>
      <w:r>
        <w:rPr>
          <w:color w:val="000000"/>
        </w:rPr>
        <w:t xml:space="preserve">A list of revisions to 40 articles in the Proclamation and Directives were compiled and submitted to Government in 2017 by the ECSF under IA support. </w:t>
      </w:r>
      <w:r>
        <w:rPr>
          <w:i/>
          <w:iCs/>
          <w:color w:val="000000"/>
        </w:rPr>
        <w:t xml:space="preserve">This work has advanced now and is serving as an input into the work of a National </w:t>
      </w:r>
      <w:r w:rsidR="00AE7E68">
        <w:rPr>
          <w:i/>
          <w:iCs/>
          <w:color w:val="000000"/>
        </w:rPr>
        <w:t xml:space="preserve">Law and </w:t>
      </w:r>
      <w:r>
        <w:rPr>
          <w:i/>
          <w:iCs/>
          <w:color w:val="000000"/>
        </w:rPr>
        <w:t xml:space="preserve">Justice Advisory Council </w:t>
      </w:r>
      <w:r w:rsidR="00AE7E68">
        <w:rPr>
          <w:i/>
          <w:iCs/>
          <w:color w:val="000000"/>
        </w:rPr>
        <w:t xml:space="preserve">(LJAAC) </w:t>
      </w:r>
      <w:r>
        <w:rPr>
          <w:i/>
          <w:iCs/>
          <w:color w:val="000000"/>
        </w:rPr>
        <w:t xml:space="preserve">under the Office of the Federal Auditors General mentioned above. </w:t>
      </w:r>
    </w:p>
    <w:p w14:paraId="085EEFD1" w14:textId="77777777" w:rsidR="00BE2BA1" w:rsidRDefault="00BE2BA1" w:rsidP="00BE2BA1">
      <w:pPr>
        <w:pStyle w:val="ListParagraph"/>
        <w:numPr>
          <w:ilvl w:val="0"/>
          <w:numId w:val="4"/>
        </w:numPr>
        <w:jc w:val="both"/>
        <w:rPr>
          <w:color w:val="000000"/>
        </w:rPr>
      </w:pPr>
      <w:r>
        <w:rPr>
          <w:color w:val="000000"/>
        </w:rPr>
        <w:t>The National Justice and Legal Advisory Council with its 13 members was set up in late June, early July 2018 and has several ‘reform working groups’, one of which focusses on the Charities and Societies Proclamation.</w:t>
      </w:r>
      <w:r w:rsidR="00AE7E68">
        <w:rPr>
          <w:color w:val="000000"/>
        </w:rPr>
        <w:t xml:space="preserve"> CSSP2 has also provided financial support to the Forum.</w:t>
      </w:r>
    </w:p>
    <w:p w14:paraId="3D22D82D" w14:textId="77777777" w:rsidR="00BE2BA1" w:rsidRDefault="00BE2BA1" w:rsidP="00BE2BA1">
      <w:pPr>
        <w:pStyle w:val="ListParagraph"/>
        <w:numPr>
          <w:ilvl w:val="0"/>
          <w:numId w:val="4"/>
        </w:numPr>
        <w:jc w:val="both"/>
        <w:rPr>
          <w:color w:val="000000"/>
        </w:rPr>
      </w:pPr>
      <w:r>
        <w:rPr>
          <w:color w:val="000000"/>
        </w:rPr>
        <w:t xml:space="preserve">The role of the Council is to identify challenges of democratic institutions, support ongoing reform and make recommendations to the Office of the Attorney General and to Government in general on law and justice reforms. </w:t>
      </w:r>
    </w:p>
    <w:p w14:paraId="7CCC1979" w14:textId="77777777" w:rsidR="00BE2BA1" w:rsidRDefault="00BE2BA1" w:rsidP="00BE2BA1">
      <w:pPr>
        <w:pStyle w:val="ListParagraph"/>
        <w:numPr>
          <w:ilvl w:val="0"/>
          <w:numId w:val="4"/>
        </w:numPr>
        <w:jc w:val="both"/>
        <w:rPr>
          <w:color w:val="000000"/>
        </w:rPr>
      </w:pPr>
      <w:r>
        <w:rPr>
          <w:i/>
          <w:iCs/>
          <w:color w:val="000000"/>
        </w:rPr>
        <w:t>The support IA provides through the ECSF help</w:t>
      </w:r>
      <w:r w:rsidR="00AE7E68">
        <w:rPr>
          <w:i/>
          <w:iCs/>
          <w:color w:val="000000"/>
        </w:rPr>
        <w:t>ed</w:t>
      </w:r>
      <w:r>
        <w:rPr>
          <w:i/>
          <w:iCs/>
          <w:color w:val="000000"/>
        </w:rPr>
        <w:t xml:space="preserve"> the CSO reform working group: conduct public consultations with civil society and  other stakeholders (</w:t>
      </w:r>
      <w:r w:rsidR="00AE7E68">
        <w:rPr>
          <w:i/>
          <w:iCs/>
          <w:color w:val="000000"/>
        </w:rPr>
        <w:t xml:space="preserve">CSOs, </w:t>
      </w:r>
      <w:r>
        <w:rPr>
          <w:i/>
          <w:iCs/>
          <w:color w:val="000000"/>
        </w:rPr>
        <w:t>sector Ministries and bureaus, international development partners) and to seek inputs for the review, develop a code of conduct for the working group itself, support synthesis of research and analysis done so far on the Proclamation (i.e. AF, TECS and others), review the Proclamation against the Constitution, regional and international laws and principles and, once the review is completed and the Proclamation is re-drafted, support dialogue with the Centre for Democracy, Civil Society and Political parties under the Prime Minister’s Office</w:t>
      </w:r>
      <w:r>
        <w:rPr>
          <w:color w:val="000000"/>
        </w:rPr>
        <w:t xml:space="preserve">. </w:t>
      </w:r>
    </w:p>
    <w:p w14:paraId="3CFA4313" w14:textId="77777777" w:rsidR="00BE2BA1" w:rsidRPr="00AE7E68" w:rsidRDefault="00BE2BA1" w:rsidP="00BE2BA1">
      <w:pPr>
        <w:pStyle w:val="ListParagraph"/>
        <w:numPr>
          <w:ilvl w:val="0"/>
          <w:numId w:val="4"/>
        </w:numPr>
        <w:jc w:val="both"/>
        <w:rPr>
          <w:b/>
          <w:color w:val="000000"/>
        </w:rPr>
      </w:pPr>
      <w:r w:rsidRPr="00AE7E68">
        <w:rPr>
          <w:b/>
          <w:color w:val="000000"/>
        </w:rPr>
        <w:t xml:space="preserve">The revisions and proposals are expected to be tabled to </w:t>
      </w:r>
      <w:r w:rsidR="00AE7E68" w:rsidRPr="00AE7E68">
        <w:rPr>
          <w:b/>
          <w:color w:val="000000"/>
        </w:rPr>
        <w:t xml:space="preserve">the Council of Ministers, PM’s Office and then to </w:t>
      </w:r>
      <w:r w:rsidRPr="00AE7E68">
        <w:rPr>
          <w:b/>
          <w:color w:val="000000"/>
        </w:rPr>
        <w:t xml:space="preserve">Parliament in </w:t>
      </w:r>
      <w:r w:rsidR="00AE7E68" w:rsidRPr="00AE7E68">
        <w:rPr>
          <w:b/>
          <w:color w:val="000000"/>
        </w:rPr>
        <w:t>November/December</w:t>
      </w:r>
      <w:r w:rsidRPr="00AE7E68">
        <w:rPr>
          <w:b/>
          <w:color w:val="000000"/>
        </w:rPr>
        <w:t xml:space="preserve"> 2018. </w:t>
      </w:r>
    </w:p>
    <w:p w14:paraId="67EBFD27" w14:textId="77777777" w:rsidR="00BE2BA1" w:rsidRDefault="00BE2BA1" w:rsidP="00BE2BA1">
      <w:pPr>
        <w:pStyle w:val="ListParagraph"/>
        <w:numPr>
          <w:ilvl w:val="0"/>
          <w:numId w:val="4"/>
        </w:numPr>
        <w:jc w:val="both"/>
        <w:rPr>
          <w:color w:val="000000"/>
        </w:rPr>
      </w:pPr>
      <w:r>
        <w:rPr>
          <w:color w:val="000000"/>
        </w:rPr>
        <w:t xml:space="preserve">The ECSF was supported by IA to organize consultations supporting the work of the CSO reform working group. </w:t>
      </w:r>
      <w:r>
        <w:rPr>
          <w:i/>
          <w:iCs/>
          <w:color w:val="000000"/>
        </w:rPr>
        <w:t xml:space="preserve">The plan is to continue facilitating consultations with CSOs during August and September. </w:t>
      </w:r>
      <w:r w:rsidR="00AE7E68">
        <w:rPr>
          <w:color w:val="000000"/>
        </w:rPr>
        <w:t>T</w:t>
      </w:r>
      <w:r>
        <w:rPr>
          <w:color w:val="000000"/>
        </w:rPr>
        <w:t>he working group has held three consultations on the development of new Civil Society legislation which have received extensive media coverage.</w:t>
      </w:r>
    </w:p>
    <w:p w14:paraId="635BA56C" w14:textId="77777777" w:rsidR="00BE2BA1" w:rsidRDefault="00BE2BA1" w:rsidP="00BE2BA1">
      <w:pPr>
        <w:pStyle w:val="ListParagraph"/>
        <w:numPr>
          <w:ilvl w:val="0"/>
          <w:numId w:val="4"/>
        </w:numPr>
        <w:jc w:val="both"/>
        <w:rPr>
          <w:color w:val="000000"/>
        </w:rPr>
      </w:pPr>
      <w:r>
        <w:rPr>
          <w:color w:val="000000"/>
        </w:rPr>
        <w:t>The ECSF also facilitated the attendance to an inaugural reception with the PM after he was appointed. The ECSF was responsible for coordinating CSO invitees.  IA believes this was only possible as IA was the sole donor maintaining the ECSF in action throughout late 2017 into 2018 to engage with the former PM’s CSP review group, allowing the ECSF to retain profile and its members and placing them in a position where the incoming PM in April was able to see a significant and valid CS process to improve the sector’s performance and function.</w:t>
      </w:r>
    </w:p>
    <w:p w14:paraId="4DE5FB6C" w14:textId="77777777" w:rsidR="00BE2BA1" w:rsidRDefault="00BE2BA1" w:rsidP="00BE2BA1">
      <w:pPr>
        <w:pStyle w:val="ListParagraph"/>
        <w:numPr>
          <w:ilvl w:val="0"/>
          <w:numId w:val="4"/>
        </w:numPr>
        <w:jc w:val="both"/>
        <w:rPr>
          <w:color w:val="000000"/>
        </w:rPr>
      </w:pPr>
      <w:r>
        <w:rPr>
          <w:color w:val="000000"/>
        </w:rPr>
        <w:t>Prior to the recent formal review of the Proclamation under the Council, the ECSF had also facilitated meetings with the former PM and with the FDRE President to discuss the Proclamation and its challenges. An analysis of 40 provisions in the Proclamation was conducted with ensuing recommendations submitted to the former PM in Oct/Nov 2017. The document is also robustly informing the work of the Council.  Members of the Council’s sub-groups include prominent individuals who are/were current CSO partners of IA</w:t>
      </w:r>
      <w:r w:rsidR="00AE7E68">
        <w:rPr>
          <w:color w:val="000000"/>
        </w:rPr>
        <w:t xml:space="preserve"> and other donors</w:t>
      </w:r>
      <w:r>
        <w:rPr>
          <w:color w:val="000000"/>
        </w:rPr>
        <w:t>: the Human Rights Council, Ethiopian Lawyers’ Association, Ethiopian Women Lawyers’ Association, members of the ECSF etc.</w:t>
      </w:r>
    </w:p>
    <w:p w14:paraId="0AEB3A40" w14:textId="77777777" w:rsidR="00BE2BA1" w:rsidRDefault="00BE2BA1" w:rsidP="00BE2BA1">
      <w:pPr>
        <w:pStyle w:val="ListParagraph"/>
        <w:numPr>
          <w:ilvl w:val="0"/>
          <w:numId w:val="4"/>
        </w:numPr>
        <w:jc w:val="both"/>
        <w:rPr>
          <w:color w:val="000000"/>
        </w:rPr>
      </w:pPr>
      <w:r>
        <w:rPr>
          <w:color w:val="000000"/>
        </w:rPr>
        <w:t xml:space="preserve">The lawyers, including prominent Human Rights lawyers, writing the new legislation briefed Donor Partners </w:t>
      </w:r>
      <w:r w:rsidR="001B6AEE">
        <w:rPr>
          <w:color w:val="000000"/>
        </w:rPr>
        <w:t xml:space="preserve">(the DAG Governance Technical Working Group) </w:t>
      </w:r>
      <w:r>
        <w:rPr>
          <w:color w:val="000000"/>
        </w:rPr>
        <w:t>on their progress at the Irish Embassy on August 23</w:t>
      </w:r>
      <w:r>
        <w:rPr>
          <w:color w:val="000000"/>
          <w:vertAlign w:val="superscript"/>
        </w:rPr>
        <w:t>rd</w:t>
      </w:r>
      <w:r>
        <w:rPr>
          <w:color w:val="000000"/>
        </w:rPr>
        <w:t xml:space="preserve"> and referred to the ECSF consolidated recommendations on the CSP as a key input informing the new draft.</w:t>
      </w:r>
    </w:p>
    <w:p w14:paraId="7D265ED2" w14:textId="77777777" w:rsidR="00BE2BA1" w:rsidRDefault="001B6AEE" w:rsidP="00BE2BA1">
      <w:pPr>
        <w:jc w:val="both"/>
        <w:rPr>
          <w:color w:val="000000"/>
        </w:rPr>
      </w:pPr>
      <w:r>
        <w:rPr>
          <w:color w:val="000000"/>
        </w:rPr>
        <w:t>End.</w:t>
      </w:r>
    </w:p>
    <w:sectPr w:rsidR="00BE2B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C56FD" w14:textId="77777777" w:rsidR="00BE2BA1" w:rsidRDefault="00BE2BA1" w:rsidP="00BE2BA1">
      <w:r>
        <w:separator/>
      </w:r>
    </w:p>
  </w:endnote>
  <w:endnote w:type="continuationSeparator" w:id="0">
    <w:p w14:paraId="62369E52" w14:textId="77777777" w:rsidR="00BE2BA1" w:rsidRDefault="00BE2BA1" w:rsidP="00BE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0999F" w14:textId="77777777" w:rsidR="00BE2BA1" w:rsidRDefault="00BE2BA1" w:rsidP="00BE2BA1">
      <w:r>
        <w:separator/>
      </w:r>
    </w:p>
  </w:footnote>
  <w:footnote w:type="continuationSeparator" w:id="0">
    <w:p w14:paraId="420AE0A7" w14:textId="77777777" w:rsidR="00BE2BA1" w:rsidRDefault="00BE2BA1" w:rsidP="00BE2BA1">
      <w:r>
        <w:continuationSeparator/>
      </w:r>
    </w:p>
  </w:footnote>
  <w:footnote w:id="1">
    <w:p w14:paraId="76B83CAC" w14:textId="77777777" w:rsidR="00BE2BA1" w:rsidRDefault="00BE2BA1" w:rsidP="00BE2BA1">
      <w:pPr>
        <w:pStyle w:val="FootnoteText"/>
        <w:jc w:val="both"/>
      </w:pPr>
      <w:r>
        <w:rPr>
          <w:rStyle w:val="FootnoteReference"/>
        </w:rPr>
        <w:footnoteRef/>
      </w:r>
      <w:r>
        <w:t xml:space="preserve"> CSSP: while IA was the Lead Donor, this was a multi-donor programme which included Sweden, The Netherlands, </w:t>
      </w:r>
      <w:proofErr w:type="spellStart"/>
      <w:r>
        <w:t>DfID</w:t>
      </w:r>
      <w:proofErr w:type="spellEnd"/>
      <w:r>
        <w:t xml:space="preserve">, Canada and Norway (Canada and Netherlands are no longer in CSSP 2. Denmark exited the programme in 2013); ESAP is also a multi-donor programme including the EU, </w:t>
      </w:r>
      <w:proofErr w:type="spellStart"/>
      <w:r>
        <w:t>DfiD</w:t>
      </w:r>
      <w:proofErr w:type="spellEnd"/>
      <w:r>
        <w:t xml:space="preserve">, Sweden, Austria and the WB. CSSG was co-chaired with </w:t>
      </w:r>
      <w:proofErr w:type="spellStart"/>
      <w:r>
        <w:t>DfId</w:t>
      </w:r>
      <w:proofErr w:type="spellEnd"/>
      <w:r>
        <w:t xml:space="preserve">. The CSSWG included the EU and USAID. </w:t>
      </w:r>
      <w:r w:rsidRPr="004A2038">
        <w:t xml:space="preserve">The AF </w:t>
      </w:r>
      <w:r w:rsidR="004A2038" w:rsidRPr="004A2038">
        <w:t>and TECS were managed as DAG CSSG initiatives although not funded by all donors</w:t>
      </w:r>
      <w:r w:rsidRPr="004A2038">
        <w:t>.</w:t>
      </w:r>
      <w:r>
        <w:t xml:space="preserve"> The Charities and Societies Forum was largely funded by IA from 2017 until currently (until CSSP2 is fully up and running). Except for the AF and the work of the Forum (which was managed by CSOs themselves), all of these programmes were managed by externally recruited international Management Agents.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92638"/>
    <w:multiLevelType w:val="hybridMultilevel"/>
    <w:tmpl w:val="3FBA3500"/>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 w15:restartNumberingAfterBreak="0">
    <w:nsid w:val="3DF404CE"/>
    <w:multiLevelType w:val="hybridMultilevel"/>
    <w:tmpl w:val="38B28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6430550B"/>
    <w:multiLevelType w:val="hybridMultilevel"/>
    <w:tmpl w:val="3EB409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79102473"/>
    <w:multiLevelType w:val="hybridMultilevel"/>
    <w:tmpl w:val="D99A87C4"/>
    <w:lvl w:ilvl="0" w:tplc="1809000F">
      <w:start w:val="1"/>
      <w:numFmt w:val="decimal"/>
      <w:lvlText w:val="%1."/>
      <w:lvlJc w:val="left"/>
      <w:pPr>
        <w:ind w:left="720" w:hanging="360"/>
      </w:pPr>
      <w:rPr>
        <w:rFonts w:cs="Times New Roman"/>
        <w:color w:val="auto"/>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7F4A7DFC"/>
    <w:multiLevelType w:val="hybridMultilevel"/>
    <w:tmpl w:val="A360232E"/>
    <w:lvl w:ilvl="0" w:tplc="970C1486">
      <w:start w:val="1"/>
      <w:numFmt w:val="lowerRoman"/>
      <w:lvlText w:val="(%1)"/>
      <w:lvlJc w:val="left"/>
      <w:pPr>
        <w:ind w:left="765" w:hanging="72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A1"/>
    <w:rsid w:val="0000445A"/>
    <w:rsid w:val="000077EF"/>
    <w:rsid w:val="0001022F"/>
    <w:rsid w:val="00016E21"/>
    <w:rsid w:val="000240E8"/>
    <w:rsid w:val="000244B5"/>
    <w:rsid w:val="00025AD6"/>
    <w:rsid w:val="0002654B"/>
    <w:rsid w:val="00053CBB"/>
    <w:rsid w:val="000557EA"/>
    <w:rsid w:val="00065112"/>
    <w:rsid w:val="0007651A"/>
    <w:rsid w:val="00080AFD"/>
    <w:rsid w:val="000861CD"/>
    <w:rsid w:val="000A4BFA"/>
    <w:rsid w:val="000B276F"/>
    <w:rsid w:val="000B3E1E"/>
    <w:rsid w:val="000C057F"/>
    <w:rsid w:val="000C4841"/>
    <w:rsid w:val="000C79BB"/>
    <w:rsid w:val="000D7747"/>
    <w:rsid w:val="000E0010"/>
    <w:rsid w:val="00113E18"/>
    <w:rsid w:val="00156A9B"/>
    <w:rsid w:val="001662ED"/>
    <w:rsid w:val="001672AD"/>
    <w:rsid w:val="00170E38"/>
    <w:rsid w:val="001714F5"/>
    <w:rsid w:val="0017154A"/>
    <w:rsid w:val="00171BDC"/>
    <w:rsid w:val="001872A9"/>
    <w:rsid w:val="00193EF4"/>
    <w:rsid w:val="001A167E"/>
    <w:rsid w:val="001A5881"/>
    <w:rsid w:val="001B23DA"/>
    <w:rsid w:val="001B32E6"/>
    <w:rsid w:val="001B3F7C"/>
    <w:rsid w:val="001B6AEE"/>
    <w:rsid w:val="001C1527"/>
    <w:rsid w:val="001C1F92"/>
    <w:rsid w:val="001E5375"/>
    <w:rsid w:val="00213A5A"/>
    <w:rsid w:val="002142C4"/>
    <w:rsid w:val="00227720"/>
    <w:rsid w:val="0023061A"/>
    <w:rsid w:val="00233ADA"/>
    <w:rsid w:val="00236CD2"/>
    <w:rsid w:val="002437AA"/>
    <w:rsid w:val="00250A96"/>
    <w:rsid w:val="00255C74"/>
    <w:rsid w:val="00264CB0"/>
    <w:rsid w:val="00271360"/>
    <w:rsid w:val="00274833"/>
    <w:rsid w:val="00275DB3"/>
    <w:rsid w:val="00280D9F"/>
    <w:rsid w:val="00294FEC"/>
    <w:rsid w:val="002B41E7"/>
    <w:rsid w:val="002C3827"/>
    <w:rsid w:val="002C6544"/>
    <w:rsid w:val="002E7FAE"/>
    <w:rsid w:val="002F098D"/>
    <w:rsid w:val="003035F0"/>
    <w:rsid w:val="00307733"/>
    <w:rsid w:val="00310ECA"/>
    <w:rsid w:val="0031473B"/>
    <w:rsid w:val="00317D9C"/>
    <w:rsid w:val="00317E08"/>
    <w:rsid w:val="00321E39"/>
    <w:rsid w:val="00325311"/>
    <w:rsid w:val="00333CBA"/>
    <w:rsid w:val="00336B3D"/>
    <w:rsid w:val="00346A29"/>
    <w:rsid w:val="00353C4C"/>
    <w:rsid w:val="00384BFA"/>
    <w:rsid w:val="003859EA"/>
    <w:rsid w:val="00385B4E"/>
    <w:rsid w:val="003945B4"/>
    <w:rsid w:val="003A5054"/>
    <w:rsid w:val="003B2177"/>
    <w:rsid w:val="003B5A00"/>
    <w:rsid w:val="003D194B"/>
    <w:rsid w:val="003E25BC"/>
    <w:rsid w:val="003F3BEA"/>
    <w:rsid w:val="003F69C6"/>
    <w:rsid w:val="003F7B0C"/>
    <w:rsid w:val="004022B8"/>
    <w:rsid w:val="0040379A"/>
    <w:rsid w:val="004041F6"/>
    <w:rsid w:val="004057CD"/>
    <w:rsid w:val="00412D5F"/>
    <w:rsid w:val="00431F19"/>
    <w:rsid w:val="00433BCC"/>
    <w:rsid w:val="00437E7F"/>
    <w:rsid w:val="00450F2A"/>
    <w:rsid w:val="004529C1"/>
    <w:rsid w:val="00475A1C"/>
    <w:rsid w:val="00482BFD"/>
    <w:rsid w:val="00482EF3"/>
    <w:rsid w:val="004A0F01"/>
    <w:rsid w:val="004A2038"/>
    <w:rsid w:val="004A550B"/>
    <w:rsid w:val="004A7328"/>
    <w:rsid w:val="004C2BC6"/>
    <w:rsid w:val="004C7836"/>
    <w:rsid w:val="00500137"/>
    <w:rsid w:val="00500766"/>
    <w:rsid w:val="00503BC1"/>
    <w:rsid w:val="005040DC"/>
    <w:rsid w:val="00507476"/>
    <w:rsid w:val="00511394"/>
    <w:rsid w:val="0051263C"/>
    <w:rsid w:val="005126EF"/>
    <w:rsid w:val="00523D8D"/>
    <w:rsid w:val="00530F7D"/>
    <w:rsid w:val="00531320"/>
    <w:rsid w:val="0053284D"/>
    <w:rsid w:val="00533FF6"/>
    <w:rsid w:val="00536B6F"/>
    <w:rsid w:val="00550C45"/>
    <w:rsid w:val="00552A26"/>
    <w:rsid w:val="00564780"/>
    <w:rsid w:val="00565D84"/>
    <w:rsid w:val="00567A80"/>
    <w:rsid w:val="00571561"/>
    <w:rsid w:val="00572E6D"/>
    <w:rsid w:val="0058000A"/>
    <w:rsid w:val="005815C8"/>
    <w:rsid w:val="00590EA7"/>
    <w:rsid w:val="00592506"/>
    <w:rsid w:val="0059404C"/>
    <w:rsid w:val="005A7E40"/>
    <w:rsid w:val="005B0727"/>
    <w:rsid w:val="005D6682"/>
    <w:rsid w:val="005E6A19"/>
    <w:rsid w:val="005F3681"/>
    <w:rsid w:val="0061191F"/>
    <w:rsid w:val="00620984"/>
    <w:rsid w:val="006238D0"/>
    <w:rsid w:val="0063112B"/>
    <w:rsid w:val="00634A63"/>
    <w:rsid w:val="00650473"/>
    <w:rsid w:val="00657E9C"/>
    <w:rsid w:val="00672AB4"/>
    <w:rsid w:val="00690507"/>
    <w:rsid w:val="00692970"/>
    <w:rsid w:val="00692CE1"/>
    <w:rsid w:val="00692F9C"/>
    <w:rsid w:val="00696551"/>
    <w:rsid w:val="006B30D5"/>
    <w:rsid w:val="006C0A14"/>
    <w:rsid w:val="006C44B0"/>
    <w:rsid w:val="006D32C2"/>
    <w:rsid w:val="006D5A25"/>
    <w:rsid w:val="006E24D5"/>
    <w:rsid w:val="006E2F5C"/>
    <w:rsid w:val="006F07E9"/>
    <w:rsid w:val="00700F08"/>
    <w:rsid w:val="007061B0"/>
    <w:rsid w:val="00711AE3"/>
    <w:rsid w:val="00721736"/>
    <w:rsid w:val="00722438"/>
    <w:rsid w:val="00725372"/>
    <w:rsid w:val="00725CBF"/>
    <w:rsid w:val="00727E96"/>
    <w:rsid w:val="00734453"/>
    <w:rsid w:val="0074118D"/>
    <w:rsid w:val="00756741"/>
    <w:rsid w:val="0076145E"/>
    <w:rsid w:val="00770646"/>
    <w:rsid w:val="00770C72"/>
    <w:rsid w:val="00781F76"/>
    <w:rsid w:val="00791321"/>
    <w:rsid w:val="007D7622"/>
    <w:rsid w:val="007E2B05"/>
    <w:rsid w:val="007F43BF"/>
    <w:rsid w:val="007F7F87"/>
    <w:rsid w:val="00804ED0"/>
    <w:rsid w:val="008052D1"/>
    <w:rsid w:val="008224AB"/>
    <w:rsid w:val="00833E2E"/>
    <w:rsid w:val="00843075"/>
    <w:rsid w:val="0084372A"/>
    <w:rsid w:val="00860976"/>
    <w:rsid w:val="008652C8"/>
    <w:rsid w:val="00880379"/>
    <w:rsid w:val="00882CC1"/>
    <w:rsid w:val="00896FE6"/>
    <w:rsid w:val="008975D3"/>
    <w:rsid w:val="008A3178"/>
    <w:rsid w:val="008A3BC9"/>
    <w:rsid w:val="008B7624"/>
    <w:rsid w:val="008C2DB6"/>
    <w:rsid w:val="008F7169"/>
    <w:rsid w:val="008F7E73"/>
    <w:rsid w:val="009047C5"/>
    <w:rsid w:val="00915CAA"/>
    <w:rsid w:val="00916FB8"/>
    <w:rsid w:val="0092286A"/>
    <w:rsid w:val="00934BEA"/>
    <w:rsid w:val="009507F2"/>
    <w:rsid w:val="0095376B"/>
    <w:rsid w:val="0095553B"/>
    <w:rsid w:val="009660C5"/>
    <w:rsid w:val="00966B76"/>
    <w:rsid w:val="00995A46"/>
    <w:rsid w:val="009A4881"/>
    <w:rsid w:val="009D012E"/>
    <w:rsid w:val="009D3E36"/>
    <w:rsid w:val="009E5F65"/>
    <w:rsid w:val="009E7185"/>
    <w:rsid w:val="00A02913"/>
    <w:rsid w:val="00A042AD"/>
    <w:rsid w:val="00A04A98"/>
    <w:rsid w:val="00A054D0"/>
    <w:rsid w:val="00A25E2B"/>
    <w:rsid w:val="00A33E58"/>
    <w:rsid w:val="00A4089F"/>
    <w:rsid w:val="00A41103"/>
    <w:rsid w:val="00A43A6F"/>
    <w:rsid w:val="00A449A3"/>
    <w:rsid w:val="00A6437C"/>
    <w:rsid w:val="00A81CD8"/>
    <w:rsid w:val="00A828E2"/>
    <w:rsid w:val="00A910CF"/>
    <w:rsid w:val="00A9582A"/>
    <w:rsid w:val="00A9741B"/>
    <w:rsid w:val="00AA6EA2"/>
    <w:rsid w:val="00AA7C23"/>
    <w:rsid w:val="00AB017B"/>
    <w:rsid w:val="00AB2C13"/>
    <w:rsid w:val="00AC1B3C"/>
    <w:rsid w:val="00AD502A"/>
    <w:rsid w:val="00AE20EF"/>
    <w:rsid w:val="00AE7E68"/>
    <w:rsid w:val="00AF10F2"/>
    <w:rsid w:val="00AF26BE"/>
    <w:rsid w:val="00AF4450"/>
    <w:rsid w:val="00B0273A"/>
    <w:rsid w:val="00B0297C"/>
    <w:rsid w:val="00B06181"/>
    <w:rsid w:val="00B17F33"/>
    <w:rsid w:val="00B21AB3"/>
    <w:rsid w:val="00B2790E"/>
    <w:rsid w:val="00B331A2"/>
    <w:rsid w:val="00B40A26"/>
    <w:rsid w:val="00B41C81"/>
    <w:rsid w:val="00B4492D"/>
    <w:rsid w:val="00B54AC7"/>
    <w:rsid w:val="00B6032E"/>
    <w:rsid w:val="00B65CA1"/>
    <w:rsid w:val="00B72259"/>
    <w:rsid w:val="00B84D3F"/>
    <w:rsid w:val="00B86A61"/>
    <w:rsid w:val="00BA77AA"/>
    <w:rsid w:val="00BB1E5F"/>
    <w:rsid w:val="00BC3745"/>
    <w:rsid w:val="00BC3E51"/>
    <w:rsid w:val="00BE2BA1"/>
    <w:rsid w:val="00BE6213"/>
    <w:rsid w:val="00BE7334"/>
    <w:rsid w:val="00BF0D8D"/>
    <w:rsid w:val="00BF3C6F"/>
    <w:rsid w:val="00C017FD"/>
    <w:rsid w:val="00C06F8D"/>
    <w:rsid w:val="00C12FB9"/>
    <w:rsid w:val="00C230EF"/>
    <w:rsid w:val="00C32265"/>
    <w:rsid w:val="00C3742E"/>
    <w:rsid w:val="00C50241"/>
    <w:rsid w:val="00C57A64"/>
    <w:rsid w:val="00C7251A"/>
    <w:rsid w:val="00C75DEB"/>
    <w:rsid w:val="00C76543"/>
    <w:rsid w:val="00C838D1"/>
    <w:rsid w:val="00C952BD"/>
    <w:rsid w:val="00C952EA"/>
    <w:rsid w:val="00C966C7"/>
    <w:rsid w:val="00CA0539"/>
    <w:rsid w:val="00CA6AA2"/>
    <w:rsid w:val="00CB37AF"/>
    <w:rsid w:val="00CE6201"/>
    <w:rsid w:val="00CE750B"/>
    <w:rsid w:val="00D10BD8"/>
    <w:rsid w:val="00D11140"/>
    <w:rsid w:val="00D179F1"/>
    <w:rsid w:val="00D21123"/>
    <w:rsid w:val="00D27D36"/>
    <w:rsid w:val="00D32B23"/>
    <w:rsid w:val="00D33D08"/>
    <w:rsid w:val="00D34D25"/>
    <w:rsid w:val="00D44C21"/>
    <w:rsid w:val="00D4683E"/>
    <w:rsid w:val="00D472C9"/>
    <w:rsid w:val="00D55F59"/>
    <w:rsid w:val="00D60D85"/>
    <w:rsid w:val="00D705A0"/>
    <w:rsid w:val="00D70605"/>
    <w:rsid w:val="00D71AA2"/>
    <w:rsid w:val="00D7254A"/>
    <w:rsid w:val="00DA35A2"/>
    <w:rsid w:val="00DC457C"/>
    <w:rsid w:val="00DC53BC"/>
    <w:rsid w:val="00E16F8E"/>
    <w:rsid w:val="00E22F41"/>
    <w:rsid w:val="00E324C9"/>
    <w:rsid w:val="00E369FC"/>
    <w:rsid w:val="00E36E08"/>
    <w:rsid w:val="00E3734C"/>
    <w:rsid w:val="00E5008F"/>
    <w:rsid w:val="00E54FB9"/>
    <w:rsid w:val="00E7237A"/>
    <w:rsid w:val="00E8649D"/>
    <w:rsid w:val="00E906FB"/>
    <w:rsid w:val="00E94633"/>
    <w:rsid w:val="00EA0660"/>
    <w:rsid w:val="00EB3E2E"/>
    <w:rsid w:val="00EF3F18"/>
    <w:rsid w:val="00F03F2D"/>
    <w:rsid w:val="00F06C05"/>
    <w:rsid w:val="00F121B8"/>
    <w:rsid w:val="00F216FA"/>
    <w:rsid w:val="00F53899"/>
    <w:rsid w:val="00F53A82"/>
    <w:rsid w:val="00F53D32"/>
    <w:rsid w:val="00F70A3A"/>
    <w:rsid w:val="00F802FF"/>
    <w:rsid w:val="00F84CDD"/>
    <w:rsid w:val="00F87CF1"/>
    <w:rsid w:val="00F91021"/>
    <w:rsid w:val="00FA582F"/>
    <w:rsid w:val="00FB1F66"/>
    <w:rsid w:val="00FC77F7"/>
    <w:rsid w:val="00FE31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3CE1"/>
  <w15:chartTrackingRefBased/>
  <w15:docId w15:val="{7E01C741-495A-4344-A5D4-8C8790B3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BA1"/>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BA1"/>
    <w:pPr>
      <w:ind w:left="720"/>
    </w:pPr>
  </w:style>
  <w:style w:type="paragraph" w:styleId="FootnoteText">
    <w:name w:val="footnote text"/>
    <w:basedOn w:val="Normal"/>
    <w:link w:val="FootnoteTextChar"/>
    <w:uiPriority w:val="99"/>
    <w:semiHidden/>
    <w:unhideWhenUsed/>
    <w:rsid w:val="00BE2BA1"/>
    <w:rPr>
      <w:sz w:val="20"/>
      <w:szCs w:val="20"/>
    </w:rPr>
  </w:style>
  <w:style w:type="character" w:customStyle="1" w:styleId="FootnoteTextChar">
    <w:name w:val="Footnote Text Char"/>
    <w:basedOn w:val="DefaultParagraphFont"/>
    <w:link w:val="FootnoteText"/>
    <w:uiPriority w:val="99"/>
    <w:semiHidden/>
    <w:rsid w:val="00BE2BA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BE2BA1"/>
    <w:rPr>
      <w:vertAlign w:val="superscript"/>
    </w:rPr>
  </w:style>
  <w:style w:type="paragraph" w:styleId="BalloonText">
    <w:name w:val="Balloon Text"/>
    <w:basedOn w:val="Normal"/>
    <w:link w:val="BalloonTextChar"/>
    <w:uiPriority w:val="99"/>
    <w:semiHidden/>
    <w:unhideWhenUsed/>
    <w:rsid w:val="007F4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3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05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1EE7A-A9CA-41EA-8A0F-16A8F60A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2125</Words>
  <Characters>12114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KeteteB</dc:creator>
  <cp:keywords/>
  <dc:description/>
  <cp:lastModifiedBy>Morna Welsh</cp:lastModifiedBy>
  <cp:revision>2</cp:revision>
  <cp:lastPrinted>2018-11-22T14:23:00Z</cp:lastPrinted>
  <dcterms:created xsi:type="dcterms:W3CDTF">2018-12-06T14:46:00Z</dcterms:created>
  <dcterms:modified xsi:type="dcterms:W3CDTF">2018-12-06T14:46:00Z</dcterms:modified>
</cp:coreProperties>
</file>