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B19EF" w14:textId="4D4BBEC9" w:rsidR="00493E3D" w:rsidRPr="000A4FC6" w:rsidRDefault="00493E3D" w:rsidP="000E4FFD">
      <w:pPr>
        <w:ind w:left="2160" w:hanging="2160"/>
        <w:jc w:val="both"/>
        <w:rPr>
          <w:rFonts w:cs="Arial"/>
          <w:b/>
        </w:rPr>
      </w:pPr>
      <w:r w:rsidRPr="000A4FC6">
        <w:rPr>
          <w:rFonts w:cs="Arial"/>
          <w:b/>
        </w:rPr>
        <w:t xml:space="preserve">Date and Venue: </w:t>
      </w:r>
      <w:r w:rsidRPr="000A4FC6">
        <w:rPr>
          <w:rFonts w:cs="Arial"/>
          <w:b/>
        </w:rPr>
        <w:tab/>
      </w:r>
      <w:r w:rsidR="000129B8" w:rsidRPr="000A4FC6">
        <w:rPr>
          <w:rFonts w:cs="Arial"/>
        </w:rPr>
        <w:t>26 &amp; 27 Nov</w:t>
      </w:r>
      <w:r w:rsidR="00AA3A3A" w:rsidRPr="000A4FC6">
        <w:rPr>
          <w:rFonts w:cs="Arial"/>
        </w:rPr>
        <w:t xml:space="preserve"> 2018; </w:t>
      </w:r>
      <w:r w:rsidR="000129B8" w:rsidRPr="000A4FC6">
        <w:rPr>
          <w:rFonts w:cs="Arial"/>
        </w:rPr>
        <w:t>Institute of Social Studies (ISS)</w:t>
      </w:r>
      <w:r w:rsidR="00AA3A3A" w:rsidRPr="000A4FC6">
        <w:rPr>
          <w:rFonts w:cs="Arial"/>
        </w:rPr>
        <w:t xml:space="preserve">, </w:t>
      </w:r>
      <w:r w:rsidR="000129B8" w:rsidRPr="000A4FC6">
        <w:rPr>
          <w:rFonts w:cs="Arial"/>
        </w:rPr>
        <w:t>The Hague</w:t>
      </w:r>
    </w:p>
    <w:p w14:paraId="500EC356" w14:textId="77777777" w:rsidR="00493E3D" w:rsidRPr="000A4FC6" w:rsidRDefault="00493E3D" w:rsidP="000E4FFD">
      <w:pPr>
        <w:jc w:val="both"/>
        <w:rPr>
          <w:rFonts w:cs="Arial"/>
          <w:b/>
        </w:rPr>
      </w:pPr>
    </w:p>
    <w:p w14:paraId="61688817" w14:textId="708DB0F4" w:rsidR="00493E3D" w:rsidRPr="000A4FC6" w:rsidRDefault="00493E3D" w:rsidP="000E4FFD">
      <w:pPr>
        <w:jc w:val="both"/>
        <w:rPr>
          <w:rFonts w:cs="Arial"/>
          <w:b/>
        </w:rPr>
      </w:pPr>
      <w:r w:rsidRPr="000A4FC6">
        <w:rPr>
          <w:rFonts w:cs="Arial"/>
          <w:b/>
        </w:rPr>
        <w:t>Chair:</w:t>
      </w:r>
      <w:r w:rsidRPr="000A4FC6">
        <w:rPr>
          <w:rFonts w:cs="Arial"/>
          <w:b/>
        </w:rPr>
        <w:tab/>
      </w:r>
      <w:r w:rsidRPr="000A4FC6">
        <w:rPr>
          <w:rFonts w:cs="Arial"/>
          <w:b/>
        </w:rPr>
        <w:tab/>
      </w:r>
      <w:r w:rsidRPr="000A4FC6">
        <w:rPr>
          <w:rFonts w:cs="Arial"/>
          <w:b/>
        </w:rPr>
        <w:tab/>
      </w:r>
      <w:r w:rsidR="005758C5" w:rsidRPr="000A4FC6">
        <w:rPr>
          <w:rFonts w:cs="Arial"/>
        </w:rPr>
        <w:t xml:space="preserve">Ben Latto; </w:t>
      </w:r>
      <w:r w:rsidRPr="000A4FC6">
        <w:rPr>
          <w:rFonts w:cs="Arial"/>
        </w:rPr>
        <w:t>UK</w:t>
      </w:r>
    </w:p>
    <w:p w14:paraId="0239CFFF" w14:textId="77777777" w:rsidR="00493E3D" w:rsidRPr="000A4FC6" w:rsidRDefault="00493E3D" w:rsidP="000E4FFD">
      <w:pPr>
        <w:jc w:val="both"/>
        <w:rPr>
          <w:rFonts w:cs="Arial"/>
          <w:b/>
        </w:rPr>
      </w:pPr>
    </w:p>
    <w:p w14:paraId="7EED23DA" w14:textId="40847804" w:rsidR="00A67033" w:rsidRPr="000A4FC6" w:rsidRDefault="00493E3D" w:rsidP="000E4FFD">
      <w:pPr>
        <w:ind w:left="2160" w:hanging="2160"/>
        <w:jc w:val="both"/>
        <w:rPr>
          <w:rFonts w:cs="Arial"/>
        </w:rPr>
      </w:pPr>
      <w:r w:rsidRPr="000A4FC6">
        <w:rPr>
          <w:rFonts w:cs="Arial"/>
          <w:b/>
        </w:rPr>
        <w:t xml:space="preserve">Participants: </w:t>
      </w:r>
      <w:r w:rsidRPr="000A4FC6">
        <w:rPr>
          <w:rFonts w:cs="Arial"/>
          <w:b/>
        </w:rPr>
        <w:tab/>
      </w:r>
      <w:r w:rsidR="00D47CD9" w:rsidRPr="000A4FC6">
        <w:rPr>
          <w:rFonts w:cs="Arial"/>
          <w:sz w:val="22"/>
          <w:szCs w:val="22"/>
        </w:rPr>
        <w:t xml:space="preserve">Andrea Schmid (Austria); </w:t>
      </w:r>
      <w:r w:rsidR="000129B8" w:rsidRPr="000A4FC6">
        <w:rPr>
          <w:rFonts w:cs="Arial"/>
          <w:sz w:val="22"/>
          <w:szCs w:val="22"/>
          <w:lang w:val="en-US"/>
        </w:rPr>
        <w:t xml:space="preserve">Hazel Onkelinx (Belgium); </w:t>
      </w:r>
      <w:r w:rsidR="000E4FFD" w:rsidRPr="000A4FC6">
        <w:rPr>
          <w:rFonts w:cs="Arial"/>
          <w:bCs/>
          <w:sz w:val="22"/>
          <w:szCs w:val="22"/>
          <w:lang w:val="da-DK"/>
        </w:rPr>
        <w:t>Thomas Nikolaj Hansen</w:t>
      </w:r>
      <w:r w:rsidR="000129B8" w:rsidRPr="000A4FC6">
        <w:rPr>
          <w:rFonts w:cs="Arial"/>
          <w:bCs/>
          <w:sz w:val="22"/>
          <w:szCs w:val="22"/>
          <w:lang w:val="da-DK"/>
        </w:rPr>
        <w:t>, Siv Behrendt</w:t>
      </w:r>
      <w:r w:rsidR="000E4FFD" w:rsidRPr="000A4FC6">
        <w:rPr>
          <w:rFonts w:cs="Arial"/>
          <w:bCs/>
          <w:sz w:val="22"/>
          <w:szCs w:val="22"/>
          <w:lang w:val="da-DK"/>
        </w:rPr>
        <w:t xml:space="preserve"> (Denmark); </w:t>
      </w:r>
      <w:r w:rsidR="00D562ED" w:rsidRPr="000A4FC6">
        <w:rPr>
          <w:rFonts w:cs="Arial"/>
          <w:bCs/>
          <w:sz w:val="22"/>
          <w:szCs w:val="22"/>
          <w:lang w:val="en-US"/>
        </w:rPr>
        <w:t xml:space="preserve">Elina Iso-Markku, </w:t>
      </w:r>
      <w:r w:rsidR="00D562ED" w:rsidRPr="000A4FC6">
        <w:rPr>
          <w:rFonts w:cs="Arial"/>
          <w:sz w:val="22"/>
          <w:szCs w:val="22"/>
          <w:lang w:val="en-US"/>
        </w:rPr>
        <w:t>Riina-Riikka Heikka</w:t>
      </w:r>
      <w:r w:rsidR="00D562ED" w:rsidRPr="000A4FC6">
        <w:rPr>
          <w:rFonts w:cs="Arial"/>
          <w:bCs/>
          <w:sz w:val="22"/>
          <w:szCs w:val="22"/>
          <w:lang w:val="da-DK"/>
        </w:rPr>
        <w:t xml:space="preserve"> </w:t>
      </w:r>
      <w:r w:rsidR="00D47CD9" w:rsidRPr="000A4FC6">
        <w:rPr>
          <w:rFonts w:cs="Arial"/>
          <w:bCs/>
          <w:sz w:val="22"/>
          <w:szCs w:val="22"/>
          <w:lang w:val="da-DK"/>
        </w:rPr>
        <w:t xml:space="preserve">(Finland); </w:t>
      </w:r>
      <w:r w:rsidR="000233F6" w:rsidRPr="000A4FC6">
        <w:rPr>
          <w:rFonts w:cs="Arial"/>
          <w:sz w:val="22"/>
          <w:szCs w:val="22"/>
          <w:lang w:val="en-US"/>
        </w:rPr>
        <w:t>Pierre Salignon</w:t>
      </w:r>
      <w:r w:rsidR="000E4FFD" w:rsidRPr="000A4FC6">
        <w:rPr>
          <w:rFonts w:cs="Arial"/>
          <w:sz w:val="22"/>
          <w:szCs w:val="22"/>
          <w:lang w:val="en-US"/>
        </w:rPr>
        <w:t xml:space="preserve"> (France); </w:t>
      </w:r>
      <w:r w:rsidR="000E4FFD" w:rsidRPr="000A4FC6">
        <w:rPr>
          <w:rFonts w:cs="Arial"/>
          <w:sz w:val="22"/>
          <w:szCs w:val="22"/>
          <w:lang w:val="de-DE" w:eastAsia="en-GB"/>
        </w:rPr>
        <w:t xml:space="preserve">Elke Zimprich Mazive (Germany); </w:t>
      </w:r>
      <w:r w:rsidR="009455A7" w:rsidRPr="000A4FC6">
        <w:rPr>
          <w:rFonts w:cs="Arial"/>
          <w:sz w:val="22"/>
          <w:szCs w:val="22"/>
          <w:lang w:val="de-DE" w:eastAsia="en-GB"/>
        </w:rPr>
        <w:t xml:space="preserve">Agust Mar Agustsson (Iceland); </w:t>
      </w:r>
      <w:r w:rsidR="000233F6" w:rsidRPr="000A4FC6">
        <w:rPr>
          <w:rFonts w:cs="Arial"/>
          <w:sz w:val="22"/>
          <w:szCs w:val="22"/>
          <w:lang w:val="en-IE"/>
        </w:rPr>
        <w:t>Orla Mc Breen, Gerard Considine</w:t>
      </w:r>
      <w:r w:rsidR="002237C2" w:rsidRPr="000A4FC6">
        <w:rPr>
          <w:rFonts w:cs="Arial"/>
          <w:sz w:val="22"/>
          <w:szCs w:val="22"/>
          <w:lang w:val="en-IE"/>
        </w:rPr>
        <w:t>, Carina Connellan</w:t>
      </w:r>
      <w:r w:rsidR="009455A7" w:rsidRPr="000A4FC6">
        <w:rPr>
          <w:rFonts w:cs="Arial"/>
          <w:sz w:val="22"/>
          <w:szCs w:val="22"/>
          <w:lang w:val="en-IE"/>
        </w:rPr>
        <w:t>, Bizu Ketete</w:t>
      </w:r>
      <w:r w:rsidR="000E4FFD" w:rsidRPr="000A4FC6">
        <w:rPr>
          <w:rFonts w:cs="Arial"/>
          <w:sz w:val="22"/>
          <w:szCs w:val="22"/>
          <w:lang w:val="en-IE"/>
        </w:rPr>
        <w:t xml:space="preserve"> (Ireland);</w:t>
      </w:r>
      <w:r w:rsidR="002237C2" w:rsidRPr="000A4FC6">
        <w:rPr>
          <w:rFonts w:cs="Arial"/>
          <w:sz w:val="22"/>
          <w:szCs w:val="22"/>
          <w:lang w:eastAsia="en-GB"/>
        </w:rPr>
        <w:t xml:space="preserve"> Ronald Siebes </w:t>
      </w:r>
      <w:r w:rsidR="000E4FFD" w:rsidRPr="000A4FC6">
        <w:rPr>
          <w:rFonts w:cs="Arial"/>
          <w:sz w:val="22"/>
          <w:szCs w:val="22"/>
          <w:lang w:eastAsia="en-GB"/>
        </w:rPr>
        <w:t xml:space="preserve">(Netherlands); Hildegunn Tobiassen (Norway); </w:t>
      </w:r>
      <w:r w:rsidR="002237C2" w:rsidRPr="000A4FC6">
        <w:rPr>
          <w:rFonts w:cs="Arial"/>
          <w:sz w:val="22"/>
          <w:szCs w:val="22"/>
          <w:lang w:eastAsia="en-GB"/>
        </w:rPr>
        <w:t>Viveka Carlestam</w:t>
      </w:r>
      <w:r w:rsidR="000E4FFD" w:rsidRPr="000A4FC6">
        <w:rPr>
          <w:rFonts w:cs="Arial"/>
          <w:sz w:val="22"/>
          <w:szCs w:val="22"/>
          <w:lang w:eastAsia="en-GB"/>
        </w:rPr>
        <w:t xml:space="preserve"> (Sweden); </w:t>
      </w:r>
      <w:r w:rsidR="000E4FFD" w:rsidRPr="000A4FC6">
        <w:rPr>
          <w:rFonts w:cs="Arial"/>
          <w:sz w:val="22"/>
          <w:szCs w:val="22"/>
          <w:lang w:val="en-US" w:eastAsia="en-GB"/>
        </w:rPr>
        <w:t xml:space="preserve">Rahel Boesch (Switzerland); </w:t>
      </w:r>
      <w:r w:rsidR="009455A7" w:rsidRPr="000A4FC6">
        <w:rPr>
          <w:rFonts w:cs="Arial"/>
          <w:sz w:val="22"/>
          <w:szCs w:val="22"/>
          <w:lang w:val="en-US" w:eastAsia="en-GB"/>
        </w:rPr>
        <w:t xml:space="preserve">Diarmuid O’Neill, Adam Pickering, Morna Welsh (UK); </w:t>
      </w:r>
      <w:r w:rsidR="000E4FFD" w:rsidRPr="000A4FC6">
        <w:rPr>
          <w:rFonts w:cs="Arial"/>
          <w:sz w:val="22"/>
          <w:szCs w:val="22"/>
          <w:lang w:eastAsia="en-GB"/>
        </w:rPr>
        <w:t>Karin F</w:t>
      </w:r>
      <w:r w:rsidR="000E4FFD" w:rsidRPr="000A4FC6">
        <w:rPr>
          <w:rFonts w:cs="Arial"/>
          <w:sz w:val="22"/>
          <w:szCs w:val="22"/>
          <w:lang w:val="en-US" w:eastAsia="en-GB"/>
        </w:rPr>
        <w:t>ä</w:t>
      </w:r>
      <w:r w:rsidR="000E4FFD" w:rsidRPr="000A4FC6">
        <w:rPr>
          <w:rFonts w:cs="Arial"/>
          <w:sz w:val="22"/>
          <w:szCs w:val="22"/>
          <w:lang w:eastAsia="en-GB"/>
        </w:rPr>
        <w:t>llman</w:t>
      </w:r>
      <w:r w:rsidR="00D562ED" w:rsidRPr="000A4FC6">
        <w:rPr>
          <w:rFonts w:cs="Arial"/>
          <w:sz w:val="22"/>
          <w:szCs w:val="22"/>
          <w:lang w:eastAsia="en-GB"/>
        </w:rPr>
        <w:t>, Nestor Pelechaaigues</w:t>
      </w:r>
      <w:r w:rsidR="000E4FFD" w:rsidRPr="000A4FC6">
        <w:rPr>
          <w:rFonts w:cs="Arial"/>
          <w:sz w:val="22"/>
          <w:szCs w:val="22"/>
          <w:lang w:eastAsia="en-GB"/>
        </w:rPr>
        <w:t xml:space="preserve"> (OECD); </w:t>
      </w:r>
      <w:r w:rsidR="002237C2" w:rsidRPr="000A4FC6">
        <w:rPr>
          <w:rFonts w:cs="Arial"/>
          <w:sz w:val="22"/>
          <w:szCs w:val="22"/>
          <w:lang w:eastAsia="en-GB"/>
        </w:rPr>
        <w:t>Emilie Jarrett</w:t>
      </w:r>
      <w:r w:rsidR="000E4FFD" w:rsidRPr="000A4FC6">
        <w:rPr>
          <w:rFonts w:cs="Arial"/>
          <w:sz w:val="22"/>
          <w:szCs w:val="22"/>
          <w:lang w:eastAsia="en-GB"/>
        </w:rPr>
        <w:t xml:space="preserve"> (EC)</w:t>
      </w:r>
      <w:r w:rsidR="00D562ED" w:rsidRPr="000A4FC6">
        <w:rPr>
          <w:rFonts w:cs="Arial"/>
          <w:sz w:val="22"/>
          <w:szCs w:val="22"/>
          <w:lang w:eastAsia="en-GB"/>
        </w:rPr>
        <w:t xml:space="preserve">; Jeff </w:t>
      </w:r>
      <w:r w:rsidR="002E70DE" w:rsidRPr="000A4FC6">
        <w:rPr>
          <w:rFonts w:cs="Arial"/>
          <w:sz w:val="22"/>
          <w:szCs w:val="22"/>
          <w:lang w:eastAsia="en-GB"/>
        </w:rPr>
        <w:t xml:space="preserve">Thindwa (World Bank); Doug Rutzen (ICNL); Saskia Brechenmacher (Carnegie); Naomi Hossain (IDS); </w:t>
      </w:r>
      <w:r w:rsidR="002E70DE" w:rsidRPr="000A4FC6">
        <w:rPr>
          <w:rFonts w:cs="Arial"/>
          <w:sz w:val="22"/>
          <w:szCs w:val="22"/>
          <w:lang w:val="en-US"/>
        </w:rPr>
        <w:t>Jacqueline Wood (Carleton University); Neil Mitchell (UCL – remotely)</w:t>
      </w:r>
    </w:p>
    <w:p w14:paraId="33821BA1" w14:textId="1E773E3D" w:rsidR="000129B8" w:rsidRPr="000A4FC6" w:rsidRDefault="000129B8" w:rsidP="000A4FC6">
      <w:pPr>
        <w:jc w:val="both"/>
        <w:rPr>
          <w:rFonts w:cs="Arial"/>
          <w:b/>
        </w:rPr>
      </w:pPr>
    </w:p>
    <w:p w14:paraId="216ACE0D" w14:textId="77777777" w:rsidR="00726B02" w:rsidRPr="000A4FC6" w:rsidRDefault="00726B02" w:rsidP="000E4FFD">
      <w:pPr>
        <w:ind w:left="2160" w:hanging="2160"/>
        <w:jc w:val="both"/>
        <w:rPr>
          <w:rFonts w:cs="Arial"/>
          <w:b/>
        </w:rPr>
      </w:pPr>
      <w:r w:rsidRPr="000A4FC6">
        <w:rPr>
          <w:rFonts w:cs="Arial"/>
          <w:b/>
        </w:rPr>
        <w:t>Meeting notes</w:t>
      </w:r>
    </w:p>
    <w:p w14:paraId="196F850B" w14:textId="77777777" w:rsidR="00726B02" w:rsidRPr="000A4FC6" w:rsidRDefault="00726B02" w:rsidP="000E4FFD">
      <w:pPr>
        <w:ind w:left="567" w:hanging="567"/>
        <w:jc w:val="both"/>
        <w:rPr>
          <w:rFonts w:cs="Arial"/>
        </w:rPr>
      </w:pPr>
    </w:p>
    <w:p w14:paraId="664FB2F0" w14:textId="77777777" w:rsidR="00726B02" w:rsidRPr="000A4FC6" w:rsidRDefault="00726B02" w:rsidP="007D7168">
      <w:pPr>
        <w:pStyle w:val="ListParagraph"/>
        <w:numPr>
          <w:ilvl w:val="0"/>
          <w:numId w:val="5"/>
        </w:numPr>
        <w:ind w:left="426" w:hanging="426"/>
        <w:jc w:val="both"/>
        <w:rPr>
          <w:rFonts w:cs="Arial"/>
          <w:b/>
        </w:rPr>
      </w:pPr>
      <w:r w:rsidRPr="000A4FC6">
        <w:rPr>
          <w:rFonts w:cs="Arial"/>
          <w:b/>
        </w:rPr>
        <w:t>Introduction</w:t>
      </w:r>
      <w:r w:rsidR="000233F6" w:rsidRPr="000A4FC6">
        <w:rPr>
          <w:rFonts w:cs="Arial"/>
          <w:b/>
        </w:rPr>
        <w:t>s</w:t>
      </w:r>
    </w:p>
    <w:p w14:paraId="1A908705" w14:textId="77777777" w:rsidR="00726B02" w:rsidRPr="000A4FC6" w:rsidRDefault="00726B02" w:rsidP="000E4FFD">
      <w:pPr>
        <w:pStyle w:val="NoSpacing"/>
        <w:jc w:val="both"/>
        <w:rPr>
          <w:rFonts w:ascii="Arial" w:hAnsi="Arial" w:cs="Arial"/>
          <w:sz w:val="24"/>
          <w:szCs w:val="24"/>
        </w:rPr>
      </w:pPr>
    </w:p>
    <w:p w14:paraId="35987886" w14:textId="7A810251" w:rsidR="005758C5" w:rsidRPr="000A4FC6" w:rsidRDefault="000A4FC6" w:rsidP="004006E0">
      <w:pPr>
        <w:pStyle w:val="ListParagraph"/>
        <w:numPr>
          <w:ilvl w:val="1"/>
          <w:numId w:val="25"/>
        </w:numPr>
        <w:jc w:val="both"/>
        <w:rPr>
          <w:rFonts w:cs="Arial"/>
        </w:rPr>
      </w:pPr>
      <w:r w:rsidRPr="000A4FC6">
        <w:rPr>
          <w:rFonts w:cs="Arial"/>
        </w:rPr>
        <w:t>Welcome from ISS. Outline of key meeting aims from Ben – international solidarity and consensus – an agreed response on civic space action across donors.</w:t>
      </w:r>
    </w:p>
    <w:p w14:paraId="6C0239A7" w14:textId="63AFC4DB" w:rsidR="00D20CE4" w:rsidRPr="000A4FC6" w:rsidRDefault="00D20CE4" w:rsidP="00D20CE4">
      <w:pPr>
        <w:rPr>
          <w:rFonts w:cs="Arial"/>
          <w:lang w:val="en-US"/>
        </w:rPr>
      </w:pPr>
    </w:p>
    <w:p w14:paraId="2C6ABA73" w14:textId="51E72717" w:rsidR="00D20CE4" w:rsidRDefault="00D20CE4" w:rsidP="007D7168">
      <w:pPr>
        <w:pStyle w:val="ListParagraph"/>
        <w:numPr>
          <w:ilvl w:val="0"/>
          <w:numId w:val="5"/>
        </w:numPr>
        <w:ind w:left="426" w:hanging="426"/>
        <w:rPr>
          <w:rFonts w:cs="Arial"/>
          <w:b/>
          <w:lang w:val="en-US"/>
        </w:rPr>
      </w:pPr>
      <w:r w:rsidRPr="000A4FC6">
        <w:rPr>
          <w:rFonts w:cs="Arial"/>
          <w:b/>
          <w:lang w:val="en-US"/>
        </w:rPr>
        <w:t>Closing space – what are the issues and trends</w:t>
      </w:r>
    </w:p>
    <w:p w14:paraId="2BD375EC" w14:textId="77777777" w:rsidR="00433EEC" w:rsidRDefault="00433EEC" w:rsidP="00433EEC">
      <w:pPr>
        <w:pStyle w:val="ListParagraph"/>
        <w:ind w:left="567"/>
        <w:rPr>
          <w:rFonts w:cs="Arial"/>
          <w:b/>
          <w:lang w:val="en-US"/>
        </w:rPr>
      </w:pPr>
    </w:p>
    <w:p w14:paraId="594FEB86" w14:textId="76DA1832" w:rsidR="00433EEC" w:rsidRDefault="00433EEC" w:rsidP="00433EEC">
      <w:pPr>
        <w:pStyle w:val="ListParagraph"/>
        <w:numPr>
          <w:ilvl w:val="1"/>
          <w:numId w:val="5"/>
        </w:numPr>
        <w:ind w:left="426" w:hanging="426"/>
        <w:rPr>
          <w:rFonts w:cs="Arial"/>
          <w:lang w:val="en-US"/>
        </w:rPr>
      </w:pPr>
      <w:r w:rsidRPr="00433EEC">
        <w:rPr>
          <w:rFonts w:cs="Arial"/>
          <w:lang w:val="en-US"/>
        </w:rPr>
        <w:t>Discussion on understandin</w:t>
      </w:r>
      <w:r w:rsidR="005D6AB3">
        <w:rPr>
          <w:rFonts w:cs="Arial"/>
          <w:lang w:val="en-US"/>
        </w:rPr>
        <w:t>g trends and issues led by Carnegie</w:t>
      </w:r>
      <w:r w:rsidRPr="00433EEC">
        <w:rPr>
          <w:rFonts w:cs="Arial"/>
          <w:lang w:val="en-US"/>
        </w:rPr>
        <w:t>.</w:t>
      </w:r>
      <w:r w:rsidR="005D6AB3">
        <w:rPr>
          <w:rFonts w:cs="Arial"/>
          <w:lang w:val="en-US"/>
        </w:rPr>
        <w:t xml:space="preserve"> Presentations from UCL, UK, IDS, ICNL and CIVICUS. Key points:</w:t>
      </w:r>
    </w:p>
    <w:p w14:paraId="4886508C" w14:textId="77777777" w:rsidR="005D6AB3" w:rsidRDefault="005D6AB3" w:rsidP="005D6AB3">
      <w:pPr>
        <w:pStyle w:val="ListParagraph"/>
        <w:ind w:left="426"/>
        <w:rPr>
          <w:rFonts w:cs="Arial"/>
          <w:lang w:val="en-US"/>
        </w:rPr>
      </w:pPr>
    </w:p>
    <w:p w14:paraId="463DC5C1" w14:textId="2921B05E" w:rsidR="005D6AB3" w:rsidRDefault="005D6AB3" w:rsidP="00D20CE4">
      <w:pPr>
        <w:pStyle w:val="ListParagraph"/>
        <w:numPr>
          <w:ilvl w:val="1"/>
          <w:numId w:val="5"/>
        </w:numPr>
        <w:ind w:left="426" w:hanging="426"/>
        <w:rPr>
          <w:rFonts w:cs="Arial"/>
          <w:lang w:val="en-US"/>
        </w:rPr>
      </w:pPr>
      <w:r>
        <w:rPr>
          <w:rFonts w:cs="Arial"/>
          <w:lang w:val="en-US"/>
        </w:rPr>
        <w:t>C</w:t>
      </w:r>
      <w:r w:rsidRPr="005D6AB3">
        <w:rPr>
          <w:rFonts w:cs="Arial"/>
          <w:lang w:val="en-US"/>
        </w:rPr>
        <w:t xml:space="preserve">ivil society space is not closing uniformly. Various causes including war on terror, </w:t>
      </w:r>
      <w:r w:rsidR="007416FD">
        <w:rPr>
          <w:rFonts w:cs="Arial"/>
          <w:lang w:val="en-US"/>
        </w:rPr>
        <w:t xml:space="preserve">and </w:t>
      </w:r>
      <w:r w:rsidRPr="005D6AB3">
        <w:rPr>
          <w:rFonts w:cs="Arial"/>
          <w:lang w:val="en-US"/>
        </w:rPr>
        <w:t xml:space="preserve">western funding of civil society. Where rule of law </w:t>
      </w:r>
      <w:r w:rsidR="00DA152A" w:rsidRPr="005D6AB3">
        <w:rPr>
          <w:rFonts w:cs="Arial"/>
          <w:lang w:val="en-US"/>
        </w:rPr>
        <w:t>prevails,</w:t>
      </w:r>
      <w:r w:rsidRPr="005D6AB3">
        <w:rPr>
          <w:rFonts w:cs="Arial"/>
          <w:lang w:val="en-US"/>
        </w:rPr>
        <w:t xml:space="preserve"> restrictions tend to be low. Restrictions cluster i.e. neighbours tend to copy each other through a process of diffusion, and not necessarily linked to geography e.g. Kurdistan replicating Russian legislation. As the number of restriction</w:t>
      </w:r>
      <w:r w:rsidR="00951FEF">
        <w:rPr>
          <w:rFonts w:cs="Arial"/>
          <w:lang w:val="en-US"/>
        </w:rPr>
        <w:t>s</w:t>
      </w:r>
      <w:r w:rsidRPr="005D6AB3">
        <w:rPr>
          <w:rFonts w:cs="Arial"/>
          <w:lang w:val="en-US"/>
        </w:rPr>
        <w:t xml:space="preserve"> increase, advocacy</w:t>
      </w:r>
      <w:r w:rsidR="00951FEF">
        <w:rPr>
          <w:rFonts w:cs="Arial"/>
          <w:lang w:val="en-US"/>
        </w:rPr>
        <w:t xml:space="preserve"> decreases</w:t>
      </w:r>
      <w:r w:rsidRPr="005D6AB3">
        <w:rPr>
          <w:rFonts w:cs="Arial"/>
          <w:lang w:val="en-US"/>
        </w:rPr>
        <w:t>, leading to a dangerous departure in human rights conditions.</w:t>
      </w:r>
    </w:p>
    <w:p w14:paraId="365BA93A" w14:textId="77777777" w:rsidR="007416FD" w:rsidRPr="007416FD" w:rsidRDefault="007416FD" w:rsidP="007416FD">
      <w:pPr>
        <w:pStyle w:val="ListParagraph"/>
        <w:rPr>
          <w:rFonts w:cs="Arial"/>
          <w:lang w:val="en-US"/>
        </w:rPr>
      </w:pPr>
    </w:p>
    <w:p w14:paraId="605A9393" w14:textId="643858A2" w:rsidR="007416FD" w:rsidRDefault="007416FD" w:rsidP="007416FD">
      <w:pPr>
        <w:pStyle w:val="ListParagraph"/>
        <w:numPr>
          <w:ilvl w:val="1"/>
          <w:numId w:val="5"/>
        </w:numPr>
        <w:ind w:left="426" w:hanging="426"/>
        <w:rPr>
          <w:rFonts w:cs="Arial"/>
          <w:lang w:val="en-US"/>
        </w:rPr>
      </w:pPr>
      <w:r>
        <w:rPr>
          <w:rFonts w:cs="Arial"/>
          <w:lang w:val="en-US"/>
        </w:rPr>
        <w:t xml:space="preserve">Suggest space may be changing rather than closing – seeing the rise of the right in civic space and growth in digital space. There are new actors and opportunities. Where there is unaccountable service provision this leads to poor or unstable services/societies. </w:t>
      </w:r>
    </w:p>
    <w:p w14:paraId="6EE629F3" w14:textId="77777777" w:rsidR="007416FD" w:rsidRPr="007416FD" w:rsidRDefault="007416FD" w:rsidP="007416FD">
      <w:pPr>
        <w:pStyle w:val="ListParagraph"/>
        <w:rPr>
          <w:rFonts w:cs="Arial"/>
          <w:lang w:val="en-US"/>
        </w:rPr>
      </w:pPr>
    </w:p>
    <w:p w14:paraId="60AD2EB8" w14:textId="717C10E2" w:rsidR="007416FD" w:rsidRPr="007416FD" w:rsidRDefault="007416FD" w:rsidP="007416FD">
      <w:pPr>
        <w:pStyle w:val="ListParagraph"/>
        <w:numPr>
          <w:ilvl w:val="1"/>
          <w:numId w:val="5"/>
        </w:numPr>
        <w:ind w:left="426" w:hanging="426"/>
        <w:rPr>
          <w:rFonts w:cs="Arial"/>
          <w:lang w:val="en-US"/>
        </w:rPr>
      </w:pPr>
      <w:r>
        <w:rPr>
          <w:rFonts w:cs="Arial"/>
          <w:lang w:val="en-US"/>
        </w:rPr>
        <w:t xml:space="preserve">Key trends include: a) civil society adoption of AI e.g. using iris scanners to provide food to refugees; b) electric vehicles – move away from fossil fuels and systemic restriction of environmental CSOs; c) geopolitics – role of China – do we affect them or they affect us?; d) foreign interference – move to isolationism from globalisation; e) </w:t>
      </w:r>
      <w:r>
        <w:rPr>
          <w:rFonts w:cs="Arial"/>
        </w:rPr>
        <w:t>d</w:t>
      </w:r>
      <w:r w:rsidRPr="004D4B87">
        <w:rPr>
          <w:rFonts w:cs="Arial"/>
        </w:rPr>
        <w:t>emocracy –</w:t>
      </w:r>
      <w:r>
        <w:rPr>
          <w:rFonts w:cs="Arial"/>
        </w:rPr>
        <w:t xml:space="preserve"> </w:t>
      </w:r>
      <w:r w:rsidRPr="004D4B87">
        <w:rPr>
          <w:rFonts w:cs="Arial"/>
        </w:rPr>
        <w:t>shift in trust away from democratic to</w:t>
      </w:r>
      <w:r>
        <w:rPr>
          <w:rFonts w:cs="Arial"/>
        </w:rPr>
        <w:t>wards</w:t>
      </w:r>
      <w:r w:rsidRPr="004D4B87">
        <w:rPr>
          <w:rFonts w:cs="Arial"/>
        </w:rPr>
        <w:t xml:space="preserve"> military governments. </w:t>
      </w:r>
    </w:p>
    <w:p w14:paraId="0DDC5402" w14:textId="77777777" w:rsidR="007416FD" w:rsidRPr="007416FD" w:rsidRDefault="007416FD" w:rsidP="007416FD">
      <w:pPr>
        <w:pStyle w:val="ListParagraph"/>
        <w:rPr>
          <w:rFonts w:cs="Arial"/>
        </w:rPr>
      </w:pPr>
    </w:p>
    <w:p w14:paraId="4D6C0506" w14:textId="79359871" w:rsidR="00833288" w:rsidRPr="007416FD" w:rsidRDefault="00833288" w:rsidP="007416FD">
      <w:pPr>
        <w:rPr>
          <w:rFonts w:cs="Arial"/>
          <w:lang w:val="en-US"/>
        </w:rPr>
      </w:pPr>
    </w:p>
    <w:p w14:paraId="2A217260" w14:textId="77777777" w:rsidR="004D4B87" w:rsidRPr="004D4B87" w:rsidRDefault="004D4B87" w:rsidP="004D4B87">
      <w:pPr>
        <w:pStyle w:val="ListParagraph"/>
        <w:rPr>
          <w:rFonts w:cs="Arial"/>
          <w:lang w:val="en-US"/>
        </w:rPr>
      </w:pPr>
    </w:p>
    <w:p w14:paraId="2D8D8B30" w14:textId="7DD4566C" w:rsidR="004D4B87" w:rsidRPr="007416FD" w:rsidRDefault="00234619" w:rsidP="007416FD">
      <w:pPr>
        <w:pStyle w:val="ListParagraph"/>
        <w:numPr>
          <w:ilvl w:val="1"/>
          <w:numId w:val="5"/>
        </w:numPr>
        <w:ind w:left="426" w:hanging="426"/>
        <w:rPr>
          <w:rFonts w:cs="Arial"/>
          <w:lang w:val="en-US"/>
        </w:rPr>
      </w:pPr>
      <w:r>
        <w:rPr>
          <w:rFonts w:cs="Arial"/>
          <w:lang w:val="en-US"/>
        </w:rPr>
        <w:lastRenderedPageBreak/>
        <w:t xml:space="preserve">Noted threats through </w:t>
      </w:r>
      <w:r w:rsidR="00DA152A">
        <w:rPr>
          <w:rFonts w:cs="Arial"/>
          <w:lang w:val="en-US"/>
        </w:rPr>
        <w:t>cyber-attacks</w:t>
      </w:r>
      <w:r w:rsidR="004D4B87">
        <w:rPr>
          <w:rFonts w:cs="Arial"/>
          <w:lang w:val="en-US"/>
        </w:rPr>
        <w:t xml:space="preserve">, surveillance, and use of false information.  </w:t>
      </w:r>
      <w:r w:rsidR="002151E3">
        <w:rPr>
          <w:rFonts w:cs="Arial"/>
          <w:lang w:val="en-US"/>
        </w:rPr>
        <w:t xml:space="preserve">Questioned </w:t>
      </w:r>
      <w:r w:rsidR="00793BE5">
        <w:rPr>
          <w:rFonts w:cs="Arial"/>
          <w:lang w:val="en-US"/>
        </w:rPr>
        <w:t>what this means for our engagement with civil society, particularly human rights defenders</w:t>
      </w:r>
      <w:r w:rsidR="00193BA1">
        <w:rPr>
          <w:rFonts w:cs="Arial"/>
          <w:lang w:val="en-US"/>
        </w:rPr>
        <w:t xml:space="preserve">, </w:t>
      </w:r>
      <w:r w:rsidR="00793BE5">
        <w:rPr>
          <w:rFonts w:cs="Arial"/>
          <w:lang w:val="en-US"/>
        </w:rPr>
        <w:t>including how we determine when they are defenders or not</w:t>
      </w:r>
      <w:r w:rsidR="007416FD">
        <w:rPr>
          <w:rFonts w:cs="Arial"/>
          <w:lang w:val="en-US"/>
        </w:rPr>
        <w:t>.</w:t>
      </w:r>
      <w:r w:rsidR="007416FD" w:rsidRPr="007416FD">
        <w:rPr>
          <w:rFonts w:cs="Arial"/>
        </w:rPr>
        <w:t xml:space="preserve"> </w:t>
      </w:r>
      <w:r w:rsidR="007416FD" w:rsidRPr="00DD59AF">
        <w:rPr>
          <w:rFonts w:cs="Arial"/>
        </w:rPr>
        <w:t xml:space="preserve">Need to consider how to bridge formal and informal interactions i.e. support outside of funding. </w:t>
      </w:r>
      <w:r w:rsidR="007416FD">
        <w:rPr>
          <w:rFonts w:cs="Arial"/>
        </w:rPr>
        <w:t>Increasing importance of digital frontiers – protecting civic freedoms, freedom of expression, data access and accountability, and digital governance.</w:t>
      </w:r>
    </w:p>
    <w:p w14:paraId="0BF667DA" w14:textId="77777777" w:rsidR="00193BA1" w:rsidRPr="00193BA1" w:rsidRDefault="00193BA1" w:rsidP="00193BA1">
      <w:pPr>
        <w:pStyle w:val="ListParagraph"/>
        <w:rPr>
          <w:rFonts w:cs="Arial"/>
          <w:lang w:val="en-US"/>
        </w:rPr>
      </w:pPr>
    </w:p>
    <w:p w14:paraId="77AB9169" w14:textId="57E416E0" w:rsidR="00193BA1" w:rsidRDefault="00193BA1" w:rsidP="004D4B87">
      <w:pPr>
        <w:pStyle w:val="ListParagraph"/>
        <w:numPr>
          <w:ilvl w:val="1"/>
          <w:numId w:val="5"/>
        </w:numPr>
        <w:ind w:left="426" w:hanging="426"/>
        <w:rPr>
          <w:rFonts w:cs="Arial"/>
          <w:lang w:val="en-US"/>
        </w:rPr>
      </w:pPr>
      <w:r>
        <w:rPr>
          <w:rFonts w:cs="Arial"/>
          <w:lang w:val="en-US"/>
        </w:rPr>
        <w:t xml:space="preserve">Noted there is evidence around the loss of voice of vulnerable communities with closing space, but that more work </w:t>
      </w:r>
      <w:r w:rsidR="00F16AED">
        <w:rPr>
          <w:rFonts w:cs="Arial"/>
          <w:lang w:val="en-US"/>
        </w:rPr>
        <w:t>is needed</w:t>
      </w:r>
      <w:r>
        <w:rPr>
          <w:rFonts w:cs="Arial"/>
          <w:lang w:val="en-US"/>
        </w:rPr>
        <w:t xml:space="preserve"> on defining closing space and its impacts and solutions e.g. success of adaptive programming. Highlighted groups most affected are those involved in land rights, mineral rights, those representing indigenous peoples, investigators, and media.</w:t>
      </w:r>
      <w:r w:rsidR="00F16AED">
        <w:rPr>
          <w:rFonts w:cs="Arial"/>
          <w:lang w:val="en-US"/>
        </w:rPr>
        <w:t xml:space="preserve"> Discussed that it can be difficult to make the development case for protecting civic space, but ther</w:t>
      </w:r>
      <w:r w:rsidR="00234619">
        <w:rPr>
          <w:rFonts w:cs="Arial"/>
          <w:lang w:val="en-US"/>
        </w:rPr>
        <w:t xml:space="preserve">e are intrinsic values we must </w:t>
      </w:r>
      <w:r w:rsidR="00F16AED">
        <w:rPr>
          <w:rFonts w:cs="Arial"/>
          <w:lang w:val="en-US"/>
        </w:rPr>
        <w:t>protect.</w:t>
      </w:r>
    </w:p>
    <w:p w14:paraId="204CE7BD" w14:textId="77777777" w:rsidR="00F16AED" w:rsidRPr="00F16AED" w:rsidRDefault="00F16AED" w:rsidP="00F16AED">
      <w:pPr>
        <w:pStyle w:val="ListParagraph"/>
        <w:rPr>
          <w:rFonts w:cs="Arial"/>
          <w:lang w:val="en-US"/>
        </w:rPr>
      </w:pPr>
    </w:p>
    <w:p w14:paraId="068CF5D3" w14:textId="7247E260" w:rsidR="00F16AED" w:rsidRDefault="00F16AED" w:rsidP="00F16AED">
      <w:pPr>
        <w:pStyle w:val="ListParagraph"/>
        <w:numPr>
          <w:ilvl w:val="1"/>
          <w:numId w:val="5"/>
        </w:numPr>
        <w:ind w:left="426" w:hanging="426"/>
        <w:rPr>
          <w:rFonts w:cs="Arial"/>
          <w:lang w:val="en-US"/>
        </w:rPr>
      </w:pPr>
      <w:r>
        <w:rPr>
          <w:rFonts w:cs="Arial"/>
          <w:lang w:val="en-US"/>
        </w:rPr>
        <w:t>Discussed connection of programmes to human rights abuses and the need to pay attention to the quality of reporting and the incremental effect; scattered restrictions may not have much impact, but cumulative restrictions can create a difficult atmosphere.</w:t>
      </w:r>
    </w:p>
    <w:p w14:paraId="6E7AFFF5" w14:textId="77777777" w:rsidR="00F16AED" w:rsidRPr="00F16AED" w:rsidRDefault="00F16AED" w:rsidP="00F16AED">
      <w:pPr>
        <w:pStyle w:val="ListParagraph"/>
        <w:rPr>
          <w:rFonts w:cs="Arial"/>
          <w:lang w:val="en-US"/>
        </w:rPr>
      </w:pPr>
    </w:p>
    <w:p w14:paraId="715C6790" w14:textId="00FDEA50" w:rsidR="00F16AED" w:rsidRDefault="00D20CE4" w:rsidP="00234619">
      <w:pPr>
        <w:pStyle w:val="ListParagraph"/>
        <w:numPr>
          <w:ilvl w:val="0"/>
          <w:numId w:val="5"/>
        </w:numPr>
        <w:ind w:left="426" w:hanging="426"/>
        <w:rPr>
          <w:rFonts w:cs="Arial"/>
          <w:b/>
          <w:lang w:val="en-US"/>
        </w:rPr>
      </w:pPr>
      <w:r w:rsidRPr="00F16AED">
        <w:rPr>
          <w:rFonts w:cs="Arial"/>
          <w:b/>
          <w:lang w:val="en-US"/>
        </w:rPr>
        <w:t>Closing space – what works and doesn’t work?</w:t>
      </w:r>
    </w:p>
    <w:p w14:paraId="2812C13A" w14:textId="77777777" w:rsidR="00F16AED" w:rsidRDefault="00F16AED" w:rsidP="00F16AED">
      <w:pPr>
        <w:pStyle w:val="ListParagraph"/>
        <w:ind w:left="644"/>
        <w:rPr>
          <w:rFonts w:cs="Arial"/>
          <w:b/>
          <w:lang w:val="en-US"/>
        </w:rPr>
      </w:pPr>
    </w:p>
    <w:p w14:paraId="43D755C9" w14:textId="77777777" w:rsidR="00844D4D" w:rsidRPr="00844D4D" w:rsidRDefault="00C5357D" w:rsidP="00844D4D">
      <w:pPr>
        <w:pStyle w:val="ListParagraph"/>
        <w:numPr>
          <w:ilvl w:val="1"/>
          <w:numId w:val="5"/>
        </w:numPr>
        <w:ind w:left="426" w:hanging="426"/>
        <w:rPr>
          <w:rFonts w:cs="Arial"/>
          <w:b/>
          <w:lang w:val="en-US"/>
        </w:rPr>
      </w:pPr>
      <w:r>
        <w:rPr>
          <w:rFonts w:cs="Arial"/>
          <w:lang w:val="en-US"/>
        </w:rPr>
        <w:t xml:space="preserve">Discussion </w:t>
      </w:r>
      <w:r w:rsidR="000834A5">
        <w:rPr>
          <w:rFonts w:cs="Arial"/>
          <w:lang w:val="en-US"/>
        </w:rPr>
        <w:t>on what works and doesn’t work i</w:t>
      </w:r>
      <w:r>
        <w:rPr>
          <w:rFonts w:cs="Arial"/>
          <w:lang w:val="en-US"/>
        </w:rPr>
        <w:t xml:space="preserve">n </w:t>
      </w:r>
      <w:r w:rsidR="00937342">
        <w:rPr>
          <w:rFonts w:cs="Arial"/>
          <w:lang w:val="en-US"/>
        </w:rPr>
        <w:t xml:space="preserve">addressing closing space issues led by ICNL. Presentations from Belgium, </w:t>
      </w:r>
      <w:r w:rsidR="004D7124">
        <w:rPr>
          <w:rFonts w:cs="Arial"/>
          <w:lang w:val="en-US"/>
        </w:rPr>
        <w:t>Denmark, Irish Ethiopian Embassy, and Carnegie. Key points:</w:t>
      </w:r>
    </w:p>
    <w:p w14:paraId="0155F6A7" w14:textId="77777777" w:rsidR="00844D4D" w:rsidRPr="00844D4D" w:rsidRDefault="00844D4D" w:rsidP="00844D4D">
      <w:pPr>
        <w:pStyle w:val="ListParagraph"/>
        <w:ind w:left="426"/>
        <w:rPr>
          <w:rFonts w:cs="Arial"/>
          <w:b/>
          <w:lang w:val="en-US"/>
        </w:rPr>
      </w:pPr>
    </w:p>
    <w:p w14:paraId="5787A0E6" w14:textId="49B40727" w:rsidR="00A66E01" w:rsidRDefault="00844D4D" w:rsidP="00D20CE4">
      <w:pPr>
        <w:pStyle w:val="ListParagraph"/>
        <w:numPr>
          <w:ilvl w:val="1"/>
          <w:numId w:val="5"/>
        </w:numPr>
        <w:ind w:left="426" w:hanging="426"/>
        <w:rPr>
          <w:rFonts w:cs="Arial"/>
          <w:lang w:val="en-US"/>
        </w:rPr>
      </w:pPr>
      <w:r w:rsidRPr="00844D4D">
        <w:rPr>
          <w:rFonts w:cs="Arial"/>
          <w:lang w:val="en-US"/>
        </w:rPr>
        <w:t>I</w:t>
      </w:r>
      <w:r w:rsidR="00D20CE4" w:rsidRPr="00844D4D">
        <w:rPr>
          <w:rFonts w:cs="Arial"/>
          <w:lang w:val="en-US"/>
        </w:rPr>
        <w:t xml:space="preserve">nformation sharing </w:t>
      </w:r>
      <w:r>
        <w:rPr>
          <w:rFonts w:cs="Arial"/>
          <w:lang w:val="en-US"/>
        </w:rPr>
        <w:t>is a key factor as most CSOs will refuse to give over a lot of information</w:t>
      </w:r>
      <w:r w:rsidR="00265C35">
        <w:rPr>
          <w:rFonts w:cs="Arial"/>
          <w:lang w:val="en-US"/>
        </w:rPr>
        <w:t>, making it difficult to track the situation</w:t>
      </w:r>
      <w:r>
        <w:rPr>
          <w:rFonts w:cs="Arial"/>
          <w:lang w:val="en-US"/>
        </w:rPr>
        <w:t>. In the case of Israel-Palestine, Belgian NGOs asked the government not to publish details on local partners and financing to avoid traceability</w:t>
      </w:r>
      <w:r w:rsidR="00DD51CA">
        <w:rPr>
          <w:rFonts w:cs="Arial"/>
          <w:lang w:val="en-US"/>
        </w:rPr>
        <w:t xml:space="preserve"> and accusations of terrorist links. CSO financing </w:t>
      </w:r>
      <w:r w:rsidR="007416FD">
        <w:rPr>
          <w:rFonts w:cs="Arial"/>
          <w:lang w:val="en-US"/>
        </w:rPr>
        <w:t xml:space="preserve">was </w:t>
      </w:r>
      <w:r w:rsidR="00DD51CA">
        <w:rPr>
          <w:rFonts w:cs="Arial"/>
          <w:lang w:val="en-US"/>
        </w:rPr>
        <w:t>developed through a joint strategic framework and context analysis. Structured dialogue and advocacy was a key element with the Belgian government providing informal support and facilitation of</w:t>
      </w:r>
      <w:r w:rsidR="007416FD">
        <w:rPr>
          <w:rFonts w:cs="Arial"/>
          <w:lang w:val="en-US"/>
        </w:rPr>
        <w:t xml:space="preserve"> meetings that were not publicis</w:t>
      </w:r>
      <w:r w:rsidR="00DD51CA">
        <w:rPr>
          <w:rFonts w:cs="Arial"/>
          <w:lang w:val="en-US"/>
        </w:rPr>
        <w:t>ed.</w:t>
      </w:r>
      <w:r w:rsidR="00FA65E2">
        <w:rPr>
          <w:rFonts w:cs="Arial"/>
          <w:lang w:val="en-US"/>
        </w:rPr>
        <w:t xml:space="preserve"> </w:t>
      </w:r>
    </w:p>
    <w:p w14:paraId="09348F12" w14:textId="77777777" w:rsidR="00A66E01" w:rsidRPr="00A66E01" w:rsidRDefault="00A66E01" w:rsidP="00A66E01">
      <w:pPr>
        <w:pStyle w:val="ListParagraph"/>
        <w:rPr>
          <w:rFonts w:cs="Arial"/>
          <w:lang w:val="en-US"/>
        </w:rPr>
      </w:pPr>
    </w:p>
    <w:p w14:paraId="27132FBB" w14:textId="77777777" w:rsidR="007416FD" w:rsidRDefault="00FA65E2" w:rsidP="00150503">
      <w:pPr>
        <w:pStyle w:val="ListParagraph"/>
        <w:numPr>
          <w:ilvl w:val="1"/>
          <w:numId w:val="5"/>
        </w:numPr>
        <w:ind w:left="426" w:hanging="426"/>
        <w:rPr>
          <w:rFonts w:cs="Arial"/>
          <w:lang w:val="en-US"/>
        </w:rPr>
      </w:pPr>
      <w:r>
        <w:rPr>
          <w:rFonts w:cs="Arial"/>
          <w:lang w:val="en-US"/>
        </w:rPr>
        <w:t>The group discussed multiplatform databases and methods for information</w:t>
      </w:r>
      <w:r w:rsidR="00A66E01">
        <w:rPr>
          <w:rFonts w:cs="Arial"/>
          <w:lang w:val="en-US"/>
        </w:rPr>
        <w:t xml:space="preserve"> sharing </w:t>
      </w:r>
      <w:r>
        <w:rPr>
          <w:rFonts w:cs="Arial"/>
          <w:lang w:val="en-US"/>
        </w:rPr>
        <w:t xml:space="preserve">and </w:t>
      </w:r>
      <w:r w:rsidR="00A66E01">
        <w:rPr>
          <w:rFonts w:cs="Arial"/>
          <w:lang w:val="en-US"/>
        </w:rPr>
        <w:t>under-</w:t>
      </w:r>
      <w:r>
        <w:rPr>
          <w:rFonts w:cs="Arial"/>
          <w:lang w:val="en-US"/>
        </w:rPr>
        <w:t xml:space="preserve">the </w:t>
      </w:r>
      <w:r w:rsidR="00A66E01">
        <w:rPr>
          <w:rFonts w:cs="Arial"/>
          <w:lang w:val="en-US"/>
        </w:rPr>
        <w:t>-</w:t>
      </w:r>
      <w:r>
        <w:rPr>
          <w:rFonts w:cs="Arial"/>
          <w:lang w:val="en-US"/>
        </w:rPr>
        <w:t xml:space="preserve">radar </w:t>
      </w:r>
      <w:r w:rsidR="00A66E01">
        <w:rPr>
          <w:rFonts w:cs="Arial"/>
          <w:lang w:val="en-US"/>
        </w:rPr>
        <w:t>funding and support. Noted that making sure information filters down to the right level was important e.g. ICNL s</w:t>
      </w:r>
      <w:r w:rsidR="00150503">
        <w:rPr>
          <w:rFonts w:cs="Arial"/>
          <w:lang w:val="en-US"/>
        </w:rPr>
        <w:t xml:space="preserve">hares </w:t>
      </w:r>
      <w:r w:rsidR="00A66E01">
        <w:rPr>
          <w:rFonts w:cs="Arial"/>
          <w:lang w:val="en-US"/>
        </w:rPr>
        <w:t xml:space="preserve">information with Danish embassies </w:t>
      </w:r>
      <w:r w:rsidR="00265C35">
        <w:rPr>
          <w:rFonts w:cs="Arial"/>
          <w:lang w:val="en-US"/>
        </w:rPr>
        <w:t xml:space="preserve">but unsure </w:t>
      </w:r>
      <w:r w:rsidR="00A66E01">
        <w:rPr>
          <w:rFonts w:cs="Arial"/>
          <w:lang w:val="en-US"/>
        </w:rPr>
        <w:t>how this worked across donor</w:t>
      </w:r>
      <w:r w:rsidR="00B66160">
        <w:rPr>
          <w:rFonts w:cs="Arial"/>
          <w:lang w:val="en-US"/>
        </w:rPr>
        <w:t>s</w:t>
      </w:r>
      <w:r w:rsidR="00A66E01">
        <w:rPr>
          <w:rFonts w:cs="Arial"/>
          <w:lang w:val="en-US"/>
        </w:rPr>
        <w:t>.</w:t>
      </w:r>
    </w:p>
    <w:p w14:paraId="261AD03C" w14:textId="77777777" w:rsidR="007416FD" w:rsidRPr="007416FD" w:rsidRDefault="007416FD" w:rsidP="007416FD">
      <w:pPr>
        <w:pStyle w:val="ListParagraph"/>
        <w:rPr>
          <w:rFonts w:cs="Arial"/>
          <w:lang w:val="en-US"/>
        </w:rPr>
      </w:pPr>
    </w:p>
    <w:p w14:paraId="75BA38F7" w14:textId="09EEBE9C" w:rsidR="00B66160" w:rsidRPr="00150503" w:rsidRDefault="00B66160" w:rsidP="00150503">
      <w:pPr>
        <w:pStyle w:val="ListParagraph"/>
        <w:numPr>
          <w:ilvl w:val="1"/>
          <w:numId w:val="5"/>
        </w:numPr>
        <w:ind w:left="426" w:hanging="426"/>
        <w:rPr>
          <w:rFonts w:cs="Arial"/>
          <w:lang w:val="en-US"/>
        </w:rPr>
      </w:pPr>
      <w:r>
        <w:rPr>
          <w:rFonts w:cs="Arial"/>
          <w:lang w:val="en-US"/>
        </w:rPr>
        <w:t>Suggestion that diff</w:t>
      </w:r>
      <w:r w:rsidR="00265C35">
        <w:rPr>
          <w:rFonts w:cs="Arial"/>
          <w:lang w:val="en-US"/>
        </w:rPr>
        <w:t xml:space="preserve">erent actors get different bits </w:t>
      </w:r>
      <w:r>
        <w:rPr>
          <w:rFonts w:cs="Arial"/>
          <w:lang w:val="en-US"/>
        </w:rPr>
        <w:t>of information and a central repository to report and monitor the full picture, triggering a fram</w:t>
      </w:r>
      <w:r w:rsidR="00265C35">
        <w:rPr>
          <w:rFonts w:cs="Arial"/>
          <w:lang w:val="en-US"/>
        </w:rPr>
        <w:t xml:space="preserve">ework of action, </w:t>
      </w:r>
      <w:r>
        <w:rPr>
          <w:rFonts w:cs="Arial"/>
          <w:lang w:val="en-US"/>
        </w:rPr>
        <w:t>could be a way forward.</w:t>
      </w:r>
      <w:r w:rsidR="00A66E01">
        <w:rPr>
          <w:rFonts w:cs="Arial"/>
          <w:lang w:val="en-US"/>
        </w:rPr>
        <w:t xml:space="preserve"> </w:t>
      </w:r>
      <w:r w:rsidR="00265C35">
        <w:rPr>
          <w:rFonts w:cs="Arial"/>
          <w:lang w:val="en-US"/>
        </w:rPr>
        <w:t xml:space="preserve">Highlighted that </w:t>
      </w:r>
      <w:r w:rsidR="00265C35">
        <w:rPr>
          <w:rFonts w:cs="Arial"/>
        </w:rPr>
        <w:t>a</w:t>
      </w:r>
      <w:r w:rsidR="00265C35" w:rsidRPr="000A4FC6">
        <w:rPr>
          <w:rFonts w:cs="Arial"/>
        </w:rPr>
        <w:t>ctors have platforms and are sharing in</w:t>
      </w:r>
      <w:r w:rsidR="00265C35">
        <w:rPr>
          <w:rFonts w:cs="Arial"/>
        </w:rPr>
        <w:t xml:space="preserve">fo already, but this is </w:t>
      </w:r>
      <w:r w:rsidR="00265C35" w:rsidRPr="000A4FC6">
        <w:rPr>
          <w:rFonts w:cs="Arial"/>
        </w:rPr>
        <w:t xml:space="preserve">not necessarily </w:t>
      </w:r>
      <w:r w:rsidR="00265C35">
        <w:rPr>
          <w:rFonts w:cs="Arial"/>
        </w:rPr>
        <w:t xml:space="preserve">happening on the donor side – suggested this could be explored further. </w:t>
      </w:r>
      <w:r w:rsidR="00265C35">
        <w:rPr>
          <w:rFonts w:cs="Arial"/>
          <w:lang w:val="en-US"/>
        </w:rPr>
        <w:t xml:space="preserve">Noted there is already a lot of information out there, but the </w:t>
      </w:r>
      <w:r w:rsidR="00150503">
        <w:rPr>
          <w:rFonts w:cs="Arial"/>
          <w:lang w:val="en-US"/>
        </w:rPr>
        <w:t xml:space="preserve">challenge is to </w:t>
      </w:r>
      <w:r w:rsidR="00265C35">
        <w:rPr>
          <w:rFonts w:cs="Arial"/>
          <w:lang w:val="en-US"/>
        </w:rPr>
        <w:t xml:space="preserve">digest and use information in a meaningful way i.e. to use as lessons </w:t>
      </w:r>
      <w:r w:rsidR="00150503">
        <w:rPr>
          <w:rFonts w:cs="Arial"/>
          <w:lang w:val="en-US"/>
        </w:rPr>
        <w:t>f</w:t>
      </w:r>
      <w:r w:rsidR="00265C35">
        <w:rPr>
          <w:rFonts w:cs="Arial"/>
          <w:lang w:val="en-US"/>
        </w:rPr>
        <w:t>or success and challenges and agree best practice approaches.</w:t>
      </w:r>
    </w:p>
    <w:p w14:paraId="201EF2F3" w14:textId="77777777" w:rsidR="00265C35" w:rsidRPr="00265C35" w:rsidRDefault="00265C35" w:rsidP="00265C35">
      <w:pPr>
        <w:pStyle w:val="ListParagraph"/>
        <w:rPr>
          <w:rFonts w:cs="Arial"/>
          <w:lang w:val="en-US"/>
        </w:rPr>
      </w:pPr>
    </w:p>
    <w:p w14:paraId="121055DA" w14:textId="769008BC" w:rsidR="00150503" w:rsidRPr="00150503" w:rsidRDefault="00150503" w:rsidP="00150503">
      <w:pPr>
        <w:pStyle w:val="ListParagraph"/>
        <w:numPr>
          <w:ilvl w:val="1"/>
          <w:numId w:val="5"/>
        </w:numPr>
        <w:ind w:left="426" w:hanging="426"/>
        <w:rPr>
          <w:rFonts w:cs="Arial"/>
          <w:lang w:val="en-US"/>
        </w:rPr>
      </w:pPr>
      <w:r>
        <w:rPr>
          <w:rFonts w:cs="Arial"/>
          <w:lang w:val="en-US"/>
        </w:rPr>
        <w:lastRenderedPageBreak/>
        <w:t>Queried the monitoring of shrinking versus changing space e.g. AI is changing civic space. Donors need to be aware of what this means, how it changes the context and be aware of the opportunities to defend or grow civic space.</w:t>
      </w:r>
    </w:p>
    <w:p w14:paraId="17BA57A7" w14:textId="77777777" w:rsidR="00150503" w:rsidRPr="00150503" w:rsidRDefault="00150503" w:rsidP="00150503">
      <w:pPr>
        <w:pStyle w:val="ListParagraph"/>
        <w:rPr>
          <w:rFonts w:cs="Arial"/>
          <w:lang w:val="en-US"/>
        </w:rPr>
      </w:pPr>
    </w:p>
    <w:p w14:paraId="0A561D5B" w14:textId="77777777" w:rsidR="004137B6" w:rsidRDefault="00A66E01" w:rsidP="004137B6">
      <w:pPr>
        <w:pStyle w:val="ListParagraph"/>
        <w:numPr>
          <w:ilvl w:val="1"/>
          <w:numId w:val="5"/>
        </w:numPr>
        <w:ind w:left="426" w:hanging="426"/>
        <w:rPr>
          <w:rFonts w:cs="Arial"/>
          <w:lang w:val="en-US"/>
        </w:rPr>
      </w:pPr>
      <w:r>
        <w:rPr>
          <w:rFonts w:cs="Arial"/>
          <w:lang w:val="en-US"/>
        </w:rPr>
        <w:t>Considered coordinated action</w:t>
      </w:r>
      <w:r w:rsidR="00A47592">
        <w:rPr>
          <w:rFonts w:cs="Arial"/>
          <w:lang w:val="en-US"/>
        </w:rPr>
        <w:t xml:space="preserve"> e.g. joint dialogue with partner countries</w:t>
      </w:r>
      <w:r>
        <w:rPr>
          <w:rFonts w:cs="Arial"/>
          <w:lang w:val="en-US"/>
        </w:rPr>
        <w:t xml:space="preserve"> is the best approach where NGOs are being denied registration e.g. </w:t>
      </w:r>
      <w:r w:rsidR="00265C35">
        <w:rPr>
          <w:rFonts w:cs="Arial"/>
          <w:lang w:val="en-US"/>
        </w:rPr>
        <w:t xml:space="preserve">in </w:t>
      </w:r>
      <w:r>
        <w:rPr>
          <w:rFonts w:cs="Arial"/>
          <w:lang w:val="en-US"/>
        </w:rPr>
        <w:t xml:space="preserve">Pakistan. </w:t>
      </w:r>
      <w:r w:rsidR="00A47592">
        <w:rPr>
          <w:rFonts w:cs="Arial"/>
          <w:lang w:val="en-US"/>
        </w:rPr>
        <w:t xml:space="preserve">Noted coordination was currently too ad hoc and not proactive at a country or international level. </w:t>
      </w:r>
    </w:p>
    <w:p w14:paraId="24B0F018" w14:textId="77777777" w:rsidR="004137B6" w:rsidRPr="004137B6" w:rsidRDefault="004137B6" w:rsidP="004137B6">
      <w:pPr>
        <w:pStyle w:val="ListParagraph"/>
        <w:rPr>
          <w:rFonts w:cs="Arial"/>
          <w:lang w:val="en-US"/>
        </w:rPr>
      </w:pPr>
    </w:p>
    <w:p w14:paraId="52904B2E" w14:textId="0F35796F" w:rsidR="00265C35" w:rsidRDefault="00A47592" w:rsidP="00646B92">
      <w:pPr>
        <w:pStyle w:val="ListParagraph"/>
        <w:numPr>
          <w:ilvl w:val="1"/>
          <w:numId w:val="5"/>
        </w:numPr>
        <w:ind w:left="426" w:hanging="426"/>
        <w:rPr>
          <w:rFonts w:cs="Arial"/>
          <w:lang w:val="en-US"/>
        </w:rPr>
      </w:pPr>
      <w:r w:rsidRPr="004137B6">
        <w:rPr>
          <w:rFonts w:cs="Arial"/>
          <w:lang w:val="en-US"/>
        </w:rPr>
        <w:t xml:space="preserve">Noted </w:t>
      </w:r>
      <w:r w:rsidR="00265C35" w:rsidRPr="004137B6">
        <w:rPr>
          <w:rFonts w:cs="Arial"/>
          <w:lang w:val="en-US"/>
        </w:rPr>
        <w:t xml:space="preserve">that </w:t>
      </w:r>
      <w:r w:rsidRPr="004137B6">
        <w:rPr>
          <w:rFonts w:cs="Arial"/>
          <w:lang w:val="en-US"/>
        </w:rPr>
        <w:t xml:space="preserve">in joint European programming that CSO roadmaps have allowed donors to bring in own national NGOs into the network quickly. </w:t>
      </w:r>
      <w:r w:rsidR="00B66160" w:rsidRPr="004137B6">
        <w:rPr>
          <w:rFonts w:cs="Arial"/>
          <w:lang w:val="en-US"/>
        </w:rPr>
        <w:t>Queried whether roadmaps could be used more effectively including outside of EU members.</w:t>
      </w:r>
      <w:r w:rsidR="004137B6" w:rsidRPr="004137B6">
        <w:rPr>
          <w:rFonts w:cs="Arial"/>
          <w:lang w:val="en-US"/>
        </w:rPr>
        <w:t xml:space="preserve"> </w:t>
      </w:r>
    </w:p>
    <w:p w14:paraId="118053A5" w14:textId="54510658" w:rsidR="004137B6" w:rsidRPr="004137B6" w:rsidRDefault="004137B6" w:rsidP="004137B6">
      <w:pPr>
        <w:rPr>
          <w:rFonts w:cs="Arial"/>
          <w:lang w:val="en-US"/>
        </w:rPr>
      </w:pPr>
    </w:p>
    <w:p w14:paraId="42AC8576" w14:textId="11A71C0B" w:rsidR="00FA65E2" w:rsidRPr="00265C35" w:rsidRDefault="00265C35" w:rsidP="00D20CE4">
      <w:pPr>
        <w:pStyle w:val="ListParagraph"/>
        <w:numPr>
          <w:ilvl w:val="1"/>
          <w:numId w:val="5"/>
        </w:numPr>
        <w:ind w:left="426" w:hanging="426"/>
        <w:rPr>
          <w:rFonts w:cs="Arial"/>
          <w:lang w:val="en-US"/>
        </w:rPr>
      </w:pPr>
      <w:r>
        <w:rPr>
          <w:rFonts w:cs="Arial"/>
          <w:lang w:val="en-US"/>
        </w:rPr>
        <w:t xml:space="preserve">Highlighted it can </w:t>
      </w:r>
      <w:r w:rsidR="00150503">
        <w:rPr>
          <w:rFonts w:cs="Arial"/>
          <w:lang w:val="en-US"/>
        </w:rPr>
        <w:t xml:space="preserve">also </w:t>
      </w:r>
      <w:r>
        <w:rPr>
          <w:rFonts w:cs="Arial"/>
          <w:lang w:val="en-US"/>
        </w:rPr>
        <w:t>be difficult</w:t>
      </w:r>
      <w:r w:rsidR="007416FD">
        <w:rPr>
          <w:rFonts w:cs="Arial"/>
          <w:lang w:val="en-US"/>
        </w:rPr>
        <w:t xml:space="preserve"> to even have people internally,</w:t>
      </w:r>
      <w:r>
        <w:rPr>
          <w:rFonts w:cs="Arial"/>
          <w:lang w:val="en-US"/>
        </w:rPr>
        <w:t xml:space="preserve"> within donors, acknowledge and engage in closing civic space issues as </w:t>
      </w:r>
      <w:r w:rsidR="00150503">
        <w:rPr>
          <w:rFonts w:cs="Arial"/>
          <w:lang w:val="en-US"/>
        </w:rPr>
        <w:t xml:space="preserve">this </w:t>
      </w:r>
      <w:proofErr w:type="gramStart"/>
      <w:r w:rsidR="00150503">
        <w:rPr>
          <w:rFonts w:cs="Arial"/>
          <w:lang w:val="en-US"/>
        </w:rPr>
        <w:t xml:space="preserve">is </w:t>
      </w:r>
      <w:r>
        <w:rPr>
          <w:rFonts w:cs="Arial"/>
          <w:lang w:val="en-US"/>
        </w:rPr>
        <w:t>seen as</w:t>
      </w:r>
      <w:proofErr w:type="gramEnd"/>
      <w:r>
        <w:rPr>
          <w:rFonts w:cs="Arial"/>
          <w:lang w:val="en-US"/>
        </w:rPr>
        <w:t xml:space="preserve"> something outside of policy – it’s therefore an ongoing challenge to convince others it is important.</w:t>
      </w:r>
    </w:p>
    <w:p w14:paraId="728A4A1A" w14:textId="77777777" w:rsidR="00FA65E2" w:rsidRPr="000A4FC6" w:rsidRDefault="00FA65E2" w:rsidP="00D20CE4">
      <w:pPr>
        <w:rPr>
          <w:rFonts w:cs="Arial"/>
        </w:rPr>
      </w:pPr>
    </w:p>
    <w:p w14:paraId="73825E40" w14:textId="629609D7" w:rsidR="00D20CE4" w:rsidRPr="001A228A" w:rsidRDefault="001A228A" w:rsidP="007D7168">
      <w:pPr>
        <w:pStyle w:val="ListParagraph"/>
        <w:numPr>
          <w:ilvl w:val="0"/>
          <w:numId w:val="5"/>
        </w:numPr>
        <w:ind w:left="426" w:hanging="426"/>
        <w:rPr>
          <w:rFonts w:cs="Arial"/>
          <w:b/>
          <w:u w:val="single"/>
        </w:rPr>
      </w:pPr>
      <w:r w:rsidRPr="001A228A">
        <w:rPr>
          <w:rFonts w:cs="Arial"/>
          <w:b/>
          <w:lang w:val="en-US"/>
        </w:rPr>
        <w:t>Study on civil society effectiveness &amp; update on Community of Practice</w:t>
      </w:r>
    </w:p>
    <w:p w14:paraId="1E59939D" w14:textId="77777777" w:rsidR="001A228A" w:rsidRPr="001A228A" w:rsidRDefault="001A228A" w:rsidP="007D7168">
      <w:pPr>
        <w:pStyle w:val="ListParagraph"/>
        <w:ind w:left="567" w:hanging="567"/>
        <w:rPr>
          <w:rFonts w:cs="Arial"/>
          <w:u w:val="single"/>
        </w:rPr>
      </w:pPr>
    </w:p>
    <w:p w14:paraId="516A5988" w14:textId="52EB8865" w:rsidR="00211E5B" w:rsidRDefault="001A228A" w:rsidP="007D7168">
      <w:pPr>
        <w:pStyle w:val="ListParagraph"/>
        <w:numPr>
          <w:ilvl w:val="1"/>
          <w:numId w:val="5"/>
        </w:numPr>
        <w:ind w:left="426" w:hanging="426"/>
        <w:rPr>
          <w:rFonts w:cs="Arial"/>
        </w:rPr>
      </w:pPr>
      <w:r>
        <w:rPr>
          <w:rFonts w:cs="Arial"/>
        </w:rPr>
        <w:t>Restated the need for a Community of Practice</w:t>
      </w:r>
      <w:r w:rsidR="001D4F6D">
        <w:rPr>
          <w:rFonts w:cs="Arial"/>
        </w:rPr>
        <w:t>, given the significance of civil society as a development actor</w:t>
      </w:r>
      <w:r w:rsidR="00FF24EE">
        <w:rPr>
          <w:rFonts w:cs="Arial"/>
        </w:rPr>
        <w:t>, and IDG members making up 94% of funding to CSOs</w:t>
      </w:r>
      <w:r w:rsidR="001D4F6D">
        <w:rPr>
          <w:rFonts w:cs="Arial"/>
        </w:rPr>
        <w:t xml:space="preserve">. The first DAC study in </w:t>
      </w:r>
      <w:r w:rsidR="00D20CE4" w:rsidRPr="001A228A">
        <w:rPr>
          <w:rFonts w:cs="Arial"/>
        </w:rPr>
        <w:t>2010-2011</w:t>
      </w:r>
      <w:r w:rsidR="001D4F6D">
        <w:rPr>
          <w:rFonts w:cs="Arial"/>
        </w:rPr>
        <w:t xml:space="preserve"> was</w:t>
      </w:r>
      <w:r w:rsidR="00D20CE4" w:rsidRPr="001A228A">
        <w:rPr>
          <w:rFonts w:cs="Arial"/>
        </w:rPr>
        <w:t xml:space="preserve"> developed </w:t>
      </w:r>
      <w:r w:rsidR="001D4F6D">
        <w:rPr>
          <w:rFonts w:cs="Arial"/>
        </w:rPr>
        <w:t>into</w:t>
      </w:r>
      <w:r w:rsidR="00D20CE4" w:rsidRPr="001A228A">
        <w:rPr>
          <w:rFonts w:cs="Arial"/>
        </w:rPr>
        <w:t xml:space="preserve"> 12 lessons from DAC study. </w:t>
      </w:r>
      <w:r w:rsidR="001D4F6D">
        <w:rPr>
          <w:rFonts w:cs="Arial"/>
        </w:rPr>
        <w:t xml:space="preserve">Preliminary results from the 2018 study </w:t>
      </w:r>
      <w:r w:rsidR="00CD0CC2">
        <w:rPr>
          <w:rFonts w:cs="Arial"/>
        </w:rPr>
        <w:t>indicate as donors we are still working through CSOs to deliver development results we have designed, rather than aligning to CSOs plans; dialogue quality varies; a variety of other priorities e.g. trade, security, funding modalities a</w:t>
      </w:r>
      <w:r w:rsidR="005706E9">
        <w:rPr>
          <w:rFonts w:cs="Arial"/>
        </w:rPr>
        <w:t>re not specifically tied to enabling environment.</w:t>
      </w:r>
      <w:r w:rsidR="00211E5B">
        <w:rPr>
          <w:rFonts w:cs="Arial"/>
        </w:rPr>
        <w:t xml:space="preserve"> The study will form research (survey, literature review, interviews with DAC members) and will be developed into guidance. Noted some grey areas in the survey, but that OECD will be looking further into discrepancies and ambiguities to ensure understand richness and nuances of the study.</w:t>
      </w:r>
    </w:p>
    <w:p w14:paraId="7CE220EB" w14:textId="0EFC968C" w:rsidR="00211E5B" w:rsidRPr="00211E5B" w:rsidRDefault="00211E5B" w:rsidP="007D7168">
      <w:pPr>
        <w:pStyle w:val="ListParagraph"/>
        <w:ind w:left="426" w:hanging="426"/>
        <w:rPr>
          <w:rFonts w:cs="Arial"/>
        </w:rPr>
      </w:pPr>
    </w:p>
    <w:p w14:paraId="7BF2F7CE" w14:textId="7C2BFF82" w:rsidR="00D20CE4" w:rsidRDefault="00211E5B" w:rsidP="007D7168">
      <w:pPr>
        <w:pStyle w:val="ListParagraph"/>
        <w:numPr>
          <w:ilvl w:val="1"/>
          <w:numId w:val="5"/>
        </w:numPr>
        <w:ind w:left="426" w:hanging="426"/>
        <w:rPr>
          <w:rFonts w:cs="Arial"/>
        </w:rPr>
      </w:pPr>
      <w:r>
        <w:rPr>
          <w:rFonts w:cs="Arial"/>
        </w:rPr>
        <w:t xml:space="preserve">The group discussed other points of interest around the survey and support </w:t>
      </w:r>
      <w:r w:rsidR="007416FD">
        <w:rPr>
          <w:rFonts w:cs="Arial"/>
        </w:rPr>
        <w:t xml:space="preserve">for </w:t>
      </w:r>
      <w:r>
        <w:rPr>
          <w:rFonts w:cs="Arial"/>
        </w:rPr>
        <w:t xml:space="preserve">civil society, including: only </w:t>
      </w:r>
      <w:r w:rsidR="00D20CE4" w:rsidRPr="00211E5B">
        <w:rPr>
          <w:rFonts w:cs="Arial"/>
        </w:rPr>
        <w:t xml:space="preserve">25% </w:t>
      </w:r>
      <w:r>
        <w:rPr>
          <w:rFonts w:cs="Arial"/>
        </w:rPr>
        <w:t xml:space="preserve">of survey respondents </w:t>
      </w:r>
      <w:r w:rsidR="00D20CE4" w:rsidRPr="00211E5B">
        <w:rPr>
          <w:rFonts w:cs="Arial"/>
        </w:rPr>
        <w:t>understand how they are contributing t</w:t>
      </w:r>
      <w:r>
        <w:rPr>
          <w:rFonts w:cs="Arial"/>
        </w:rPr>
        <w:t>o shrinking space, and</w:t>
      </w:r>
      <w:r w:rsidR="00D20CE4" w:rsidRPr="00211E5B">
        <w:rPr>
          <w:rFonts w:cs="Arial"/>
        </w:rPr>
        <w:t xml:space="preserve"> 12% do not seek to support CSOs in count</w:t>
      </w:r>
      <w:r>
        <w:rPr>
          <w:rFonts w:cs="Arial"/>
        </w:rPr>
        <w:t>ry; funding to own country CSOs need</w:t>
      </w:r>
      <w:r w:rsidR="007416FD">
        <w:rPr>
          <w:rFonts w:cs="Arial"/>
        </w:rPr>
        <w:t>s</w:t>
      </w:r>
      <w:r>
        <w:rPr>
          <w:rFonts w:cs="Arial"/>
        </w:rPr>
        <w:t xml:space="preserve"> to be focused on strengthening civil society rather than in-country delivery; donors treat CSOs as more risky than private sector; </w:t>
      </w:r>
      <w:r w:rsidR="007D7168">
        <w:rPr>
          <w:rFonts w:cs="Arial"/>
        </w:rPr>
        <w:t xml:space="preserve">the potential for something more enforceable than guidelines; </w:t>
      </w:r>
      <w:r w:rsidR="007416FD">
        <w:rPr>
          <w:rFonts w:cs="Arial"/>
        </w:rPr>
        <w:t xml:space="preserve">potential </w:t>
      </w:r>
      <w:r w:rsidR="007D7168">
        <w:rPr>
          <w:rFonts w:cs="Arial"/>
        </w:rPr>
        <w:t>to engage partner country CSOs as part of these conversations; pooled donor funding and core support is generally low, and the potential to align to CSOs more through adaptive programming.</w:t>
      </w:r>
    </w:p>
    <w:p w14:paraId="52527082" w14:textId="77777777" w:rsidR="00211E5B" w:rsidRDefault="00211E5B" w:rsidP="007D7168">
      <w:pPr>
        <w:pStyle w:val="ListParagraph"/>
        <w:ind w:left="426" w:hanging="426"/>
        <w:rPr>
          <w:rFonts w:cs="Arial"/>
        </w:rPr>
      </w:pPr>
    </w:p>
    <w:p w14:paraId="18D0B673" w14:textId="44E86089" w:rsidR="00211E5B" w:rsidRDefault="007D7168" w:rsidP="007D7168">
      <w:pPr>
        <w:pStyle w:val="ListParagraph"/>
        <w:numPr>
          <w:ilvl w:val="1"/>
          <w:numId w:val="5"/>
        </w:numPr>
        <w:ind w:left="426" w:hanging="426"/>
        <w:rPr>
          <w:rFonts w:cs="Arial"/>
        </w:rPr>
      </w:pPr>
      <w:r>
        <w:rPr>
          <w:rFonts w:cs="Arial"/>
        </w:rPr>
        <w:t xml:space="preserve">Confirmed the outcome of the study is likely to be recommendations rather than soft guidance as this </w:t>
      </w:r>
      <w:r w:rsidR="007416FD">
        <w:rPr>
          <w:rFonts w:cs="Arial"/>
        </w:rPr>
        <w:t>holds</w:t>
      </w:r>
      <w:r>
        <w:rPr>
          <w:rFonts w:cs="Arial"/>
        </w:rPr>
        <w:t xml:space="preserve"> more political weight. Noted that the Community has research capacity, and could help with commitments. </w:t>
      </w:r>
      <w:r w:rsidR="00211E5B" w:rsidRPr="00211E5B">
        <w:rPr>
          <w:rFonts w:cs="Arial"/>
        </w:rPr>
        <w:t xml:space="preserve">Discussed the role of Govnet, which is focused on governments and institutional strengthening, whereas the Community will be looking at civil society specifically. </w:t>
      </w:r>
      <w:r>
        <w:rPr>
          <w:rFonts w:cs="Arial"/>
        </w:rPr>
        <w:t>Confirmed the next IDG/Community of Practice/TT meeting will be in Paris week of 3 June 2019.</w:t>
      </w:r>
    </w:p>
    <w:p w14:paraId="2CD553CC" w14:textId="3CC37B2A" w:rsidR="007D7168" w:rsidRPr="000A4FC6" w:rsidRDefault="007D7168" w:rsidP="00D20CE4">
      <w:pPr>
        <w:rPr>
          <w:rFonts w:cs="Arial"/>
        </w:rPr>
      </w:pPr>
    </w:p>
    <w:p w14:paraId="7B796071" w14:textId="3F2DAB79" w:rsidR="00D20CE4" w:rsidRPr="0059141F" w:rsidRDefault="00D20CE4" w:rsidP="00234619">
      <w:pPr>
        <w:pStyle w:val="ListParagraph"/>
        <w:numPr>
          <w:ilvl w:val="0"/>
          <w:numId w:val="5"/>
        </w:numPr>
        <w:ind w:left="567" w:hanging="567"/>
        <w:rPr>
          <w:rFonts w:cs="Arial"/>
          <w:b/>
        </w:rPr>
      </w:pPr>
      <w:r w:rsidRPr="0059141F">
        <w:rPr>
          <w:rFonts w:cs="Arial"/>
          <w:b/>
        </w:rPr>
        <w:lastRenderedPageBreak/>
        <w:t>Closing Space – wher</w:t>
      </w:r>
      <w:r w:rsidR="005466C0" w:rsidRPr="0059141F">
        <w:rPr>
          <w:rFonts w:cs="Arial"/>
          <w:b/>
        </w:rPr>
        <w:t>e should we collectively engage and options for coordination</w:t>
      </w:r>
    </w:p>
    <w:p w14:paraId="56181806" w14:textId="77777777" w:rsidR="005466C0" w:rsidRDefault="005466C0" w:rsidP="005466C0">
      <w:pPr>
        <w:pStyle w:val="ListParagraph"/>
        <w:ind w:left="644"/>
        <w:rPr>
          <w:rFonts w:cs="Arial"/>
        </w:rPr>
      </w:pPr>
    </w:p>
    <w:p w14:paraId="5A7CB539" w14:textId="6EDBA63E" w:rsidR="005466C0" w:rsidRDefault="005466C0" w:rsidP="00234619">
      <w:pPr>
        <w:pStyle w:val="ListParagraph"/>
        <w:numPr>
          <w:ilvl w:val="1"/>
          <w:numId w:val="5"/>
        </w:numPr>
        <w:ind w:left="567" w:hanging="567"/>
        <w:rPr>
          <w:rFonts w:cs="Arial"/>
        </w:rPr>
      </w:pPr>
      <w:r>
        <w:rPr>
          <w:rFonts w:cs="Arial"/>
        </w:rPr>
        <w:t>Break-out sessions and discussion on ideas for collective engagement and action. Key themes:</w:t>
      </w:r>
    </w:p>
    <w:p w14:paraId="680BC940" w14:textId="77777777" w:rsidR="005466C0" w:rsidRDefault="005466C0" w:rsidP="00234619">
      <w:pPr>
        <w:pStyle w:val="ListParagraph"/>
        <w:numPr>
          <w:ilvl w:val="0"/>
          <w:numId w:val="33"/>
        </w:numPr>
        <w:spacing w:after="160" w:line="256" w:lineRule="auto"/>
        <w:ind w:left="851" w:hanging="284"/>
      </w:pPr>
      <w:r>
        <w:t>Knowledge sharing platform / database – trends &amp; best practice</w:t>
      </w:r>
    </w:p>
    <w:p w14:paraId="52EC755D" w14:textId="77777777" w:rsidR="005466C0" w:rsidRDefault="005466C0" w:rsidP="00234619">
      <w:pPr>
        <w:pStyle w:val="ListParagraph"/>
        <w:numPr>
          <w:ilvl w:val="0"/>
          <w:numId w:val="33"/>
        </w:numPr>
        <w:spacing w:after="160" w:line="256" w:lineRule="auto"/>
        <w:ind w:left="851" w:hanging="284"/>
      </w:pPr>
      <w:r>
        <w:t>EU roadmaps – explore with EEAS</w:t>
      </w:r>
    </w:p>
    <w:p w14:paraId="7D55ED25" w14:textId="77777777" w:rsidR="005466C0" w:rsidRDefault="005466C0" w:rsidP="00234619">
      <w:pPr>
        <w:pStyle w:val="ListParagraph"/>
        <w:numPr>
          <w:ilvl w:val="0"/>
          <w:numId w:val="33"/>
        </w:numPr>
        <w:spacing w:after="160" w:line="256" w:lineRule="auto"/>
        <w:ind w:left="851" w:hanging="284"/>
      </w:pPr>
      <w:r>
        <w:t>Joint review/study/mapping on closing space themes and funding partners (Thomas)</w:t>
      </w:r>
    </w:p>
    <w:p w14:paraId="63B2B713" w14:textId="77777777" w:rsidR="005466C0" w:rsidRDefault="005466C0" w:rsidP="00234619">
      <w:pPr>
        <w:pStyle w:val="ListParagraph"/>
        <w:numPr>
          <w:ilvl w:val="0"/>
          <w:numId w:val="33"/>
        </w:numPr>
        <w:spacing w:after="160" w:line="256" w:lineRule="auto"/>
        <w:ind w:left="851" w:hanging="284"/>
      </w:pPr>
      <w:r>
        <w:t>Future IDG discussions:</w:t>
      </w:r>
    </w:p>
    <w:p w14:paraId="38A84CFA" w14:textId="77777777" w:rsidR="005466C0" w:rsidRDefault="005466C0" w:rsidP="00234619">
      <w:pPr>
        <w:pStyle w:val="ListParagraph"/>
        <w:numPr>
          <w:ilvl w:val="1"/>
          <w:numId w:val="33"/>
        </w:numPr>
        <w:spacing w:after="160" w:line="256" w:lineRule="auto"/>
        <w:ind w:left="1276" w:hanging="425"/>
      </w:pPr>
      <w:r>
        <w:t>Informal civil society support – share existing case studies</w:t>
      </w:r>
    </w:p>
    <w:p w14:paraId="7EE6BF50" w14:textId="77777777" w:rsidR="005466C0" w:rsidRDefault="005466C0" w:rsidP="00234619">
      <w:pPr>
        <w:pStyle w:val="ListParagraph"/>
        <w:numPr>
          <w:ilvl w:val="1"/>
          <w:numId w:val="33"/>
        </w:numPr>
        <w:spacing w:after="160" w:line="256" w:lineRule="auto"/>
        <w:ind w:left="1276" w:hanging="425"/>
      </w:pPr>
      <w:r>
        <w:t>Mapping core support &amp; localization agenda</w:t>
      </w:r>
    </w:p>
    <w:p w14:paraId="7D5B9406" w14:textId="77777777" w:rsidR="005466C0" w:rsidRDefault="005466C0" w:rsidP="00234619">
      <w:pPr>
        <w:pStyle w:val="ListParagraph"/>
        <w:numPr>
          <w:ilvl w:val="1"/>
          <w:numId w:val="33"/>
        </w:numPr>
        <w:spacing w:after="160" w:line="256" w:lineRule="auto"/>
        <w:ind w:left="1276" w:hanging="425"/>
      </w:pPr>
      <w:r>
        <w:t>Adaptive aid modalities</w:t>
      </w:r>
    </w:p>
    <w:p w14:paraId="15148D69" w14:textId="3838EE11" w:rsidR="005466C0" w:rsidRDefault="005466C0" w:rsidP="00234619">
      <w:pPr>
        <w:pStyle w:val="ListParagraph"/>
        <w:numPr>
          <w:ilvl w:val="0"/>
          <w:numId w:val="33"/>
        </w:numPr>
        <w:spacing w:after="160" w:line="256" w:lineRule="auto"/>
        <w:ind w:left="851" w:hanging="284"/>
      </w:pPr>
      <w:r>
        <w:t xml:space="preserve">International Consortium for Closing Space – </w:t>
      </w:r>
      <w:r w:rsidR="0059141F">
        <w:t>explore what it is and if we should be linked in</w:t>
      </w:r>
    </w:p>
    <w:p w14:paraId="1891272D" w14:textId="2110531E" w:rsidR="005466C0" w:rsidRDefault="005466C0" w:rsidP="00234619">
      <w:pPr>
        <w:pStyle w:val="ListParagraph"/>
        <w:numPr>
          <w:ilvl w:val="0"/>
          <w:numId w:val="33"/>
        </w:numPr>
        <w:spacing w:after="160" w:line="256" w:lineRule="auto"/>
        <w:ind w:left="851" w:hanging="284"/>
      </w:pPr>
      <w:r>
        <w:t>Study on digital governance &amp; literacy – links with Devco call for proposals</w:t>
      </w:r>
      <w:r w:rsidR="004137B6">
        <w:rPr>
          <w:rStyle w:val="FootnoteReference"/>
        </w:rPr>
        <w:footnoteReference w:id="1"/>
      </w:r>
      <w:r>
        <w:t xml:space="preserve"> / Reporters Without Borders</w:t>
      </w:r>
      <w:r w:rsidR="0059141F">
        <w:t xml:space="preserve"> (Pierre)</w:t>
      </w:r>
    </w:p>
    <w:p w14:paraId="7B859D38" w14:textId="41D3EB4E" w:rsidR="005466C0" w:rsidRDefault="005466C0" w:rsidP="00234619">
      <w:pPr>
        <w:pStyle w:val="ListParagraph"/>
        <w:numPr>
          <w:ilvl w:val="0"/>
          <w:numId w:val="33"/>
        </w:numPr>
        <w:spacing w:after="160" w:line="256" w:lineRule="auto"/>
        <w:ind w:left="851" w:hanging="284"/>
      </w:pPr>
      <w:r>
        <w:t>High Level Forum (July 2019) – key messages on closing space – IDG or Task Team</w:t>
      </w:r>
    </w:p>
    <w:p w14:paraId="79F6F66F" w14:textId="77777777" w:rsidR="00234619" w:rsidRPr="00234619" w:rsidRDefault="00234619" w:rsidP="00234619">
      <w:pPr>
        <w:pStyle w:val="ListParagraph"/>
        <w:spacing w:after="160" w:line="256" w:lineRule="auto"/>
        <w:ind w:left="851"/>
      </w:pPr>
    </w:p>
    <w:p w14:paraId="430CAFF0" w14:textId="607E2FC2" w:rsidR="0059141F" w:rsidRDefault="00D20CE4" w:rsidP="0059141F">
      <w:pPr>
        <w:pStyle w:val="ListParagraph"/>
        <w:numPr>
          <w:ilvl w:val="0"/>
          <w:numId w:val="5"/>
        </w:numPr>
        <w:ind w:left="567" w:hanging="567"/>
        <w:rPr>
          <w:rFonts w:cs="Arial"/>
          <w:b/>
        </w:rPr>
      </w:pPr>
      <w:r w:rsidRPr="0059141F">
        <w:rPr>
          <w:rFonts w:cs="Arial"/>
          <w:b/>
        </w:rPr>
        <w:t>Adaptive managem</w:t>
      </w:r>
      <w:r w:rsidR="0059141F" w:rsidRPr="0059141F">
        <w:rPr>
          <w:rFonts w:cs="Arial"/>
          <w:b/>
        </w:rPr>
        <w:t>ent</w:t>
      </w:r>
    </w:p>
    <w:p w14:paraId="63FB1E2F" w14:textId="77777777" w:rsidR="0059141F" w:rsidRPr="0059141F" w:rsidRDefault="0059141F" w:rsidP="0059141F">
      <w:pPr>
        <w:pStyle w:val="ListParagraph"/>
        <w:ind w:left="567"/>
        <w:rPr>
          <w:rFonts w:cs="Arial"/>
          <w:b/>
        </w:rPr>
      </w:pPr>
    </w:p>
    <w:p w14:paraId="4FB62653" w14:textId="21CC4116" w:rsidR="00D20CE4" w:rsidRPr="0059141F" w:rsidRDefault="0059141F" w:rsidP="0059141F">
      <w:pPr>
        <w:pStyle w:val="ListParagraph"/>
        <w:numPr>
          <w:ilvl w:val="1"/>
          <w:numId w:val="5"/>
        </w:numPr>
        <w:ind w:left="567" w:hanging="567"/>
        <w:rPr>
          <w:rFonts w:cs="Arial"/>
        </w:rPr>
      </w:pPr>
      <w:r w:rsidRPr="0059141F">
        <w:rPr>
          <w:rFonts w:cs="Arial"/>
        </w:rPr>
        <w:t>Presentation from Sweden on adaptive management process. Highlighted that partners manage adaptations within an over</w:t>
      </w:r>
      <w:r>
        <w:rPr>
          <w:rFonts w:cs="Arial"/>
        </w:rPr>
        <w:t>arch</w:t>
      </w:r>
      <w:r w:rsidRPr="0059141F">
        <w:rPr>
          <w:rFonts w:cs="Arial"/>
        </w:rPr>
        <w:t>ing agreement – partners are trusted to adapt to achieve better results, with regular reporting to the donor. Group discussed the need f</w:t>
      </w:r>
      <w:r>
        <w:rPr>
          <w:rFonts w:cs="Arial"/>
        </w:rPr>
        <w:t>or more examples and time to di</w:t>
      </w:r>
      <w:r w:rsidRPr="0059141F">
        <w:rPr>
          <w:rFonts w:cs="Arial"/>
        </w:rPr>
        <w:t>scuss adaptive management at future meetings.</w:t>
      </w:r>
    </w:p>
    <w:p w14:paraId="1BD491C9" w14:textId="77777777" w:rsidR="0059141F" w:rsidRDefault="0059141F" w:rsidP="0059141F">
      <w:pPr>
        <w:pStyle w:val="ListParagraph"/>
        <w:ind w:left="1080"/>
        <w:rPr>
          <w:rFonts w:cs="Arial"/>
        </w:rPr>
      </w:pPr>
    </w:p>
    <w:p w14:paraId="235470A2" w14:textId="1165183C" w:rsidR="0059141F" w:rsidRDefault="0059141F" w:rsidP="0059141F">
      <w:pPr>
        <w:pStyle w:val="ListParagraph"/>
        <w:numPr>
          <w:ilvl w:val="0"/>
          <w:numId w:val="5"/>
        </w:numPr>
        <w:ind w:left="567" w:hanging="567"/>
        <w:rPr>
          <w:rFonts w:cs="Arial"/>
          <w:b/>
        </w:rPr>
      </w:pPr>
      <w:r w:rsidRPr="0059141F">
        <w:rPr>
          <w:rFonts w:cs="Arial"/>
          <w:b/>
        </w:rPr>
        <w:t>Task Team update</w:t>
      </w:r>
    </w:p>
    <w:p w14:paraId="6E5F7E53" w14:textId="77777777" w:rsidR="0059141F" w:rsidRPr="0059141F" w:rsidRDefault="0059141F" w:rsidP="0059141F">
      <w:pPr>
        <w:pStyle w:val="ListParagraph"/>
        <w:ind w:left="567"/>
        <w:rPr>
          <w:rFonts w:cs="Arial"/>
          <w:b/>
        </w:rPr>
      </w:pPr>
    </w:p>
    <w:p w14:paraId="5CF652D1" w14:textId="75E64C17" w:rsidR="00234619" w:rsidRDefault="007416FD" w:rsidP="0059141F">
      <w:pPr>
        <w:pStyle w:val="ListParagraph"/>
        <w:numPr>
          <w:ilvl w:val="1"/>
          <w:numId w:val="5"/>
        </w:numPr>
        <w:ind w:left="567" w:hanging="567"/>
        <w:rPr>
          <w:rFonts w:cs="Arial"/>
        </w:rPr>
      </w:pPr>
      <w:r>
        <w:rPr>
          <w:rFonts w:cs="Arial"/>
        </w:rPr>
        <w:t>Han</w:t>
      </w:r>
      <w:r w:rsidR="00234619">
        <w:rPr>
          <w:rFonts w:cs="Arial"/>
        </w:rPr>
        <w:t>s</w:t>
      </w:r>
      <w:r w:rsidR="0059141F">
        <w:rPr>
          <w:rFonts w:cs="Arial"/>
        </w:rPr>
        <w:t xml:space="preserve"> provided an update on the Task Team. </w:t>
      </w:r>
      <w:r w:rsidR="00234619">
        <w:rPr>
          <w:rFonts w:cs="Arial"/>
        </w:rPr>
        <w:t>This is the ten-</w:t>
      </w:r>
      <w:r w:rsidR="0059141F">
        <w:rPr>
          <w:rFonts w:cs="Arial"/>
        </w:rPr>
        <w:t>year anniversary of the T</w:t>
      </w:r>
      <w:r>
        <w:rPr>
          <w:rFonts w:cs="Arial"/>
        </w:rPr>
        <w:t xml:space="preserve">ask </w:t>
      </w:r>
      <w:r w:rsidR="0059141F">
        <w:rPr>
          <w:rFonts w:cs="Arial"/>
        </w:rPr>
        <w:t>T</w:t>
      </w:r>
      <w:r>
        <w:rPr>
          <w:rFonts w:cs="Arial"/>
        </w:rPr>
        <w:t>eam</w:t>
      </w:r>
      <w:r w:rsidR="0059141F">
        <w:rPr>
          <w:rFonts w:cs="Arial"/>
        </w:rPr>
        <w:t xml:space="preserve"> – reflecting if it is still achieving </w:t>
      </w:r>
      <w:r w:rsidR="00234619">
        <w:rPr>
          <w:rFonts w:cs="Arial"/>
        </w:rPr>
        <w:t>what it set out to do ten</w:t>
      </w:r>
      <w:r w:rsidR="0059141F">
        <w:rPr>
          <w:rFonts w:cs="Arial"/>
        </w:rPr>
        <w:t xml:space="preserve"> years ago. T</w:t>
      </w:r>
      <w:r>
        <w:rPr>
          <w:rFonts w:cs="Arial"/>
        </w:rPr>
        <w:t xml:space="preserve">ask </w:t>
      </w:r>
      <w:r w:rsidR="0059141F">
        <w:rPr>
          <w:rFonts w:cs="Arial"/>
        </w:rPr>
        <w:t>T</w:t>
      </w:r>
      <w:r>
        <w:rPr>
          <w:rFonts w:cs="Arial"/>
        </w:rPr>
        <w:t>eam</w:t>
      </w:r>
      <w:r w:rsidR="0059141F">
        <w:rPr>
          <w:rFonts w:cs="Arial"/>
        </w:rPr>
        <w:t xml:space="preserve"> has overarching strategy, principles, and is now focusing on results. </w:t>
      </w:r>
      <w:r w:rsidR="00D20CE4" w:rsidRPr="0059141F">
        <w:rPr>
          <w:rFonts w:cs="Arial"/>
        </w:rPr>
        <w:t>Agenda for next 2 years; a) country level workshops on international commitments and best practices; b) 10</w:t>
      </w:r>
      <w:r w:rsidR="00D20CE4" w:rsidRPr="0059141F">
        <w:rPr>
          <w:rFonts w:cs="Arial"/>
          <w:vertAlign w:val="superscript"/>
        </w:rPr>
        <w:t>th</w:t>
      </w:r>
      <w:r w:rsidR="00D20CE4" w:rsidRPr="0059141F">
        <w:rPr>
          <w:rFonts w:cs="Arial"/>
        </w:rPr>
        <w:t xml:space="preserve"> anniversary event on enabling environment and development of effectiveness and </w:t>
      </w:r>
      <w:r w:rsidR="00234619">
        <w:rPr>
          <w:rFonts w:cs="Arial"/>
        </w:rPr>
        <w:t>Community of Practice</w:t>
      </w:r>
      <w:r w:rsidR="00D20CE4" w:rsidRPr="0059141F">
        <w:rPr>
          <w:rFonts w:cs="Arial"/>
        </w:rPr>
        <w:t xml:space="preserve"> launch – 1</w:t>
      </w:r>
      <w:r w:rsidR="00D20CE4" w:rsidRPr="0059141F">
        <w:rPr>
          <w:rFonts w:cs="Arial"/>
          <w:vertAlign w:val="superscript"/>
        </w:rPr>
        <w:t>st</w:t>
      </w:r>
      <w:r w:rsidR="00D20CE4" w:rsidRPr="0059141F">
        <w:rPr>
          <w:rFonts w:cs="Arial"/>
        </w:rPr>
        <w:t xml:space="preserve"> week of June 2019; c) HLF in July 2019 in New York – senior level global partnership meeting around same time at DG level. </w:t>
      </w:r>
    </w:p>
    <w:p w14:paraId="0FD5A2E0" w14:textId="77777777" w:rsidR="00234619" w:rsidRDefault="00234619" w:rsidP="00234619">
      <w:pPr>
        <w:pStyle w:val="ListParagraph"/>
        <w:ind w:left="567"/>
        <w:rPr>
          <w:rFonts w:cs="Arial"/>
        </w:rPr>
      </w:pPr>
    </w:p>
    <w:p w14:paraId="62010F2B" w14:textId="672422D9" w:rsidR="004137B6" w:rsidRDefault="0059141F" w:rsidP="004137B6">
      <w:pPr>
        <w:pStyle w:val="ListParagraph"/>
        <w:numPr>
          <w:ilvl w:val="1"/>
          <w:numId w:val="5"/>
        </w:numPr>
        <w:ind w:left="567" w:hanging="567"/>
        <w:rPr>
          <w:rFonts w:cs="Arial"/>
        </w:rPr>
      </w:pPr>
      <w:r>
        <w:rPr>
          <w:rFonts w:cs="Arial"/>
        </w:rPr>
        <w:t>Noted Ireland are the new co-chairs, and g</w:t>
      </w:r>
      <w:r w:rsidR="00D20CE4" w:rsidRPr="0059141F">
        <w:rPr>
          <w:rFonts w:cs="Arial"/>
        </w:rPr>
        <w:t>uidance on enabling environment and development effective</w:t>
      </w:r>
      <w:r>
        <w:rPr>
          <w:rFonts w:cs="Arial"/>
        </w:rPr>
        <w:t>ness</w:t>
      </w:r>
      <w:r w:rsidR="00D20CE4" w:rsidRPr="0059141F">
        <w:rPr>
          <w:rFonts w:cs="Arial"/>
        </w:rPr>
        <w:t xml:space="preserve"> will soon be available – sharing best practice from around the world. </w:t>
      </w:r>
    </w:p>
    <w:p w14:paraId="3E33A2F7" w14:textId="77777777" w:rsidR="004137B6" w:rsidRPr="004137B6" w:rsidRDefault="004137B6" w:rsidP="004137B6">
      <w:pPr>
        <w:pStyle w:val="ListParagraph"/>
        <w:rPr>
          <w:rFonts w:cs="Arial"/>
        </w:rPr>
      </w:pPr>
    </w:p>
    <w:p w14:paraId="7059C050" w14:textId="77777777" w:rsidR="004137B6" w:rsidRPr="004137B6" w:rsidRDefault="004137B6" w:rsidP="004137B6">
      <w:pPr>
        <w:rPr>
          <w:rFonts w:cs="Arial"/>
        </w:rPr>
      </w:pPr>
      <w:bookmarkStart w:id="0" w:name="_GoBack"/>
      <w:bookmarkEnd w:id="0"/>
    </w:p>
    <w:p w14:paraId="51179D0F" w14:textId="77777777" w:rsidR="00234619" w:rsidRDefault="00234619" w:rsidP="00234619">
      <w:pPr>
        <w:pStyle w:val="ListParagraph"/>
        <w:ind w:left="567" w:hanging="567"/>
        <w:rPr>
          <w:rFonts w:cs="Arial"/>
        </w:rPr>
      </w:pPr>
    </w:p>
    <w:p w14:paraId="6D7E708C" w14:textId="762FC633" w:rsidR="00D20CE4" w:rsidRDefault="00D20CE4" w:rsidP="00234619">
      <w:pPr>
        <w:pStyle w:val="ListParagraph"/>
        <w:numPr>
          <w:ilvl w:val="0"/>
          <w:numId w:val="5"/>
        </w:numPr>
        <w:ind w:left="567" w:hanging="567"/>
        <w:rPr>
          <w:rFonts w:cs="Arial"/>
          <w:b/>
        </w:rPr>
      </w:pPr>
      <w:r w:rsidRPr="00234619">
        <w:rPr>
          <w:rFonts w:cs="Arial"/>
          <w:b/>
        </w:rPr>
        <w:lastRenderedPageBreak/>
        <w:t>Feedback</w:t>
      </w:r>
      <w:r w:rsidR="0059141F" w:rsidRPr="00234619">
        <w:rPr>
          <w:rFonts w:cs="Arial"/>
          <w:b/>
        </w:rPr>
        <w:t xml:space="preserve"> and suggestions for next meeting</w:t>
      </w:r>
    </w:p>
    <w:p w14:paraId="21D39C2C" w14:textId="77777777" w:rsidR="00234619" w:rsidRPr="00234619" w:rsidRDefault="00234619" w:rsidP="00234619">
      <w:pPr>
        <w:pStyle w:val="ListParagraph"/>
        <w:ind w:left="567"/>
        <w:rPr>
          <w:rFonts w:cs="Arial"/>
          <w:b/>
        </w:rPr>
      </w:pPr>
    </w:p>
    <w:p w14:paraId="4A6D38BE" w14:textId="20E906DB" w:rsidR="0059141F" w:rsidRDefault="00234619" w:rsidP="0059141F">
      <w:pPr>
        <w:pStyle w:val="ListParagraph"/>
        <w:numPr>
          <w:ilvl w:val="1"/>
          <w:numId w:val="5"/>
        </w:numPr>
        <w:ind w:left="567" w:hanging="567"/>
        <w:rPr>
          <w:rFonts w:cs="Arial"/>
        </w:rPr>
      </w:pPr>
      <w:r>
        <w:rPr>
          <w:rFonts w:cs="Arial"/>
        </w:rPr>
        <w:t>The g</w:t>
      </w:r>
      <w:r w:rsidR="0059141F">
        <w:rPr>
          <w:rFonts w:cs="Arial"/>
        </w:rPr>
        <w:t xml:space="preserve">roup provided feedback on the different format </w:t>
      </w:r>
      <w:r>
        <w:rPr>
          <w:rFonts w:cs="Arial"/>
        </w:rPr>
        <w:t>used for this</w:t>
      </w:r>
      <w:r w:rsidR="0059141F">
        <w:rPr>
          <w:rFonts w:cs="Arial"/>
        </w:rPr>
        <w:t xml:space="preserve"> meeting and </w:t>
      </w:r>
      <w:r>
        <w:rPr>
          <w:rFonts w:cs="Arial"/>
        </w:rPr>
        <w:t xml:space="preserve">highlighted </w:t>
      </w:r>
      <w:r w:rsidR="0059141F">
        <w:rPr>
          <w:rFonts w:cs="Arial"/>
        </w:rPr>
        <w:t>suggestions for the next meeting in June:</w:t>
      </w:r>
    </w:p>
    <w:p w14:paraId="26B8C28C" w14:textId="77777777" w:rsidR="00234619" w:rsidRPr="00234619" w:rsidRDefault="00234619" w:rsidP="00234619">
      <w:pPr>
        <w:pStyle w:val="ListParagraph"/>
        <w:ind w:left="567"/>
        <w:rPr>
          <w:rFonts w:cs="Arial"/>
        </w:rPr>
      </w:pPr>
    </w:p>
    <w:p w14:paraId="26B0AF7C" w14:textId="6E12323B" w:rsidR="00D20CE4" w:rsidRPr="000A4FC6" w:rsidRDefault="0059141F" w:rsidP="00234619">
      <w:pPr>
        <w:pStyle w:val="ListParagraph"/>
        <w:numPr>
          <w:ilvl w:val="0"/>
          <w:numId w:val="31"/>
        </w:numPr>
        <w:tabs>
          <w:tab w:val="left" w:pos="851"/>
        </w:tabs>
        <w:spacing w:after="160" w:line="259" w:lineRule="auto"/>
        <w:ind w:left="851" w:hanging="284"/>
        <w:rPr>
          <w:rFonts w:cs="Arial"/>
        </w:rPr>
      </w:pPr>
      <w:r>
        <w:rPr>
          <w:rFonts w:cs="Arial"/>
        </w:rPr>
        <w:t>Wanted m</w:t>
      </w:r>
      <w:r w:rsidR="00D20CE4" w:rsidRPr="000A4FC6">
        <w:rPr>
          <w:rFonts w:cs="Arial"/>
        </w:rPr>
        <w:t>ore time for workshops/information sharing</w:t>
      </w:r>
    </w:p>
    <w:p w14:paraId="6348EF01" w14:textId="321E6151" w:rsidR="00D20CE4" w:rsidRPr="000A4FC6" w:rsidRDefault="00234619" w:rsidP="00234619">
      <w:pPr>
        <w:pStyle w:val="ListParagraph"/>
        <w:numPr>
          <w:ilvl w:val="0"/>
          <w:numId w:val="31"/>
        </w:numPr>
        <w:tabs>
          <w:tab w:val="left" w:pos="851"/>
        </w:tabs>
        <w:spacing w:after="160" w:line="259" w:lineRule="auto"/>
        <w:ind w:left="851" w:hanging="284"/>
        <w:rPr>
          <w:rFonts w:cs="Arial"/>
        </w:rPr>
      </w:pPr>
      <w:r>
        <w:rPr>
          <w:rFonts w:cs="Arial"/>
        </w:rPr>
        <w:t>Like written updates being shared before the meeting</w:t>
      </w:r>
    </w:p>
    <w:p w14:paraId="0005D3BB" w14:textId="3CDF2A7B" w:rsidR="00D20CE4" w:rsidRPr="000A4FC6" w:rsidRDefault="00234619" w:rsidP="00234619">
      <w:pPr>
        <w:pStyle w:val="ListParagraph"/>
        <w:numPr>
          <w:ilvl w:val="0"/>
          <w:numId w:val="31"/>
        </w:numPr>
        <w:tabs>
          <w:tab w:val="left" w:pos="851"/>
        </w:tabs>
        <w:spacing w:after="160" w:line="259" w:lineRule="auto"/>
        <w:ind w:left="851" w:hanging="284"/>
        <w:rPr>
          <w:rFonts w:cs="Arial"/>
        </w:rPr>
      </w:pPr>
      <w:r>
        <w:rPr>
          <w:rFonts w:cs="Arial"/>
        </w:rPr>
        <w:t>Mixed feelings on the potential to i</w:t>
      </w:r>
      <w:r w:rsidR="00D20CE4" w:rsidRPr="000A4FC6">
        <w:rPr>
          <w:rFonts w:cs="Arial"/>
        </w:rPr>
        <w:t>nvite local partners</w:t>
      </w:r>
      <w:r>
        <w:rPr>
          <w:rFonts w:cs="Arial"/>
        </w:rPr>
        <w:t xml:space="preserve"> – flagged the need to</w:t>
      </w:r>
      <w:r w:rsidR="00D20CE4" w:rsidRPr="000A4FC6">
        <w:rPr>
          <w:rFonts w:cs="Arial"/>
        </w:rPr>
        <w:t xml:space="preserve"> retain IDG </w:t>
      </w:r>
      <w:r>
        <w:rPr>
          <w:rFonts w:cs="Arial"/>
        </w:rPr>
        <w:t xml:space="preserve">as an </w:t>
      </w:r>
      <w:r w:rsidR="00D20CE4" w:rsidRPr="000A4FC6">
        <w:rPr>
          <w:rFonts w:cs="Arial"/>
        </w:rPr>
        <w:t>open forum</w:t>
      </w:r>
      <w:r>
        <w:rPr>
          <w:rFonts w:cs="Arial"/>
        </w:rPr>
        <w:t xml:space="preserve"> for like-minded donors</w:t>
      </w:r>
    </w:p>
    <w:p w14:paraId="73610B37" w14:textId="4A91282E" w:rsidR="00234619" w:rsidRDefault="00D20CE4" w:rsidP="00234619">
      <w:pPr>
        <w:pStyle w:val="ListParagraph"/>
        <w:numPr>
          <w:ilvl w:val="0"/>
          <w:numId w:val="31"/>
        </w:numPr>
        <w:tabs>
          <w:tab w:val="left" w:pos="851"/>
        </w:tabs>
        <w:spacing w:after="160" w:line="259" w:lineRule="auto"/>
        <w:ind w:left="851" w:hanging="284"/>
        <w:rPr>
          <w:rFonts w:cs="Arial"/>
        </w:rPr>
      </w:pPr>
      <w:r w:rsidRPr="000A4FC6">
        <w:rPr>
          <w:rFonts w:cs="Arial"/>
        </w:rPr>
        <w:t>Liked deep dive thematic focus</w:t>
      </w:r>
      <w:r w:rsidR="00234619">
        <w:rPr>
          <w:rFonts w:cs="Arial"/>
        </w:rPr>
        <w:t xml:space="preserve"> – more of this would be good</w:t>
      </w:r>
    </w:p>
    <w:p w14:paraId="3DBF4DE5" w14:textId="77777777" w:rsidR="00234619" w:rsidRPr="00234619" w:rsidRDefault="00234619" w:rsidP="00234619">
      <w:pPr>
        <w:pStyle w:val="ListParagraph"/>
        <w:tabs>
          <w:tab w:val="left" w:pos="851"/>
        </w:tabs>
        <w:spacing w:after="160" w:line="259" w:lineRule="auto"/>
        <w:ind w:left="851"/>
        <w:rPr>
          <w:rFonts w:cs="Arial"/>
        </w:rPr>
      </w:pPr>
    </w:p>
    <w:p w14:paraId="66ACF49D" w14:textId="190C372C" w:rsidR="00234619" w:rsidRDefault="00234619" w:rsidP="00234619">
      <w:pPr>
        <w:pStyle w:val="ListParagraph"/>
        <w:numPr>
          <w:ilvl w:val="1"/>
          <w:numId w:val="5"/>
        </w:numPr>
        <w:spacing w:after="160" w:line="256" w:lineRule="auto"/>
        <w:ind w:left="567" w:hanging="567"/>
        <w:rPr>
          <w:rFonts w:cs="Arial"/>
        </w:rPr>
      </w:pPr>
      <w:r w:rsidRPr="00234619">
        <w:rPr>
          <w:rFonts w:cs="Arial"/>
        </w:rPr>
        <w:t xml:space="preserve">As well as the closing space topics raised: </w:t>
      </w:r>
    </w:p>
    <w:p w14:paraId="04AD6350" w14:textId="77777777" w:rsidR="00234619" w:rsidRPr="00234619" w:rsidRDefault="00234619" w:rsidP="00234619">
      <w:pPr>
        <w:pStyle w:val="ListParagraph"/>
        <w:spacing w:after="160" w:line="256" w:lineRule="auto"/>
        <w:ind w:left="567"/>
        <w:rPr>
          <w:rFonts w:cs="Arial"/>
        </w:rPr>
      </w:pPr>
    </w:p>
    <w:p w14:paraId="388C0BED" w14:textId="1DA82FB9" w:rsidR="00234619" w:rsidRDefault="00234619" w:rsidP="00234619">
      <w:pPr>
        <w:pStyle w:val="ListParagraph"/>
        <w:numPr>
          <w:ilvl w:val="0"/>
          <w:numId w:val="38"/>
        </w:numPr>
        <w:spacing w:after="160" w:line="256" w:lineRule="auto"/>
        <w:ind w:left="851" w:hanging="284"/>
      </w:pPr>
      <w:r>
        <w:t xml:space="preserve">informal civil society support; </w:t>
      </w:r>
    </w:p>
    <w:p w14:paraId="2734456A" w14:textId="17F3900D" w:rsidR="00234619" w:rsidRDefault="00234619" w:rsidP="00234619">
      <w:pPr>
        <w:pStyle w:val="ListParagraph"/>
        <w:numPr>
          <w:ilvl w:val="0"/>
          <w:numId w:val="38"/>
        </w:numPr>
        <w:spacing w:after="160" w:line="256" w:lineRule="auto"/>
        <w:ind w:left="851" w:hanging="284"/>
      </w:pPr>
      <w:r>
        <w:t>mapping core support and localisation agenda;</w:t>
      </w:r>
    </w:p>
    <w:p w14:paraId="30536B93" w14:textId="5FF88F04" w:rsidR="00234619" w:rsidRDefault="00234619" w:rsidP="00234619">
      <w:pPr>
        <w:pStyle w:val="ListParagraph"/>
        <w:numPr>
          <w:ilvl w:val="0"/>
          <w:numId w:val="38"/>
        </w:numPr>
        <w:spacing w:after="160" w:line="256" w:lineRule="auto"/>
        <w:ind w:left="851" w:hanging="284"/>
      </w:pPr>
      <w:r>
        <w:t>adaptive aid modalities;</w:t>
      </w:r>
    </w:p>
    <w:p w14:paraId="5A5945CD" w14:textId="68CC4F90" w:rsidR="00234619" w:rsidRDefault="00234619" w:rsidP="00234619">
      <w:pPr>
        <w:spacing w:after="160" w:line="256" w:lineRule="auto"/>
        <w:ind w:firstLine="567"/>
      </w:pPr>
      <w:r>
        <w:t>The group was also keen to discuss:</w:t>
      </w:r>
    </w:p>
    <w:p w14:paraId="2DA67CCC" w14:textId="77777777" w:rsidR="00234619" w:rsidRDefault="00234619" w:rsidP="00234619">
      <w:pPr>
        <w:pStyle w:val="ListParagraph"/>
        <w:numPr>
          <w:ilvl w:val="0"/>
          <w:numId w:val="37"/>
        </w:numPr>
        <w:spacing w:after="160" w:line="252" w:lineRule="auto"/>
        <w:ind w:left="851" w:hanging="284"/>
        <w:rPr>
          <w:lang w:val="en-US"/>
        </w:rPr>
      </w:pPr>
      <w:r w:rsidRPr="00234619">
        <w:rPr>
          <w:lang w:val="en-US"/>
        </w:rPr>
        <w:t>Adaptive management case studies</w:t>
      </w:r>
    </w:p>
    <w:p w14:paraId="272EE6EE" w14:textId="4CBDEFD4" w:rsidR="00234619" w:rsidRPr="00234619" w:rsidRDefault="00234619" w:rsidP="00234619">
      <w:pPr>
        <w:pStyle w:val="ListParagraph"/>
        <w:numPr>
          <w:ilvl w:val="0"/>
          <w:numId w:val="37"/>
        </w:numPr>
        <w:spacing w:after="160" w:line="252" w:lineRule="auto"/>
        <w:ind w:left="851" w:hanging="284"/>
        <w:rPr>
          <w:lang w:val="en-US"/>
        </w:rPr>
      </w:pPr>
      <w:r w:rsidRPr="00234619">
        <w:rPr>
          <w:lang w:val="en-US"/>
        </w:rPr>
        <w:t>Cost recovery (Ben &amp; Thomas)</w:t>
      </w:r>
    </w:p>
    <w:p w14:paraId="16E67056" w14:textId="54B50DA0" w:rsidR="00D20CE4" w:rsidRDefault="00234619" w:rsidP="00234619">
      <w:pPr>
        <w:jc w:val="both"/>
        <w:rPr>
          <w:rFonts w:cs="Arial"/>
        </w:rPr>
      </w:pPr>
      <w:r w:rsidRPr="00234619">
        <w:rPr>
          <w:rFonts w:cs="Arial"/>
          <w:b/>
          <w:u w:val="single"/>
        </w:rPr>
        <w:t>Next meeting date and location</w:t>
      </w:r>
      <w:r>
        <w:rPr>
          <w:rFonts w:cs="Arial"/>
        </w:rPr>
        <w:t>: 3 June, Paris</w:t>
      </w:r>
    </w:p>
    <w:p w14:paraId="40D894FB" w14:textId="4FD84390" w:rsidR="004137B6" w:rsidRDefault="004137B6" w:rsidP="00234619">
      <w:pPr>
        <w:jc w:val="both"/>
        <w:rPr>
          <w:rFonts w:cs="Arial"/>
        </w:rPr>
      </w:pPr>
    </w:p>
    <w:p w14:paraId="36A4D81C" w14:textId="6D037A1E" w:rsidR="004137B6" w:rsidRDefault="004137B6" w:rsidP="00234619">
      <w:pPr>
        <w:jc w:val="both"/>
        <w:rPr>
          <w:rFonts w:cs="Arial"/>
        </w:rPr>
      </w:pPr>
    </w:p>
    <w:sectPr w:rsidR="004137B6" w:rsidSect="005758C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99F6A" w14:textId="77777777" w:rsidR="00395E1E" w:rsidRDefault="00395E1E" w:rsidP="00D74D6C">
      <w:r>
        <w:separator/>
      </w:r>
    </w:p>
  </w:endnote>
  <w:endnote w:type="continuationSeparator" w:id="0">
    <w:p w14:paraId="51D67597" w14:textId="77777777" w:rsidR="00395E1E" w:rsidRDefault="00395E1E" w:rsidP="00D7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69A93" w14:textId="77777777" w:rsidR="00395E1E" w:rsidRDefault="00395E1E" w:rsidP="00D74D6C">
      <w:r>
        <w:separator/>
      </w:r>
    </w:p>
  </w:footnote>
  <w:footnote w:type="continuationSeparator" w:id="0">
    <w:p w14:paraId="7AB8E8A0" w14:textId="77777777" w:rsidR="00395E1E" w:rsidRDefault="00395E1E" w:rsidP="00D74D6C">
      <w:r>
        <w:continuationSeparator/>
      </w:r>
    </w:p>
  </w:footnote>
  <w:footnote w:id="1">
    <w:p w14:paraId="16FDE9BB" w14:textId="6798BAE6" w:rsidR="004137B6" w:rsidRPr="004137B6" w:rsidRDefault="004137B6" w:rsidP="004137B6">
      <w:pPr>
        <w:rPr>
          <w:rFonts w:cs="Arial"/>
          <w:sz w:val="18"/>
          <w:szCs w:val="18"/>
          <w:lang w:val="en-US"/>
        </w:rPr>
      </w:pPr>
      <w:r w:rsidRPr="004137B6">
        <w:rPr>
          <w:rStyle w:val="FootnoteReference"/>
          <w:sz w:val="18"/>
          <w:szCs w:val="18"/>
        </w:rPr>
        <w:footnoteRef/>
      </w:r>
      <w:r w:rsidRPr="004137B6">
        <w:rPr>
          <w:sz w:val="18"/>
          <w:szCs w:val="18"/>
        </w:rPr>
        <w:t xml:space="preserve"> </w:t>
      </w:r>
      <w:r>
        <w:rPr>
          <w:rFonts w:cs="Arial"/>
          <w:sz w:val="18"/>
          <w:szCs w:val="18"/>
          <w:lang w:val="en-US"/>
        </w:rPr>
        <w:t>Link to t</w:t>
      </w:r>
      <w:r w:rsidRPr="004137B6">
        <w:rPr>
          <w:rFonts w:cs="Arial"/>
          <w:sz w:val="18"/>
          <w:szCs w:val="18"/>
          <w:lang w:val="en-US"/>
        </w:rPr>
        <w:t xml:space="preserve">he call for proposals </w:t>
      </w:r>
      <w:r w:rsidRPr="004137B6">
        <w:rPr>
          <w:rFonts w:cs="Arial"/>
          <w:sz w:val="18"/>
          <w:szCs w:val="18"/>
        </w:rPr>
        <w:t xml:space="preserve">under the European Instrument for Democracy and Human Rights that covers the role of new technologies in promoting civic activism: </w:t>
      </w:r>
      <w:hyperlink r:id="rId1" w:history="1">
        <w:r w:rsidRPr="004137B6">
          <w:rPr>
            <w:rStyle w:val="Hyperlink"/>
            <w:rFonts w:cs="Arial"/>
            <w:sz w:val="18"/>
            <w:szCs w:val="18"/>
          </w:rPr>
          <w:t>http</w:t>
        </w:r>
        <w:r w:rsidRPr="004137B6">
          <w:rPr>
            <w:rStyle w:val="Hyperlink"/>
            <w:rFonts w:cs="Arial"/>
            <w:sz w:val="18"/>
            <w:szCs w:val="18"/>
          </w:rPr>
          <w:t>s</w:t>
        </w:r>
        <w:r w:rsidRPr="004137B6">
          <w:rPr>
            <w:rStyle w:val="Hyperlink"/>
            <w:rFonts w:cs="Arial"/>
            <w:sz w:val="18"/>
            <w:szCs w:val="18"/>
          </w:rPr>
          <w:t>://ec.europa.eu/europeaid/sites/devco/files/eidhr-maap-annex-3-global-calls_en.pdf</w:t>
        </w:r>
      </w:hyperlink>
    </w:p>
    <w:p w14:paraId="0A5179BF" w14:textId="24224A04" w:rsidR="004137B6" w:rsidRDefault="004137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F1A31" w14:textId="77777777" w:rsidR="007E7751" w:rsidRPr="00D74D6C" w:rsidRDefault="007E7751" w:rsidP="00D74D6C">
    <w:pPr>
      <w:rPr>
        <w:rFonts w:asciiTheme="minorHAnsi" w:hAnsiTheme="minorHAnsi" w:cstheme="minorHAnsi"/>
        <w:b/>
        <w:sz w:val="28"/>
        <w:szCs w:val="28"/>
      </w:rPr>
    </w:pPr>
    <w:r w:rsidRPr="00D74D6C">
      <w:rPr>
        <w:rFonts w:asciiTheme="minorHAnsi" w:hAnsiTheme="minorHAnsi" w:cstheme="minorHAnsi"/>
        <w:b/>
        <w:sz w:val="28"/>
        <w:szCs w:val="28"/>
      </w:rPr>
      <w:t>In</w:t>
    </w:r>
    <w:r>
      <w:rPr>
        <w:rFonts w:asciiTheme="minorHAnsi" w:hAnsiTheme="minorHAnsi" w:cstheme="minorHAnsi"/>
        <w:b/>
        <w:sz w:val="28"/>
        <w:szCs w:val="28"/>
      </w:rPr>
      <w:t>ternational Donor Group Meeting</w:t>
    </w:r>
  </w:p>
  <w:p w14:paraId="167CBD0B" w14:textId="77777777" w:rsidR="007E7751" w:rsidRDefault="007E7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3B45"/>
    <w:multiLevelType w:val="hybridMultilevel"/>
    <w:tmpl w:val="3E7C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13CF1"/>
    <w:multiLevelType w:val="hybridMultilevel"/>
    <w:tmpl w:val="7478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E2263"/>
    <w:multiLevelType w:val="hybridMultilevel"/>
    <w:tmpl w:val="0DB2B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04926"/>
    <w:multiLevelType w:val="hybridMultilevel"/>
    <w:tmpl w:val="0EA4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E74C0"/>
    <w:multiLevelType w:val="hybridMultilevel"/>
    <w:tmpl w:val="7598E4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B76BB5"/>
    <w:multiLevelType w:val="hybridMultilevel"/>
    <w:tmpl w:val="BFBE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F4CAD"/>
    <w:multiLevelType w:val="multilevel"/>
    <w:tmpl w:val="F0AA734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D4F181C"/>
    <w:multiLevelType w:val="hybridMultilevel"/>
    <w:tmpl w:val="3192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B0B29"/>
    <w:multiLevelType w:val="hybridMultilevel"/>
    <w:tmpl w:val="85404F48"/>
    <w:lvl w:ilvl="0" w:tplc="3CC481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940C5"/>
    <w:multiLevelType w:val="hybridMultilevel"/>
    <w:tmpl w:val="0AE8D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036055"/>
    <w:multiLevelType w:val="hybridMultilevel"/>
    <w:tmpl w:val="53F2F20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3046174E"/>
    <w:multiLevelType w:val="hybridMultilevel"/>
    <w:tmpl w:val="EA80E4A2"/>
    <w:lvl w:ilvl="0" w:tplc="F55C6D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1D750B5"/>
    <w:multiLevelType w:val="hybridMultilevel"/>
    <w:tmpl w:val="E21C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246FB"/>
    <w:multiLevelType w:val="hybridMultilevel"/>
    <w:tmpl w:val="B2A86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507C49"/>
    <w:multiLevelType w:val="hybridMultilevel"/>
    <w:tmpl w:val="BE7A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2A74FD"/>
    <w:multiLevelType w:val="hybridMultilevel"/>
    <w:tmpl w:val="9488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F1B0B"/>
    <w:multiLevelType w:val="hybridMultilevel"/>
    <w:tmpl w:val="3702C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20E27"/>
    <w:multiLevelType w:val="hybridMultilevel"/>
    <w:tmpl w:val="5C92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F6303EC"/>
    <w:multiLevelType w:val="hybridMultilevel"/>
    <w:tmpl w:val="49AC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4C71BC"/>
    <w:multiLevelType w:val="hybridMultilevel"/>
    <w:tmpl w:val="02B4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113BC"/>
    <w:multiLevelType w:val="hybridMultilevel"/>
    <w:tmpl w:val="FBCC6894"/>
    <w:lvl w:ilvl="0" w:tplc="8214A0A2">
      <w:start w:val="2"/>
      <w:numFmt w:val="lowerLetter"/>
      <w:lvlText w:val="%1)"/>
      <w:lvlJc w:val="left"/>
      <w:pPr>
        <w:ind w:left="425" w:hanging="360"/>
      </w:pPr>
      <w:rPr>
        <w:rFonts w:ascii="Arial" w:hAnsi="Arial" w:cs="Arial" w:hint="default"/>
        <w:sz w:val="24"/>
      </w:rPr>
    </w:lvl>
    <w:lvl w:ilvl="1" w:tplc="08090019" w:tentative="1">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21" w15:restartNumberingAfterBreak="0">
    <w:nsid w:val="46474A0E"/>
    <w:multiLevelType w:val="hybridMultilevel"/>
    <w:tmpl w:val="5BA2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F2221B"/>
    <w:multiLevelType w:val="multilevel"/>
    <w:tmpl w:val="66B6B4FA"/>
    <w:lvl w:ilvl="0">
      <w:start w:val="1"/>
      <w:numFmt w:val="decimal"/>
      <w:lvlText w:val="%1."/>
      <w:lvlJc w:val="left"/>
      <w:pPr>
        <w:ind w:left="644" w:hanging="360"/>
      </w:pPr>
      <w:rPr>
        <w:rFonts w:hint="default"/>
        <w:sz w:val="24"/>
        <w:szCs w:val="24"/>
      </w:rPr>
    </w:lvl>
    <w:lvl w:ilvl="1">
      <w:start w:val="1"/>
      <w:numFmt w:val="decimal"/>
      <w:isLgl/>
      <w:lvlText w:val="%1.%2."/>
      <w:lvlJc w:val="left"/>
      <w:pPr>
        <w:ind w:left="1080" w:hanging="72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9265911"/>
    <w:multiLevelType w:val="hybridMultilevel"/>
    <w:tmpl w:val="AEE4C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AE4329B"/>
    <w:multiLevelType w:val="hybridMultilevel"/>
    <w:tmpl w:val="2E3C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0D0054"/>
    <w:multiLevelType w:val="multilevel"/>
    <w:tmpl w:val="AB60EF8E"/>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AC1B68"/>
    <w:multiLevelType w:val="hybridMultilevel"/>
    <w:tmpl w:val="12B2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DE440A"/>
    <w:multiLevelType w:val="hybridMultilevel"/>
    <w:tmpl w:val="C6F0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D759C"/>
    <w:multiLevelType w:val="hybridMultilevel"/>
    <w:tmpl w:val="68726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8B0F0F"/>
    <w:multiLevelType w:val="hybridMultilevel"/>
    <w:tmpl w:val="1794F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4054BC"/>
    <w:multiLevelType w:val="hybridMultilevel"/>
    <w:tmpl w:val="3F4CC382"/>
    <w:lvl w:ilvl="0" w:tplc="B37E5F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643BB"/>
    <w:multiLevelType w:val="hybridMultilevel"/>
    <w:tmpl w:val="2434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651939"/>
    <w:multiLevelType w:val="hybridMultilevel"/>
    <w:tmpl w:val="C85C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DF5FCC"/>
    <w:multiLevelType w:val="hybridMultilevel"/>
    <w:tmpl w:val="ABEA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E37397"/>
    <w:multiLevelType w:val="hybridMultilevel"/>
    <w:tmpl w:val="6C0A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E92EE6"/>
    <w:multiLevelType w:val="hybridMultilevel"/>
    <w:tmpl w:val="CEF412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4F7A23"/>
    <w:multiLevelType w:val="hybridMultilevel"/>
    <w:tmpl w:val="BE16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EE5970"/>
    <w:multiLevelType w:val="hybridMultilevel"/>
    <w:tmpl w:val="C554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13"/>
  </w:num>
  <w:num w:numId="4">
    <w:abstractNumId w:val="30"/>
  </w:num>
  <w:num w:numId="5">
    <w:abstractNumId w:val="22"/>
  </w:num>
  <w:num w:numId="6">
    <w:abstractNumId w:val="8"/>
  </w:num>
  <w:num w:numId="7">
    <w:abstractNumId w:val="3"/>
  </w:num>
  <w:num w:numId="8">
    <w:abstractNumId w:val="37"/>
  </w:num>
  <w:num w:numId="9">
    <w:abstractNumId w:val="21"/>
  </w:num>
  <w:num w:numId="10">
    <w:abstractNumId w:val="33"/>
  </w:num>
  <w:num w:numId="11">
    <w:abstractNumId w:val="26"/>
  </w:num>
  <w:num w:numId="12">
    <w:abstractNumId w:val="16"/>
  </w:num>
  <w:num w:numId="13">
    <w:abstractNumId w:val="24"/>
  </w:num>
  <w:num w:numId="14">
    <w:abstractNumId w:val="0"/>
  </w:num>
  <w:num w:numId="15">
    <w:abstractNumId w:val="11"/>
  </w:num>
  <w:num w:numId="16">
    <w:abstractNumId w:val="7"/>
  </w:num>
  <w:num w:numId="17">
    <w:abstractNumId w:val="14"/>
  </w:num>
  <w:num w:numId="18">
    <w:abstractNumId w:val="31"/>
  </w:num>
  <w:num w:numId="19">
    <w:abstractNumId w:val="36"/>
  </w:num>
  <w:num w:numId="20">
    <w:abstractNumId w:val="20"/>
  </w:num>
  <w:num w:numId="21">
    <w:abstractNumId w:val="10"/>
  </w:num>
  <w:num w:numId="22">
    <w:abstractNumId w:val="17"/>
  </w:num>
  <w:num w:numId="23">
    <w:abstractNumId w:val="27"/>
  </w:num>
  <w:num w:numId="24">
    <w:abstractNumId w:val="12"/>
  </w:num>
  <w:num w:numId="25">
    <w:abstractNumId w:val="25"/>
  </w:num>
  <w:num w:numId="26">
    <w:abstractNumId w:val="19"/>
  </w:num>
  <w:num w:numId="27">
    <w:abstractNumId w:val="29"/>
  </w:num>
  <w:num w:numId="28">
    <w:abstractNumId w:val="32"/>
  </w:num>
  <w:num w:numId="29">
    <w:abstractNumId w:val="1"/>
  </w:num>
  <w:num w:numId="30">
    <w:abstractNumId w:val="2"/>
  </w:num>
  <w:num w:numId="31">
    <w:abstractNumId w:val="3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9"/>
  </w:num>
  <w:num w:numId="35">
    <w:abstractNumId w:val="35"/>
  </w:num>
  <w:num w:numId="36">
    <w:abstractNumId w:val="4"/>
  </w:num>
  <w:num w:numId="37">
    <w:abstractNumId w:val="5"/>
  </w:num>
  <w:num w:numId="3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E3D"/>
    <w:rsid w:val="000129B8"/>
    <w:rsid w:val="00021A74"/>
    <w:rsid w:val="000233F6"/>
    <w:rsid w:val="00040009"/>
    <w:rsid w:val="00047C6D"/>
    <w:rsid w:val="00051EF0"/>
    <w:rsid w:val="0008162E"/>
    <w:rsid w:val="000834A5"/>
    <w:rsid w:val="00084269"/>
    <w:rsid w:val="0009150F"/>
    <w:rsid w:val="0009176A"/>
    <w:rsid w:val="0009459B"/>
    <w:rsid w:val="000A0B87"/>
    <w:rsid w:val="000A4FC6"/>
    <w:rsid w:val="000E166C"/>
    <w:rsid w:val="000E2ED3"/>
    <w:rsid w:val="000E4FFD"/>
    <w:rsid w:val="000E6B82"/>
    <w:rsid w:val="0010759D"/>
    <w:rsid w:val="0011161C"/>
    <w:rsid w:val="00133C80"/>
    <w:rsid w:val="00140C37"/>
    <w:rsid w:val="00150503"/>
    <w:rsid w:val="001661D0"/>
    <w:rsid w:val="00193BA1"/>
    <w:rsid w:val="001A013D"/>
    <w:rsid w:val="001A228A"/>
    <w:rsid w:val="001B6EA3"/>
    <w:rsid w:val="001B6F87"/>
    <w:rsid w:val="001B7659"/>
    <w:rsid w:val="001D27D7"/>
    <w:rsid w:val="001D2FB1"/>
    <w:rsid w:val="001D4F6D"/>
    <w:rsid w:val="001E444A"/>
    <w:rsid w:val="001F58B7"/>
    <w:rsid w:val="00211E5B"/>
    <w:rsid w:val="00213289"/>
    <w:rsid w:val="002151E3"/>
    <w:rsid w:val="00216765"/>
    <w:rsid w:val="00217184"/>
    <w:rsid w:val="002237C2"/>
    <w:rsid w:val="00225DAD"/>
    <w:rsid w:val="002310CC"/>
    <w:rsid w:val="002340F1"/>
    <w:rsid w:val="00234314"/>
    <w:rsid w:val="00234619"/>
    <w:rsid w:val="002428B6"/>
    <w:rsid w:val="00250B60"/>
    <w:rsid w:val="0025629D"/>
    <w:rsid w:val="00265C35"/>
    <w:rsid w:val="00283153"/>
    <w:rsid w:val="0028761F"/>
    <w:rsid w:val="002957F3"/>
    <w:rsid w:val="002B06A7"/>
    <w:rsid w:val="002B3010"/>
    <w:rsid w:val="002C1CAF"/>
    <w:rsid w:val="002C4262"/>
    <w:rsid w:val="002D764C"/>
    <w:rsid w:val="002E40C7"/>
    <w:rsid w:val="002E70DE"/>
    <w:rsid w:val="002F16A7"/>
    <w:rsid w:val="002F3CC9"/>
    <w:rsid w:val="00305EE2"/>
    <w:rsid w:val="003133B8"/>
    <w:rsid w:val="003230EE"/>
    <w:rsid w:val="003371AA"/>
    <w:rsid w:val="00337D84"/>
    <w:rsid w:val="003451C1"/>
    <w:rsid w:val="00363BC1"/>
    <w:rsid w:val="00373D94"/>
    <w:rsid w:val="00392C6E"/>
    <w:rsid w:val="00395E1E"/>
    <w:rsid w:val="003A2D72"/>
    <w:rsid w:val="003C4BEB"/>
    <w:rsid w:val="003D2B6F"/>
    <w:rsid w:val="003F6EEF"/>
    <w:rsid w:val="004006E0"/>
    <w:rsid w:val="004137B6"/>
    <w:rsid w:val="00433EEC"/>
    <w:rsid w:val="00434E7B"/>
    <w:rsid w:val="00434FC8"/>
    <w:rsid w:val="004379F5"/>
    <w:rsid w:val="00444161"/>
    <w:rsid w:val="0046042C"/>
    <w:rsid w:val="00493B6E"/>
    <w:rsid w:val="00493E3D"/>
    <w:rsid w:val="00495200"/>
    <w:rsid w:val="004A511D"/>
    <w:rsid w:val="004B6808"/>
    <w:rsid w:val="004C241B"/>
    <w:rsid w:val="004D4B87"/>
    <w:rsid w:val="004D7124"/>
    <w:rsid w:val="004E571C"/>
    <w:rsid w:val="004F3E5C"/>
    <w:rsid w:val="0050239E"/>
    <w:rsid w:val="0051702C"/>
    <w:rsid w:val="005209B5"/>
    <w:rsid w:val="00521737"/>
    <w:rsid w:val="00526819"/>
    <w:rsid w:val="00534E41"/>
    <w:rsid w:val="005466C0"/>
    <w:rsid w:val="00553DC0"/>
    <w:rsid w:val="00561459"/>
    <w:rsid w:val="005706E9"/>
    <w:rsid w:val="005758C5"/>
    <w:rsid w:val="00577660"/>
    <w:rsid w:val="00580D7C"/>
    <w:rsid w:val="0059141F"/>
    <w:rsid w:val="00592C6E"/>
    <w:rsid w:val="005B3677"/>
    <w:rsid w:val="005B53DC"/>
    <w:rsid w:val="005C0906"/>
    <w:rsid w:val="005D07B3"/>
    <w:rsid w:val="005D6AB3"/>
    <w:rsid w:val="005E445E"/>
    <w:rsid w:val="005F1DB3"/>
    <w:rsid w:val="005F7B60"/>
    <w:rsid w:val="0062387D"/>
    <w:rsid w:val="006364B9"/>
    <w:rsid w:val="0064037F"/>
    <w:rsid w:val="006523E1"/>
    <w:rsid w:val="0067097D"/>
    <w:rsid w:val="00672873"/>
    <w:rsid w:val="006736C1"/>
    <w:rsid w:val="00676E63"/>
    <w:rsid w:val="006810E4"/>
    <w:rsid w:val="006A26A6"/>
    <w:rsid w:val="006B40A4"/>
    <w:rsid w:val="006C5189"/>
    <w:rsid w:val="006C79E7"/>
    <w:rsid w:val="006D6D18"/>
    <w:rsid w:val="006E2B7D"/>
    <w:rsid w:val="006F76BC"/>
    <w:rsid w:val="00706FEA"/>
    <w:rsid w:val="007221EF"/>
    <w:rsid w:val="00726B02"/>
    <w:rsid w:val="00730B36"/>
    <w:rsid w:val="00731F53"/>
    <w:rsid w:val="007416FD"/>
    <w:rsid w:val="00743018"/>
    <w:rsid w:val="007564D5"/>
    <w:rsid w:val="007602E4"/>
    <w:rsid w:val="007720F0"/>
    <w:rsid w:val="00793BE5"/>
    <w:rsid w:val="007C33D4"/>
    <w:rsid w:val="007D0411"/>
    <w:rsid w:val="007D7168"/>
    <w:rsid w:val="007E226D"/>
    <w:rsid w:val="007E7751"/>
    <w:rsid w:val="007F373A"/>
    <w:rsid w:val="008069F5"/>
    <w:rsid w:val="00812D30"/>
    <w:rsid w:val="00813C63"/>
    <w:rsid w:val="00832360"/>
    <w:rsid w:val="00833288"/>
    <w:rsid w:val="00844D4D"/>
    <w:rsid w:val="00854C10"/>
    <w:rsid w:val="0085550E"/>
    <w:rsid w:val="00862191"/>
    <w:rsid w:val="008636CE"/>
    <w:rsid w:val="00866E00"/>
    <w:rsid w:val="008936E0"/>
    <w:rsid w:val="008A0E38"/>
    <w:rsid w:val="008A45AE"/>
    <w:rsid w:val="008A5465"/>
    <w:rsid w:val="008B09D1"/>
    <w:rsid w:val="008B556A"/>
    <w:rsid w:val="008E61E0"/>
    <w:rsid w:val="008F0EBE"/>
    <w:rsid w:val="008F10F6"/>
    <w:rsid w:val="008F486A"/>
    <w:rsid w:val="00904769"/>
    <w:rsid w:val="00906A22"/>
    <w:rsid w:val="00912D41"/>
    <w:rsid w:val="0092773A"/>
    <w:rsid w:val="00934BDD"/>
    <w:rsid w:val="00934C19"/>
    <w:rsid w:val="009356A7"/>
    <w:rsid w:val="00937342"/>
    <w:rsid w:val="00942936"/>
    <w:rsid w:val="009455A7"/>
    <w:rsid w:val="00947394"/>
    <w:rsid w:val="00951FEF"/>
    <w:rsid w:val="00954BA4"/>
    <w:rsid w:val="00954EF2"/>
    <w:rsid w:val="00967F80"/>
    <w:rsid w:val="00970029"/>
    <w:rsid w:val="00973E07"/>
    <w:rsid w:val="009872D0"/>
    <w:rsid w:val="009B4AFB"/>
    <w:rsid w:val="009B530E"/>
    <w:rsid w:val="009B533D"/>
    <w:rsid w:val="009C0E2C"/>
    <w:rsid w:val="009C5B65"/>
    <w:rsid w:val="009C6D19"/>
    <w:rsid w:val="009D52F2"/>
    <w:rsid w:val="009E36B1"/>
    <w:rsid w:val="00A008BF"/>
    <w:rsid w:val="00A01318"/>
    <w:rsid w:val="00A10ACE"/>
    <w:rsid w:val="00A353A5"/>
    <w:rsid w:val="00A372B9"/>
    <w:rsid w:val="00A4590A"/>
    <w:rsid w:val="00A47592"/>
    <w:rsid w:val="00A66B4F"/>
    <w:rsid w:val="00A66E01"/>
    <w:rsid w:val="00A67033"/>
    <w:rsid w:val="00A70AB7"/>
    <w:rsid w:val="00A93E93"/>
    <w:rsid w:val="00A9433E"/>
    <w:rsid w:val="00AA1804"/>
    <w:rsid w:val="00AA3A3A"/>
    <w:rsid w:val="00AC5022"/>
    <w:rsid w:val="00B01C5D"/>
    <w:rsid w:val="00B36DE7"/>
    <w:rsid w:val="00B56668"/>
    <w:rsid w:val="00B66160"/>
    <w:rsid w:val="00BA5FBA"/>
    <w:rsid w:val="00BA7B8A"/>
    <w:rsid w:val="00BB31F0"/>
    <w:rsid w:val="00BD16DE"/>
    <w:rsid w:val="00BD617D"/>
    <w:rsid w:val="00BD7F5E"/>
    <w:rsid w:val="00BE6B58"/>
    <w:rsid w:val="00BE7439"/>
    <w:rsid w:val="00BF3B9A"/>
    <w:rsid w:val="00BF465E"/>
    <w:rsid w:val="00C0584A"/>
    <w:rsid w:val="00C162CA"/>
    <w:rsid w:val="00C240C7"/>
    <w:rsid w:val="00C2475D"/>
    <w:rsid w:val="00C25C40"/>
    <w:rsid w:val="00C5357D"/>
    <w:rsid w:val="00C57BDE"/>
    <w:rsid w:val="00C66C66"/>
    <w:rsid w:val="00C67D3B"/>
    <w:rsid w:val="00C72A39"/>
    <w:rsid w:val="00C733F5"/>
    <w:rsid w:val="00C76A4F"/>
    <w:rsid w:val="00C9741A"/>
    <w:rsid w:val="00C97753"/>
    <w:rsid w:val="00CA5409"/>
    <w:rsid w:val="00CB406F"/>
    <w:rsid w:val="00CC3490"/>
    <w:rsid w:val="00CC52F6"/>
    <w:rsid w:val="00CD0CC2"/>
    <w:rsid w:val="00CF364D"/>
    <w:rsid w:val="00CF4206"/>
    <w:rsid w:val="00D02DA3"/>
    <w:rsid w:val="00D108EA"/>
    <w:rsid w:val="00D10FFF"/>
    <w:rsid w:val="00D14210"/>
    <w:rsid w:val="00D14FFE"/>
    <w:rsid w:val="00D201F4"/>
    <w:rsid w:val="00D20491"/>
    <w:rsid w:val="00D20CE4"/>
    <w:rsid w:val="00D21C91"/>
    <w:rsid w:val="00D24CC5"/>
    <w:rsid w:val="00D32CE5"/>
    <w:rsid w:val="00D47CD9"/>
    <w:rsid w:val="00D51E06"/>
    <w:rsid w:val="00D562ED"/>
    <w:rsid w:val="00D56578"/>
    <w:rsid w:val="00D60071"/>
    <w:rsid w:val="00D620C0"/>
    <w:rsid w:val="00D67058"/>
    <w:rsid w:val="00D74D6C"/>
    <w:rsid w:val="00D9297B"/>
    <w:rsid w:val="00D97E6D"/>
    <w:rsid w:val="00DA152A"/>
    <w:rsid w:val="00DA5ECB"/>
    <w:rsid w:val="00DA7C9A"/>
    <w:rsid w:val="00DC0EFB"/>
    <w:rsid w:val="00DD1694"/>
    <w:rsid w:val="00DD51CA"/>
    <w:rsid w:val="00DD59AF"/>
    <w:rsid w:val="00DE54A0"/>
    <w:rsid w:val="00DF0345"/>
    <w:rsid w:val="00DF2C7E"/>
    <w:rsid w:val="00DF5FEB"/>
    <w:rsid w:val="00E07C5F"/>
    <w:rsid w:val="00E124A0"/>
    <w:rsid w:val="00E233C5"/>
    <w:rsid w:val="00E24B83"/>
    <w:rsid w:val="00E41604"/>
    <w:rsid w:val="00E60DBF"/>
    <w:rsid w:val="00E65F70"/>
    <w:rsid w:val="00E75FBF"/>
    <w:rsid w:val="00E91E9C"/>
    <w:rsid w:val="00E923AB"/>
    <w:rsid w:val="00E94223"/>
    <w:rsid w:val="00E95D7E"/>
    <w:rsid w:val="00E96692"/>
    <w:rsid w:val="00EA2F05"/>
    <w:rsid w:val="00EA710D"/>
    <w:rsid w:val="00EA76A7"/>
    <w:rsid w:val="00EB2B71"/>
    <w:rsid w:val="00EC343A"/>
    <w:rsid w:val="00EC7A7D"/>
    <w:rsid w:val="00F06D4D"/>
    <w:rsid w:val="00F16AED"/>
    <w:rsid w:val="00F17726"/>
    <w:rsid w:val="00F40F4B"/>
    <w:rsid w:val="00F46D7B"/>
    <w:rsid w:val="00F64E43"/>
    <w:rsid w:val="00F73EC0"/>
    <w:rsid w:val="00F7514D"/>
    <w:rsid w:val="00FA2E81"/>
    <w:rsid w:val="00FA65E2"/>
    <w:rsid w:val="00FA7C55"/>
    <w:rsid w:val="00FC4EBD"/>
    <w:rsid w:val="00FC6993"/>
    <w:rsid w:val="00FE600C"/>
    <w:rsid w:val="00FF2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2B616"/>
  <w15:docId w15:val="{35015088-FE47-4813-8825-38EE577D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
    <w:basedOn w:val="Normal"/>
    <w:link w:val="ListParagraphChar"/>
    <w:uiPriority w:val="34"/>
    <w:qFormat/>
    <w:rsid w:val="00EA710D"/>
    <w:pPr>
      <w:ind w:left="720"/>
      <w:contextualSpacing/>
    </w:pPr>
  </w:style>
  <w:style w:type="table" w:styleId="TableGrid">
    <w:name w:val="Table Grid"/>
    <w:basedOn w:val="TableNormal"/>
    <w:rsid w:val="00EA7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459"/>
    <w:pPr>
      <w:autoSpaceDE w:val="0"/>
      <w:autoSpaceDN w:val="0"/>
      <w:adjustRightInd w:val="0"/>
    </w:pPr>
    <w:rPr>
      <w:rFonts w:ascii="Calibri" w:eastAsiaTheme="minorHAnsi" w:hAnsi="Calibri" w:cs="Calibri"/>
      <w:color w:val="000000"/>
      <w:sz w:val="24"/>
      <w:szCs w:val="24"/>
      <w:lang w:val="en-IE" w:eastAsia="en-US"/>
    </w:rPr>
  </w:style>
  <w:style w:type="paragraph" w:styleId="NormalWeb">
    <w:name w:val="Normal (Web)"/>
    <w:basedOn w:val="Normal"/>
    <w:uiPriority w:val="99"/>
    <w:unhideWhenUsed/>
    <w:rsid w:val="00CF4206"/>
    <w:pPr>
      <w:spacing w:before="100" w:beforeAutospacing="1" w:after="100" w:afterAutospacing="1"/>
    </w:pPr>
    <w:rPr>
      <w:rFonts w:ascii="Times New Roman" w:hAnsi="Times New Roman"/>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495200"/>
    <w:rPr>
      <w:rFonts w:ascii="Arial" w:hAnsi="Arial"/>
      <w:sz w:val="24"/>
      <w:szCs w:val="24"/>
      <w:lang w:eastAsia="en-US"/>
    </w:rPr>
  </w:style>
  <w:style w:type="paragraph" w:styleId="PlainText">
    <w:name w:val="Plain Text"/>
    <w:basedOn w:val="Normal"/>
    <w:link w:val="PlainTextChar"/>
    <w:uiPriority w:val="99"/>
    <w:unhideWhenUsed/>
    <w:rsid w:val="00D620C0"/>
    <w:rPr>
      <w:rFonts w:ascii="Consolas" w:eastAsiaTheme="minorHAnsi" w:hAnsi="Consolas" w:cs="Consolas"/>
      <w:sz w:val="21"/>
      <w:szCs w:val="21"/>
      <w:lang w:val="en-IE" w:eastAsia="en-IE"/>
    </w:rPr>
  </w:style>
  <w:style w:type="character" w:customStyle="1" w:styleId="PlainTextChar">
    <w:name w:val="Plain Text Char"/>
    <w:basedOn w:val="DefaultParagraphFont"/>
    <w:link w:val="PlainText"/>
    <w:uiPriority w:val="99"/>
    <w:rsid w:val="00D620C0"/>
    <w:rPr>
      <w:rFonts w:ascii="Consolas" w:eastAsiaTheme="minorHAnsi" w:hAnsi="Consolas" w:cs="Consolas"/>
      <w:sz w:val="21"/>
      <w:szCs w:val="21"/>
      <w:lang w:val="en-IE" w:eastAsia="en-IE"/>
    </w:rPr>
  </w:style>
  <w:style w:type="character" w:styleId="Hyperlink">
    <w:name w:val="Hyperlink"/>
    <w:basedOn w:val="DefaultParagraphFont"/>
    <w:uiPriority w:val="99"/>
    <w:unhideWhenUsed/>
    <w:rsid w:val="00D620C0"/>
    <w:rPr>
      <w:color w:val="0000FF"/>
      <w:u w:val="single"/>
    </w:rPr>
  </w:style>
  <w:style w:type="paragraph" w:styleId="Header">
    <w:name w:val="header"/>
    <w:basedOn w:val="Normal"/>
    <w:link w:val="HeaderChar"/>
    <w:rsid w:val="00D74D6C"/>
    <w:pPr>
      <w:tabs>
        <w:tab w:val="center" w:pos="4513"/>
        <w:tab w:val="right" w:pos="9026"/>
      </w:tabs>
    </w:pPr>
  </w:style>
  <w:style w:type="character" w:customStyle="1" w:styleId="HeaderChar">
    <w:name w:val="Header Char"/>
    <w:basedOn w:val="DefaultParagraphFont"/>
    <w:link w:val="Header"/>
    <w:rsid w:val="00D74D6C"/>
    <w:rPr>
      <w:rFonts w:ascii="Arial" w:hAnsi="Arial"/>
      <w:sz w:val="24"/>
      <w:szCs w:val="24"/>
      <w:lang w:eastAsia="en-US"/>
    </w:rPr>
  </w:style>
  <w:style w:type="paragraph" w:styleId="Footer">
    <w:name w:val="footer"/>
    <w:basedOn w:val="Normal"/>
    <w:link w:val="FooterChar"/>
    <w:rsid w:val="00D74D6C"/>
    <w:pPr>
      <w:tabs>
        <w:tab w:val="center" w:pos="4513"/>
        <w:tab w:val="right" w:pos="9026"/>
      </w:tabs>
    </w:pPr>
  </w:style>
  <w:style w:type="character" w:customStyle="1" w:styleId="FooterChar">
    <w:name w:val="Footer Char"/>
    <w:basedOn w:val="DefaultParagraphFont"/>
    <w:link w:val="Footer"/>
    <w:rsid w:val="00D74D6C"/>
    <w:rPr>
      <w:rFonts w:ascii="Arial" w:hAnsi="Arial"/>
      <w:sz w:val="24"/>
      <w:szCs w:val="24"/>
      <w:lang w:eastAsia="en-US"/>
    </w:rPr>
  </w:style>
  <w:style w:type="paragraph" w:styleId="NoSpacing">
    <w:name w:val="No Spacing"/>
    <w:uiPriority w:val="1"/>
    <w:qFormat/>
    <w:rsid w:val="00726B02"/>
    <w:rPr>
      <w:rFonts w:asciiTheme="minorHAnsi" w:eastAsiaTheme="minorHAnsi" w:hAnsiTheme="minorHAnsi" w:cstheme="minorBidi"/>
      <w:sz w:val="22"/>
      <w:szCs w:val="22"/>
      <w:lang w:val="en-IE" w:eastAsia="en-US"/>
    </w:rPr>
  </w:style>
  <w:style w:type="character" w:styleId="FollowedHyperlink">
    <w:name w:val="FollowedHyperlink"/>
    <w:basedOn w:val="DefaultParagraphFont"/>
    <w:rsid w:val="00283153"/>
    <w:rPr>
      <w:color w:val="800080" w:themeColor="followedHyperlink"/>
      <w:u w:val="single"/>
    </w:rPr>
  </w:style>
  <w:style w:type="paragraph" w:styleId="BalloonText">
    <w:name w:val="Balloon Text"/>
    <w:basedOn w:val="Normal"/>
    <w:link w:val="BalloonTextChar"/>
    <w:rsid w:val="00912D41"/>
    <w:rPr>
      <w:rFonts w:ascii="Tahoma" w:hAnsi="Tahoma" w:cs="Tahoma"/>
      <w:sz w:val="16"/>
      <w:szCs w:val="16"/>
    </w:rPr>
  </w:style>
  <w:style w:type="character" w:customStyle="1" w:styleId="BalloonTextChar">
    <w:name w:val="Balloon Text Char"/>
    <w:basedOn w:val="DefaultParagraphFont"/>
    <w:link w:val="BalloonText"/>
    <w:rsid w:val="00912D41"/>
    <w:rPr>
      <w:rFonts w:ascii="Tahoma" w:hAnsi="Tahoma" w:cs="Tahoma"/>
      <w:sz w:val="16"/>
      <w:szCs w:val="16"/>
      <w:lang w:eastAsia="en-US"/>
    </w:rPr>
  </w:style>
  <w:style w:type="character" w:styleId="CommentReference">
    <w:name w:val="annotation reference"/>
    <w:basedOn w:val="DefaultParagraphFont"/>
    <w:rsid w:val="00912D41"/>
    <w:rPr>
      <w:sz w:val="16"/>
      <w:szCs w:val="16"/>
    </w:rPr>
  </w:style>
  <w:style w:type="paragraph" w:styleId="CommentText">
    <w:name w:val="annotation text"/>
    <w:basedOn w:val="Normal"/>
    <w:link w:val="CommentTextChar"/>
    <w:rsid w:val="00912D41"/>
    <w:rPr>
      <w:sz w:val="20"/>
      <w:szCs w:val="20"/>
    </w:rPr>
  </w:style>
  <w:style w:type="character" w:customStyle="1" w:styleId="CommentTextChar">
    <w:name w:val="Comment Text Char"/>
    <w:basedOn w:val="DefaultParagraphFont"/>
    <w:link w:val="CommentText"/>
    <w:rsid w:val="00912D41"/>
    <w:rPr>
      <w:rFonts w:ascii="Arial" w:hAnsi="Arial"/>
      <w:lang w:eastAsia="en-US"/>
    </w:rPr>
  </w:style>
  <w:style w:type="paragraph" w:styleId="CommentSubject">
    <w:name w:val="annotation subject"/>
    <w:basedOn w:val="CommentText"/>
    <w:next w:val="CommentText"/>
    <w:link w:val="CommentSubjectChar"/>
    <w:rsid w:val="00912D41"/>
    <w:rPr>
      <w:b/>
      <w:bCs/>
    </w:rPr>
  </w:style>
  <w:style w:type="character" w:customStyle="1" w:styleId="CommentSubjectChar">
    <w:name w:val="Comment Subject Char"/>
    <w:basedOn w:val="CommentTextChar"/>
    <w:link w:val="CommentSubject"/>
    <w:rsid w:val="00912D41"/>
    <w:rPr>
      <w:rFonts w:ascii="Arial" w:hAnsi="Arial"/>
      <w:b/>
      <w:bCs/>
      <w:lang w:eastAsia="en-US"/>
    </w:rPr>
  </w:style>
  <w:style w:type="paragraph" w:styleId="FootnoteText">
    <w:name w:val="footnote text"/>
    <w:basedOn w:val="Normal"/>
    <w:link w:val="FootnoteTextChar"/>
    <w:semiHidden/>
    <w:unhideWhenUsed/>
    <w:rsid w:val="004137B6"/>
    <w:rPr>
      <w:sz w:val="20"/>
      <w:szCs w:val="20"/>
    </w:rPr>
  </w:style>
  <w:style w:type="character" w:customStyle="1" w:styleId="FootnoteTextChar">
    <w:name w:val="Footnote Text Char"/>
    <w:basedOn w:val="DefaultParagraphFont"/>
    <w:link w:val="FootnoteText"/>
    <w:semiHidden/>
    <w:rsid w:val="004137B6"/>
    <w:rPr>
      <w:rFonts w:ascii="Arial" w:hAnsi="Arial"/>
      <w:lang w:eastAsia="en-US"/>
    </w:rPr>
  </w:style>
  <w:style w:type="character" w:styleId="FootnoteReference">
    <w:name w:val="footnote reference"/>
    <w:basedOn w:val="DefaultParagraphFont"/>
    <w:semiHidden/>
    <w:unhideWhenUsed/>
    <w:rsid w:val="00413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76981">
      <w:bodyDiv w:val="1"/>
      <w:marLeft w:val="0"/>
      <w:marRight w:val="0"/>
      <w:marTop w:val="0"/>
      <w:marBottom w:val="0"/>
      <w:divBdr>
        <w:top w:val="none" w:sz="0" w:space="0" w:color="auto"/>
        <w:left w:val="none" w:sz="0" w:space="0" w:color="auto"/>
        <w:bottom w:val="none" w:sz="0" w:space="0" w:color="auto"/>
        <w:right w:val="none" w:sz="0" w:space="0" w:color="auto"/>
      </w:divBdr>
      <w:divsChild>
        <w:div w:id="703363756">
          <w:marLeft w:val="720"/>
          <w:marRight w:val="0"/>
          <w:marTop w:val="115"/>
          <w:marBottom w:val="0"/>
          <w:divBdr>
            <w:top w:val="none" w:sz="0" w:space="0" w:color="auto"/>
            <w:left w:val="none" w:sz="0" w:space="0" w:color="auto"/>
            <w:bottom w:val="none" w:sz="0" w:space="0" w:color="auto"/>
            <w:right w:val="none" w:sz="0" w:space="0" w:color="auto"/>
          </w:divBdr>
        </w:div>
        <w:div w:id="484322006">
          <w:marLeft w:val="720"/>
          <w:marRight w:val="0"/>
          <w:marTop w:val="115"/>
          <w:marBottom w:val="0"/>
          <w:divBdr>
            <w:top w:val="none" w:sz="0" w:space="0" w:color="auto"/>
            <w:left w:val="none" w:sz="0" w:space="0" w:color="auto"/>
            <w:bottom w:val="none" w:sz="0" w:space="0" w:color="auto"/>
            <w:right w:val="none" w:sz="0" w:space="0" w:color="auto"/>
          </w:divBdr>
        </w:div>
        <w:div w:id="1573735139">
          <w:marLeft w:val="720"/>
          <w:marRight w:val="0"/>
          <w:marTop w:val="115"/>
          <w:marBottom w:val="0"/>
          <w:divBdr>
            <w:top w:val="none" w:sz="0" w:space="0" w:color="auto"/>
            <w:left w:val="none" w:sz="0" w:space="0" w:color="auto"/>
            <w:bottom w:val="none" w:sz="0" w:space="0" w:color="auto"/>
            <w:right w:val="none" w:sz="0" w:space="0" w:color="auto"/>
          </w:divBdr>
        </w:div>
        <w:div w:id="868756994">
          <w:marLeft w:val="720"/>
          <w:marRight w:val="0"/>
          <w:marTop w:val="115"/>
          <w:marBottom w:val="0"/>
          <w:divBdr>
            <w:top w:val="none" w:sz="0" w:space="0" w:color="auto"/>
            <w:left w:val="none" w:sz="0" w:space="0" w:color="auto"/>
            <w:bottom w:val="none" w:sz="0" w:space="0" w:color="auto"/>
            <w:right w:val="none" w:sz="0" w:space="0" w:color="auto"/>
          </w:divBdr>
        </w:div>
      </w:divsChild>
    </w:div>
    <w:div w:id="271254602">
      <w:bodyDiv w:val="1"/>
      <w:marLeft w:val="0"/>
      <w:marRight w:val="0"/>
      <w:marTop w:val="0"/>
      <w:marBottom w:val="0"/>
      <w:divBdr>
        <w:top w:val="none" w:sz="0" w:space="0" w:color="auto"/>
        <w:left w:val="none" w:sz="0" w:space="0" w:color="auto"/>
        <w:bottom w:val="none" w:sz="0" w:space="0" w:color="auto"/>
        <w:right w:val="none" w:sz="0" w:space="0" w:color="auto"/>
      </w:divBdr>
    </w:div>
    <w:div w:id="337117310">
      <w:bodyDiv w:val="1"/>
      <w:marLeft w:val="0"/>
      <w:marRight w:val="0"/>
      <w:marTop w:val="0"/>
      <w:marBottom w:val="0"/>
      <w:divBdr>
        <w:top w:val="none" w:sz="0" w:space="0" w:color="auto"/>
        <w:left w:val="none" w:sz="0" w:space="0" w:color="auto"/>
        <w:bottom w:val="none" w:sz="0" w:space="0" w:color="auto"/>
        <w:right w:val="none" w:sz="0" w:space="0" w:color="auto"/>
      </w:divBdr>
      <w:divsChild>
        <w:div w:id="1846896119">
          <w:marLeft w:val="720"/>
          <w:marRight w:val="0"/>
          <w:marTop w:val="115"/>
          <w:marBottom w:val="0"/>
          <w:divBdr>
            <w:top w:val="none" w:sz="0" w:space="0" w:color="auto"/>
            <w:left w:val="none" w:sz="0" w:space="0" w:color="auto"/>
            <w:bottom w:val="none" w:sz="0" w:space="0" w:color="auto"/>
            <w:right w:val="none" w:sz="0" w:space="0" w:color="auto"/>
          </w:divBdr>
        </w:div>
        <w:div w:id="1238635706">
          <w:marLeft w:val="720"/>
          <w:marRight w:val="0"/>
          <w:marTop w:val="115"/>
          <w:marBottom w:val="0"/>
          <w:divBdr>
            <w:top w:val="none" w:sz="0" w:space="0" w:color="auto"/>
            <w:left w:val="none" w:sz="0" w:space="0" w:color="auto"/>
            <w:bottom w:val="none" w:sz="0" w:space="0" w:color="auto"/>
            <w:right w:val="none" w:sz="0" w:space="0" w:color="auto"/>
          </w:divBdr>
        </w:div>
        <w:div w:id="641421979">
          <w:marLeft w:val="720"/>
          <w:marRight w:val="0"/>
          <w:marTop w:val="115"/>
          <w:marBottom w:val="0"/>
          <w:divBdr>
            <w:top w:val="none" w:sz="0" w:space="0" w:color="auto"/>
            <w:left w:val="none" w:sz="0" w:space="0" w:color="auto"/>
            <w:bottom w:val="none" w:sz="0" w:space="0" w:color="auto"/>
            <w:right w:val="none" w:sz="0" w:space="0" w:color="auto"/>
          </w:divBdr>
        </w:div>
        <w:div w:id="1869417226">
          <w:marLeft w:val="720"/>
          <w:marRight w:val="0"/>
          <w:marTop w:val="115"/>
          <w:marBottom w:val="0"/>
          <w:divBdr>
            <w:top w:val="none" w:sz="0" w:space="0" w:color="auto"/>
            <w:left w:val="none" w:sz="0" w:space="0" w:color="auto"/>
            <w:bottom w:val="none" w:sz="0" w:space="0" w:color="auto"/>
            <w:right w:val="none" w:sz="0" w:space="0" w:color="auto"/>
          </w:divBdr>
        </w:div>
        <w:div w:id="1732263107">
          <w:marLeft w:val="720"/>
          <w:marRight w:val="0"/>
          <w:marTop w:val="115"/>
          <w:marBottom w:val="0"/>
          <w:divBdr>
            <w:top w:val="none" w:sz="0" w:space="0" w:color="auto"/>
            <w:left w:val="none" w:sz="0" w:space="0" w:color="auto"/>
            <w:bottom w:val="none" w:sz="0" w:space="0" w:color="auto"/>
            <w:right w:val="none" w:sz="0" w:space="0" w:color="auto"/>
          </w:divBdr>
        </w:div>
      </w:divsChild>
    </w:div>
    <w:div w:id="355347578">
      <w:bodyDiv w:val="1"/>
      <w:marLeft w:val="0"/>
      <w:marRight w:val="0"/>
      <w:marTop w:val="0"/>
      <w:marBottom w:val="0"/>
      <w:divBdr>
        <w:top w:val="none" w:sz="0" w:space="0" w:color="auto"/>
        <w:left w:val="none" w:sz="0" w:space="0" w:color="auto"/>
        <w:bottom w:val="none" w:sz="0" w:space="0" w:color="auto"/>
        <w:right w:val="none" w:sz="0" w:space="0" w:color="auto"/>
      </w:divBdr>
    </w:div>
    <w:div w:id="478575738">
      <w:bodyDiv w:val="1"/>
      <w:marLeft w:val="0"/>
      <w:marRight w:val="0"/>
      <w:marTop w:val="0"/>
      <w:marBottom w:val="0"/>
      <w:divBdr>
        <w:top w:val="none" w:sz="0" w:space="0" w:color="auto"/>
        <w:left w:val="none" w:sz="0" w:space="0" w:color="auto"/>
        <w:bottom w:val="none" w:sz="0" w:space="0" w:color="auto"/>
        <w:right w:val="none" w:sz="0" w:space="0" w:color="auto"/>
      </w:divBdr>
    </w:div>
    <w:div w:id="494763681">
      <w:bodyDiv w:val="1"/>
      <w:marLeft w:val="0"/>
      <w:marRight w:val="0"/>
      <w:marTop w:val="0"/>
      <w:marBottom w:val="0"/>
      <w:divBdr>
        <w:top w:val="none" w:sz="0" w:space="0" w:color="auto"/>
        <w:left w:val="none" w:sz="0" w:space="0" w:color="auto"/>
        <w:bottom w:val="none" w:sz="0" w:space="0" w:color="auto"/>
        <w:right w:val="none" w:sz="0" w:space="0" w:color="auto"/>
      </w:divBdr>
    </w:div>
    <w:div w:id="627905087">
      <w:bodyDiv w:val="1"/>
      <w:marLeft w:val="0"/>
      <w:marRight w:val="0"/>
      <w:marTop w:val="0"/>
      <w:marBottom w:val="0"/>
      <w:divBdr>
        <w:top w:val="none" w:sz="0" w:space="0" w:color="auto"/>
        <w:left w:val="none" w:sz="0" w:space="0" w:color="auto"/>
        <w:bottom w:val="none" w:sz="0" w:space="0" w:color="auto"/>
        <w:right w:val="none" w:sz="0" w:space="0" w:color="auto"/>
      </w:divBdr>
    </w:div>
    <w:div w:id="843283481">
      <w:bodyDiv w:val="1"/>
      <w:marLeft w:val="0"/>
      <w:marRight w:val="0"/>
      <w:marTop w:val="0"/>
      <w:marBottom w:val="0"/>
      <w:divBdr>
        <w:top w:val="none" w:sz="0" w:space="0" w:color="auto"/>
        <w:left w:val="none" w:sz="0" w:space="0" w:color="auto"/>
        <w:bottom w:val="none" w:sz="0" w:space="0" w:color="auto"/>
        <w:right w:val="none" w:sz="0" w:space="0" w:color="auto"/>
      </w:divBdr>
    </w:div>
    <w:div w:id="847017236">
      <w:bodyDiv w:val="1"/>
      <w:marLeft w:val="0"/>
      <w:marRight w:val="0"/>
      <w:marTop w:val="0"/>
      <w:marBottom w:val="0"/>
      <w:divBdr>
        <w:top w:val="none" w:sz="0" w:space="0" w:color="auto"/>
        <w:left w:val="none" w:sz="0" w:space="0" w:color="auto"/>
        <w:bottom w:val="none" w:sz="0" w:space="0" w:color="auto"/>
        <w:right w:val="none" w:sz="0" w:space="0" w:color="auto"/>
      </w:divBdr>
    </w:div>
    <w:div w:id="1134565161">
      <w:bodyDiv w:val="1"/>
      <w:marLeft w:val="0"/>
      <w:marRight w:val="0"/>
      <w:marTop w:val="0"/>
      <w:marBottom w:val="0"/>
      <w:divBdr>
        <w:top w:val="none" w:sz="0" w:space="0" w:color="auto"/>
        <w:left w:val="none" w:sz="0" w:space="0" w:color="auto"/>
        <w:bottom w:val="none" w:sz="0" w:space="0" w:color="auto"/>
        <w:right w:val="none" w:sz="0" w:space="0" w:color="auto"/>
      </w:divBdr>
    </w:div>
    <w:div w:id="1745564467">
      <w:bodyDiv w:val="1"/>
      <w:marLeft w:val="0"/>
      <w:marRight w:val="0"/>
      <w:marTop w:val="0"/>
      <w:marBottom w:val="0"/>
      <w:divBdr>
        <w:top w:val="none" w:sz="0" w:space="0" w:color="auto"/>
        <w:left w:val="none" w:sz="0" w:space="0" w:color="auto"/>
        <w:bottom w:val="none" w:sz="0" w:space="0" w:color="auto"/>
        <w:right w:val="none" w:sz="0" w:space="0" w:color="auto"/>
      </w:divBdr>
    </w:div>
    <w:div w:id="1766148187">
      <w:bodyDiv w:val="1"/>
      <w:marLeft w:val="0"/>
      <w:marRight w:val="0"/>
      <w:marTop w:val="0"/>
      <w:marBottom w:val="0"/>
      <w:divBdr>
        <w:top w:val="none" w:sz="0" w:space="0" w:color="auto"/>
        <w:left w:val="none" w:sz="0" w:space="0" w:color="auto"/>
        <w:bottom w:val="none" w:sz="0" w:space="0" w:color="auto"/>
        <w:right w:val="none" w:sz="0" w:space="0" w:color="auto"/>
      </w:divBdr>
    </w:div>
    <w:div w:id="195042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mea01.safelinks.protection.outlook.com/?url=https%3A%2F%2Fec.europa.eu%2Feuropeaid%2Fsites%2Fdevco%2Ffiles%2Feidhr-maap-annex-3-global-calls_en.pdf&amp;data=02%7C01%7CM-Welsh%40dfid.gsx.gov.uk%7Ca888db36d6584848653008d65f5aef14%7Ccdf709af1a184c74bd936d14a64d73b3%7C0%7C1%7C636801241499426119&amp;sdata=BHZr8PLRHwgMe1sYyLrzDJlpmer39mi4CH0fL0LGdJ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9D282-BE28-4740-B3BD-AB8C305F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Brockett</dc:creator>
  <cp:lastModifiedBy>Morna Welsh</cp:lastModifiedBy>
  <cp:revision>3</cp:revision>
  <dcterms:created xsi:type="dcterms:W3CDTF">2019-02-06T14:57:00Z</dcterms:created>
  <dcterms:modified xsi:type="dcterms:W3CDTF">2019-02-06T15:05:00Z</dcterms:modified>
</cp:coreProperties>
</file>