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CA" w:rsidRPr="0058277E" w:rsidRDefault="001A1AF2">
      <w:bookmarkStart w:id="0" w:name="_GoBack"/>
      <w:bookmarkEnd w:id="0"/>
      <w:r w:rsidRPr="0058277E">
        <w:rPr>
          <w:noProof/>
          <w:lang w:eastAsia="en-GB"/>
        </w:rPr>
        <w:drawing>
          <wp:inline distT="0" distB="0" distL="0" distR="0" wp14:anchorId="4C996A14" wp14:editId="34874F1E">
            <wp:extent cx="1229995" cy="856615"/>
            <wp:effectExtent l="0" t="0" r="8255" b="635"/>
            <wp:docPr id="7" name="Picture 7"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ag_2colors"/>
                    <pic:cNvPicPr>
                      <a:picLocks noChangeAspect="1" noChangeArrowheads="1"/>
                    </pic:cNvPicPr>
                  </pic:nvPicPr>
                  <pic:blipFill>
                    <a:blip r:embed="rId10">
                      <a:lum bright="-12000"/>
                      <a:extLst>
                        <a:ext uri="{28A0092B-C50C-407E-A947-70E740481C1C}">
                          <a14:useLocalDpi xmlns:a14="http://schemas.microsoft.com/office/drawing/2010/main" val="0"/>
                        </a:ext>
                      </a:extLst>
                    </a:blip>
                    <a:srcRect/>
                    <a:stretch>
                      <a:fillRect/>
                    </a:stretch>
                  </pic:blipFill>
                  <pic:spPr>
                    <a:xfrm>
                      <a:off x="0" y="0"/>
                      <a:ext cx="1229995" cy="856615"/>
                    </a:xfrm>
                    <a:prstGeom prst="rect">
                      <a:avLst/>
                    </a:prstGeom>
                    <a:noFill/>
                    <a:ln>
                      <a:noFill/>
                    </a:ln>
                  </pic:spPr>
                </pic:pic>
              </a:graphicData>
            </a:graphic>
          </wp:inline>
        </w:drawing>
      </w:r>
      <w:r w:rsidRPr="0058277E">
        <w:t xml:space="preserve">  </w:t>
      </w:r>
    </w:p>
    <w:p w:rsidR="00216FCA" w:rsidRPr="0058277E" w:rsidRDefault="00F41833">
      <w:pPr>
        <w:jc w:val="center"/>
        <w:rPr>
          <w:b/>
          <w:u w:val="single"/>
        </w:rPr>
      </w:pPr>
      <w:r>
        <w:rPr>
          <w:b/>
          <w:u w:val="single"/>
        </w:rPr>
        <w:t>ANNEX 4</w:t>
      </w:r>
    </w:p>
    <w:p w:rsidR="00216FCA" w:rsidRPr="0058277E" w:rsidRDefault="00B81FE0">
      <w:pPr>
        <w:rPr>
          <w:caps/>
        </w:rPr>
      </w:pPr>
      <w:r w:rsidRPr="007E150E">
        <w:t>of</w:t>
      </w:r>
      <w:r w:rsidR="001A1AF2" w:rsidRPr="007E150E">
        <w:rPr>
          <w:caps/>
        </w:rPr>
        <w:t xml:space="preserve"> </w:t>
      </w:r>
      <w:r w:rsidR="001A1AF2" w:rsidRPr="007E150E">
        <w:t xml:space="preserve">the </w:t>
      </w:r>
      <w:r w:rsidR="001A1AF2" w:rsidRPr="007E150E">
        <w:rPr>
          <w:lang w:eastAsia="en-GB"/>
        </w:rPr>
        <w:t>Commission Implementing Decision on the adoption of the Multiannual Action Programme 2018</w:t>
      </w:r>
      <w:r w:rsidR="00937751" w:rsidRPr="007E150E">
        <w:rPr>
          <w:lang w:eastAsia="en-GB"/>
        </w:rPr>
        <w:t xml:space="preserve">, </w:t>
      </w:r>
      <w:r w:rsidR="001A1AF2" w:rsidRPr="007E150E">
        <w:rPr>
          <w:lang w:eastAsia="en-GB"/>
        </w:rPr>
        <w:t xml:space="preserve"> 2019</w:t>
      </w:r>
      <w:r w:rsidR="00937751" w:rsidRPr="007E150E">
        <w:rPr>
          <w:lang w:eastAsia="en-GB"/>
        </w:rPr>
        <w:t xml:space="preserve"> and 2020</w:t>
      </w:r>
      <w:r w:rsidR="001A1AF2" w:rsidRPr="007E150E">
        <w:rPr>
          <w:lang w:eastAsia="en-GB"/>
        </w:rPr>
        <w:t xml:space="preserve"> for the European Instrument for Democracy and Human Rights.</w:t>
      </w:r>
    </w:p>
    <w:p w:rsidR="00216FCA" w:rsidRPr="0058277E" w:rsidRDefault="00216FCA">
      <w:pPr>
        <w:rPr>
          <w:b/>
          <w:u w:val="single"/>
        </w:rPr>
      </w:pPr>
    </w:p>
    <w:p w:rsidR="00216FCA" w:rsidRPr="005F0CEF" w:rsidRDefault="001A1AF2">
      <w:pPr>
        <w:jc w:val="center"/>
        <w:rPr>
          <w:b/>
          <w:caps/>
          <w:u w:val="single"/>
        </w:rPr>
      </w:pPr>
      <w:r w:rsidRPr="005F0CEF">
        <w:rPr>
          <w:b/>
          <w:caps/>
          <w:u w:val="single"/>
        </w:rPr>
        <w:t xml:space="preserve">Action Document for </w:t>
      </w:r>
      <w:r w:rsidR="00C11E46" w:rsidRPr="005F0CEF">
        <w:rPr>
          <w:b/>
          <w:caps/>
          <w:u w:val="single"/>
        </w:rPr>
        <w:t xml:space="preserve">support to </w:t>
      </w:r>
      <w:r w:rsidRPr="005F0CEF">
        <w:rPr>
          <w:b/>
          <w:caps/>
          <w:u w:val="single"/>
        </w:rPr>
        <w:t xml:space="preserve">local civil society </w:t>
      </w:r>
      <w:r w:rsidR="005F0CEF" w:rsidRPr="005F0CEF">
        <w:rPr>
          <w:b/>
          <w:caps/>
          <w:u w:val="single"/>
        </w:rPr>
        <w:t xml:space="preserve">action </w:t>
      </w:r>
      <w:r w:rsidRPr="005F0CEF">
        <w:rPr>
          <w:b/>
          <w:caps/>
          <w:u w:val="single"/>
        </w:rPr>
        <w:t>through Country</w:t>
      </w:r>
      <w:r w:rsidR="00C11E46" w:rsidRPr="005F0CEF">
        <w:rPr>
          <w:b/>
          <w:caps/>
          <w:u w:val="single"/>
        </w:rPr>
        <w:t>-</w:t>
      </w:r>
      <w:r w:rsidRPr="005F0CEF">
        <w:rPr>
          <w:b/>
          <w:caps/>
          <w:u w:val="single"/>
        </w:rPr>
        <w:t>Based Support Scheme</w:t>
      </w:r>
    </w:p>
    <w:p w:rsidR="00216FCA" w:rsidRPr="005F0CEF" w:rsidRDefault="00216FCA"/>
    <w:tbl>
      <w:tblPr>
        <w:tblW w:w="93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1"/>
      </w:tblGrid>
      <w:tr w:rsidR="00216FCA" w:rsidRPr="005F0CEF">
        <w:tc>
          <w:tcPr>
            <w:tcW w:w="9301" w:type="dxa"/>
          </w:tcPr>
          <w:p w:rsidR="00216FCA" w:rsidRPr="005F0CEF" w:rsidRDefault="001A1AF2">
            <w:pPr>
              <w:jc w:val="center"/>
              <w:rPr>
                <w:b/>
                <w:u w:val="single"/>
              </w:rPr>
            </w:pPr>
            <w:r w:rsidRPr="005F0CEF">
              <w:rPr>
                <w:b/>
                <w:u w:val="single"/>
              </w:rPr>
              <w:t>Information for Potential Grant Applicants</w:t>
            </w:r>
          </w:p>
          <w:p w:rsidR="00216FCA" w:rsidRPr="005F0CEF" w:rsidRDefault="001A1AF2">
            <w:pPr>
              <w:jc w:val="center"/>
              <w:rPr>
                <w:b/>
                <w:u w:val="single"/>
              </w:rPr>
            </w:pPr>
            <w:r w:rsidRPr="005F0CEF">
              <w:rPr>
                <w:b/>
                <w:u w:val="single"/>
              </w:rPr>
              <w:t>Work Programme for Grants</w:t>
            </w:r>
          </w:p>
          <w:tbl>
            <w:tblPr>
              <w:tblW w:w="9086" w:type="dxa"/>
              <w:tblBorders>
                <w:top w:val="nil"/>
                <w:left w:val="nil"/>
                <w:bottom w:val="nil"/>
                <w:right w:val="nil"/>
              </w:tblBorders>
              <w:tblLayout w:type="fixed"/>
              <w:tblLook w:val="0000" w:firstRow="0" w:lastRow="0" w:firstColumn="0" w:lastColumn="0" w:noHBand="0" w:noVBand="0"/>
            </w:tblPr>
            <w:tblGrid>
              <w:gridCol w:w="9086"/>
            </w:tblGrid>
            <w:tr w:rsidR="001845BF" w:rsidRPr="005F0CEF" w:rsidTr="00361287">
              <w:trPr>
                <w:trHeight w:val="1230"/>
              </w:trPr>
              <w:tc>
                <w:tcPr>
                  <w:tcW w:w="9086" w:type="dxa"/>
                </w:tcPr>
                <w:p w:rsidR="001845BF" w:rsidRPr="005F0CEF" w:rsidRDefault="00581EAB" w:rsidP="003E4D2B">
                  <w:pPr>
                    <w:autoSpaceDE w:val="0"/>
                    <w:autoSpaceDN w:val="0"/>
                    <w:adjustRightInd w:val="0"/>
                    <w:spacing w:before="0" w:after="0"/>
                    <w:rPr>
                      <w:rFonts w:eastAsiaTheme="minorHAnsi"/>
                      <w:color w:val="000000"/>
                      <w:sz w:val="23"/>
                      <w:szCs w:val="23"/>
                      <w:lang w:eastAsia="en-GB"/>
                    </w:rPr>
                  </w:pPr>
                  <w:r w:rsidRPr="005F0CEF">
                    <w:t xml:space="preserve">This document constitutes the work programme for grants in the sense of Article 128(1) of the Financial Regulation (Regulation (EU, Euratom) No 966/2012) </w:t>
                  </w:r>
                  <w:r w:rsidR="004B07B7" w:rsidRPr="005F0CEF">
                    <w:t xml:space="preserve">in the following sections </w:t>
                  </w:r>
                  <w:r w:rsidR="004B07B7" w:rsidRPr="005F0CEF">
                    <w:rPr>
                      <w:rFonts w:eastAsiaTheme="minorHAnsi"/>
                      <w:color w:val="000000"/>
                      <w:lang w:eastAsia="en-GB"/>
                    </w:rPr>
                    <w:t xml:space="preserve"> </w:t>
                  </w:r>
                  <w:r w:rsidR="004B07B7" w:rsidRPr="005F0CEF">
                    <w:rPr>
                      <w:rFonts w:eastAsiaTheme="minorHAnsi"/>
                      <w:color w:val="000000"/>
                      <w:sz w:val="23"/>
                      <w:szCs w:val="23"/>
                      <w:lang w:eastAsia="en-GB"/>
                    </w:rPr>
                    <w:t>calls for proposals: 5.3.1.; and in the following sections concerning grants awarded directly witho</w:t>
                  </w:r>
                  <w:r w:rsidR="003E4D2B">
                    <w:rPr>
                      <w:rFonts w:eastAsiaTheme="minorHAnsi"/>
                      <w:color w:val="000000"/>
                      <w:sz w:val="23"/>
                      <w:szCs w:val="23"/>
                      <w:lang w:eastAsia="en-GB"/>
                    </w:rPr>
                    <w:t>ut a call for proposals: 5.3.2.</w:t>
                  </w:r>
                </w:p>
              </w:tc>
            </w:tr>
          </w:tbl>
          <w:p w:rsidR="00216FCA" w:rsidRPr="005F0CEF" w:rsidRDefault="00216FCA">
            <w:pPr>
              <w:rPr>
                <w:b/>
              </w:rPr>
            </w:pPr>
          </w:p>
        </w:tc>
      </w:tr>
    </w:tbl>
    <w:p w:rsidR="00216FCA" w:rsidRPr="005F0CEF" w:rsidRDefault="00216FCA"/>
    <w:tbl>
      <w:tblPr>
        <w:tblW w:w="9330" w:type="dxa"/>
        <w:tblInd w:w="-12" w:type="dxa"/>
        <w:tblLayout w:type="fixed"/>
        <w:tblLook w:val="04A0" w:firstRow="1" w:lastRow="0" w:firstColumn="1" w:lastColumn="0" w:noHBand="0" w:noVBand="1"/>
      </w:tblPr>
      <w:tblGrid>
        <w:gridCol w:w="12"/>
        <w:gridCol w:w="2140"/>
        <w:gridCol w:w="8"/>
        <w:gridCol w:w="3347"/>
        <w:gridCol w:w="1093"/>
        <w:gridCol w:w="1320"/>
        <w:gridCol w:w="1403"/>
        <w:gridCol w:w="7"/>
      </w:tblGrid>
      <w:tr w:rsidR="00216FCA" w:rsidRPr="0058277E"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216FCA" w:rsidRPr="005F0CEF" w:rsidRDefault="001A1AF2">
            <w:pPr>
              <w:rPr>
                <w:b/>
              </w:rPr>
            </w:pPr>
            <w:r w:rsidRPr="005F0CEF">
              <w:rPr>
                <w:b/>
              </w:rPr>
              <w:t>1. Title/basic act/ CRIS number</w:t>
            </w:r>
          </w:p>
        </w:tc>
        <w:tc>
          <w:tcPr>
            <w:tcW w:w="7163" w:type="dxa"/>
            <w:gridSpan w:val="4"/>
            <w:tcBorders>
              <w:top w:val="single" w:sz="4" w:space="0" w:color="auto"/>
              <w:left w:val="single" w:sz="4" w:space="0" w:color="auto"/>
              <w:bottom w:val="single" w:sz="4" w:space="0" w:color="auto"/>
              <w:right w:val="single" w:sz="4" w:space="0" w:color="auto"/>
            </w:tcBorders>
          </w:tcPr>
          <w:p w:rsidR="008B1549" w:rsidRPr="005F0CEF" w:rsidRDefault="00C11E46" w:rsidP="00774B33">
            <w:pPr>
              <w:jc w:val="left"/>
              <w:rPr>
                <w:b/>
                <w:szCs w:val="22"/>
                <w:lang w:eastAsia="en-GB"/>
              </w:rPr>
            </w:pPr>
            <w:r w:rsidRPr="005F0CEF">
              <w:rPr>
                <w:b/>
                <w:szCs w:val="22"/>
                <w:lang w:eastAsia="en-GB"/>
              </w:rPr>
              <w:t>Support to</w:t>
            </w:r>
            <w:r w:rsidR="008B1549" w:rsidRPr="005F0CEF">
              <w:rPr>
                <w:b/>
                <w:szCs w:val="22"/>
                <w:lang w:eastAsia="en-GB"/>
              </w:rPr>
              <w:t xml:space="preserve"> local civil society</w:t>
            </w:r>
            <w:r w:rsidR="005F0CEF" w:rsidRPr="005F0CEF">
              <w:rPr>
                <w:b/>
                <w:szCs w:val="22"/>
                <w:lang w:eastAsia="en-GB"/>
              </w:rPr>
              <w:t xml:space="preserve"> action</w:t>
            </w:r>
            <w:r w:rsidR="008B1549" w:rsidRPr="005F0CEF">
              <w:rPr>
                <w:b/>
                <w:szCs w:val="22"/>
                <w:lang w:eastAsia="en-GB"/>
              </w:rPr>
              <w:t xml:space="preserve"> </w:t>
            </w:r>
            <w:r w:rsidRPr="005F0CEF">
              <w:rPr>
                <w:b/>
                <w:szCs w:val="22"/>
                <w:lang w:eastAsia="en-GB"/>
              </w:rPr>
              <w:t xml:space="preserve">through </w:t>
            </w:r>
            <w:r w:rsidR="008B1549" w:rsidRPr="005F0CEF">
              <w:rPr>
                <w:b/>
                <w:szCs w:val="22"/>
                <w:lang w:eastAsia="en-GB"/>
              </w:rPr>
              <w:t>Country-Based Support Scheme (CBSS)</w:t>
            </w:r>
          </w:p>
          <w:p w:rsidR="00774B33" w:rsidRPr="00ED31CC" w:rsidRDefault="001A1AF2" w:rsidP="00774B33">
            <w:pPr>
              <w:jc w:val="left"/>
              <w:rPr>
                <w:lang w:val="de-DE"/>
              </w:rPr>
            </w:pPr>
            <w:r w:rsidRPr="00ED31CC">
              <w:rPr>
                <w:highlight w:val="yellow"/>
                <w:lang w:val="de-DE"/>
              </w:rPr>
              <w:t xml:space="preserve">CRIS number: </w:t>
            </w:r>
            <w:r w:rsidR="00ED31CC" w:rsidRPr="00ED31CC">
              <w:rPr>
                <w:highlight w:val="yellow"/>
                <w:lang w:val="de-DE"/>
              </w:rPr>
              <w:t>EIDHR/2018/041-027; EIDHR/2019/041-337; EIDHR/2020/041-34</w:t>
            </w:r>
          </w:p>
          <w:p w:rsidR="00216FCA" w:rsidRPr="001845BF" w:rsidRDefault="001A1AF2" w:rsidP="00774B33">
            <w:pPr>
              <w:jc w:val="left"/>
            </w:pPr>
            <w:r w:rsidRPr="005F0CEF">
              <w:t>financed under the European Instrument for Democracy and Human Rights</w:t>
            </w:r>
          </w:p>
        </w:tc>
      </w:tr>
      <w:tr w:rsidR="00216FCA" w:rsidRPr="0058277E"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216FCA" w:rsidRPr="0058277E" w:rsidRDefault="001A1AF2">
            <w:pPr>
              <w:rPr>
                <w:b/>
              </w:rPr>
            </w:pPr>
            <w:r w:rsidRPr="0058277E">
              <w:rPr>
                <w:b/>
              </w:rPr>
              <w:t>2. Zone benefiting from the action/location</w:t>
            </w:r>
          </w:p>
        </w:tc>
        <w:tc>
          <w:tcPr>
            <w:tcW w:w="7163" w:type="dxa"/>
            <w:gridSpan w:val="4"/>
            <w:tcBorders>
              <w:top w:val="single" w:sz="4" w:space="0" w:color="auto"/>
              <w:left w:val="single" w:sz="4" w:space="0" w:color="auto"/>
              <w:bottom w:val="single" w:sz="4" w:space="0" w:color="auto"/>
              <w:right w:val="single" w:sz="4" w:space="0" w:color="auto"/>
            </w:tcBorders>
          </w:tcPr>
          <w:p w:rsidR="00216FCA" w:rsidRPr="0058277E" w:rsidRDefault="008705E1" w:rsidP="008705E1">
            <w:r w:rsidRPr="0058277E">
              <w:t xml:space="preserve">Worldwide (in principle, </w:t>
            </w:r>
            <w:r w:rsidR="001A1AF2" w:rsidRPr="0058277E">
              <w:t>actions take place in the beneficiary country where the grant has been awarded</w:t>
            </w:r>
            <w:r w:rsidRPr="0058277E">
              <w:t>)</w:t>
            </w:r>
          </w:p>
        </w:tc>
      </w:tr>
      <w:tr w:rsidR="00216FCA" w:rsidRPr="0058277E"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216FCA" w:rsidRPr="0058277E" w:rsidRDefault="001A1AF2">
            <w:pPr>
              <w:rPr>
                <w:b/>
              </w:rPr>
            </w:pPr>
            <w:r w:rsidRPr="0058277E">
              <w:rPr>
                <w:b/>
              </w:rPr>
              <w:t>3. Programming document</w:t>
            </w:r>
          </w:p>
        </w:tc>
        <w:tc>
          <w:tcPr>
            <w:tcW w:w="7163" w:type="dxa"/>
            <w:gridSpan w:val="4"/>
            <w:tcBorders>
              <w:top w:val="single" w:sz="4" w:space="0" w:color="auto"/>
              <w:left w:val="single" w:sz="4" w:space="0" w:color="auto"/>
              <w:bottom w:val="single" w:sz="4" w:space="0" w:color="auto"/>
              <w:right w:val="single" w:sz="4" w:space="0" w:color="auto"/>
            </w:tcBorders>
          </w:tcPr>
          <w:p w:rsidR="00216FCA" w:rsidRPr="0058277E" w:rsidRDefault="008705E1">
            <w:r w:rsidRPr="0058277E">
              <w:rPr>
                <w:highlight w:val="yellow"/>
              </w:rPr>
              <w:t>Xxx Commission Implementing Decision of xx.xx.xxxx on the Multiannual Indicative Programme (2018-20) for the European Instrument for Democracy and Human Rights</w:t>
            </w:r>
          </w:p>
        </w:tc>
      </w:tr>
      <w:tr w:rsidR="00216FCA" w:rsidRPr="0058277E"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216FCA" w:rsidRPr="0058277E" w:rsidRDefault="001A1AF2">
            <w:pPr>
              <w:rPr>
                <w:b/>
              </w:rPr>
            </w:pPr>
            <w:r w:rsidRPr="0058277E">
              <w:rPr>
                <w:b/>
              </w:rPr>
              <w:t>4. Sector of concentration/ thematic area</w:t>
            </w:r>
          </w:p>
        </w:tc>
        <w:tc>
          <w:tcPr>
            <w:tcW w:w="7163" w:type="dxa"/>
            <w:gridSpan w:val="4"/>
            <w:tcBorders>
              <w:top w:val="single" w:sz="4" w:space="0" w:color="auto"/>
              <w:left w:val="single" w:sz="4" w:space="0" w:color="auto"/>
              <w:bottom w:val="single" w:sz="4" w:space="0" w:color="auto"/>
              <w:right w:val="single" w:sz="4" w:space="0" w:color="auto"/>
            </w:tcBorders>
          </w:tcPr>
          <w:p w:rsidR="00216FCA" w:rsidRPr="0058277E" w:rsidRDefault="001A1AF2">
            <w:r w:rsidRPr="0058277E">
              <w:t>Human Rights and Democracy</w:t>
            </w:r>
          </w:p>
        </w:tc>
      </w:tr>
      <w:tr w:rsidR="00216FCA" w:rsidRPr="00361287"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216FCA" w:rsidRPr="00C11E46" w:rsidRDefault="001A1AF2">
            <w:pPr>
              <w:rPr>
                <w:b/>
              </w:rPr>
            </w:pPr>
            <w:r w:rsidRPr="00C11E46">
              <w:rPr>
                <w:b/>
              </w:rPr>
              <w:t>5. Amounts concerned</w:t>
            </w:r>
          </w:p>
        </w:tc>
        <w:tc>
          <w:tcPr>
            <w:tcW w:w="7163" w:type="dxa"/>
            <w:gridSpan w:val="4"/>
            <w:tcBorders>
              <w:top w:val="single" w:sz="4" w:space="0" w:color="auto"/>
              <w:left w:val="single" w:sz="4" w:space="0" w:color="auto"/>
              <w:bottom w:val="single" w:sz="4" w:space="0" w:color="auto"/>
              <w:right w:val="single" w:sz="4" w:space="0" w:color="auto"/>
            </w:tcBorders>
          </w:tcPr>
          <w:p w:rsidR="00C11E46" w:rsidRPr="00C11E46" w:rsidRDefault="00581EAB" w:rsidP="00581EAB">
            <w:pPr>
              <w:ind w:right="-25"/>
            </w:pPr>
            <w:r w:rsidRPr="00C11E46">
              <w:t xml:space="preserve">Total estimated cost: </w:t>
            </w:r>
            <w:r w:rsidR="00C11E46" w:rsidRPr="00C11E46">
              <w:t>tbd</w:t>
            </w:r>
          </w:p>
          <w:p w:rsidR="00581EAB" w:rsidRPr="005071E1" w:rsidRDefault="00C11E46" w:rsidP="00581EAB">
            <w:pPr>
              <w:ind w:right="-25"/>
            </w:pPr>
            <w:r w:rsidRPr="00C11E46">
              <w:t>Total amo</w:t>
            </w:r>
            <w:r w:rsidRPr="005071E1">
              <w:t xml:space="preserve">unt of EU budget contribution: </w:t>
            </w:r>
            <w:r w:rsidR="00581EAB" w:rsidRPr="005071E1">
              <w:rPr>
                <w:b/>
              </w:rPr>
              <w:t xml:space="preserve">EUR </w:t>
            </w:r>
            <w:r w:rsidR="00D136D8" w:rsidRPr="005071E1">
              <w:rPr>
                <w:b/>
              </w:rPr>
              <w:t>270</w:t>
            </w:r>
            <w:r w:rsidR="00581EAB" w:rsidRPr="005071E1">
              <w:rPr>
                <w:b/>
              </w:rPr>
              <w:t>,</w:t>
            </w:r>
            <w:r w:rsidR="00C82C57" w:rsidRPr="005071E1">
              <w:rPr>
                <w:b/>
              </w:rPr>
              <w:t>690</w:t>
            </w:r>
            <w:r w:rsidR="00581EAB" w:rsidRPr="005071E1">
              <w:rPr>
                <w:b/>
              </w:rPr>
              <w:t>,000</w:t>
            </w:r>
          </w:p>
          <w:p w:rsidR="00C11E46" w:rsidRPr="005071E1" w:rsidRDefault="00581EAB" w:rsidP="00581EAB">
            <w:pPr>
              <w:ind w:right="-25"/>
            </w:pPr>
            <w:r w:rsidRPr="005071E1">
              <w:lastRenderedPageBreak/>
              <w:t>The contribution is for an amount of</w:t>
            </w:r>
            <w:r w:rsidR="00C11E46" w:rsidRPr="005071E1">
              <w:t>:</w:t>
            </w:r>
          </w:p>
          <w:p w:rsidR="00C11E46" w:rsidRPr="005071E1" w:rsidRDefault="00D136D8" w:rsidP="00C11E46">
            <w:pPr>
              <w:pStyle w:val="ListParagraph"/>
              <w:numPr>
                <w:ilvl w:val="0"/>
                <w:numId w:val="34"/>
              </w:numPr>
              <w:ind w:right="-25"/>
            </w:pPr>
            <w:r w:rsidRPr="005071E1">
              <w:t xml:space="preserve">EUR </w:t>
            </w:r>
            <w:r w:rsidR="00C11E46" w:rsidRPr="005071E1">
              <w:rPr>
                <w:color w:val="000000"/>
              </w:rPr>
              <w:t xml:space="preserve">84,650,000 </w:t>
            </w:r>
            <w:r w:rsidRPr="005071E1">
              <w:t xml:space="preserve"> </w:t>
            </w:r>
            <w:r w:rsidR="00581EAB" w:rsidRPr="005071E1">
              <w:t xml:space="preserve">from the general budget of the European Union for 2018, </w:t>
            </w:r>
          </w:p>
          <w:p w:rsidR="00C11E46" w:rsidRPr="005071E1" w:rsidRDefault="00581EAB" w:rsidP="00C11E46">
            <w:pPr>
              <w:pStyle w:val="ListParagraph"/>
              <w:numPr>
                <w:ilvl w:val="0"/>
                <w:numId w:val="34"/>
              </w:numPr>
              <w:ind w:right="-25"/>
            </w:pPr>
            <w:r w:rsidRPr="005071E1">
              <w:t xml:space="preserve">EUR </w:t>
            </w:r>
            <w:r w:rsidR="00C11E46" w:rsidRPr="005071E1">
              <w:rPr>
                <w:color w:val="000000"/>
              </w:rPr>
              <w:t>86,2</w:t>
            </w:r>
            <w:r w:rsidR="00C82C57" w:rsidRPr="005071E1">
              <w:rPr>
                <w:color w:val="000000"/>
              </w:rPr>
              <w:t>50</w:t>
            </w:r>
            <w:r w:rsidR="00C11E46" w:rsidRPr="005071E1">
              <w:rPr>
                <w:color w:val="000000"/>
              </w:rPr>
              <w:t>,000</w:t>
            </w:r>
            <w:r w:rsidR="00C11E46" w:rsidRPr="005071E1">
              <w:t xml:space="preserve"> </w:t>
            </w:r>
            <w:r w:rsidRPr="005071E1">
              <w:t>from the general budget of the European Union for 2019, subject to the availability of appropriations following the adoption of the relevant budget</w:t>
            </w:r>
          </w:p>
          <w:p w:rsidR="00216FCA" w:rsidRPr="00B45E4F" w:rsidRDefault="00D136D8" w:rsidP="00C82C57">
            <w:pPr>
              <w:pStyle w:val="ListParagraph"/>
              <w:numPr>
                <w:ilvl w:val="0"/>
                <w:numId w:val="34"/>
              </w:numPr>
              <w:ind w:right="-25"/>
            </w:pPr>
            <w:r w:rsidRPr="005071E1">
              <w:t xml:space="preserve">EUR </w:t>
            </w:r>
            <w:r w:rsidR="00C11E46" w:rsidRPr="005071E1">
              <w:rPr>
                <w:color w:val="000000"/>
              </w:rPr>
              <w:t>99,</w:t>
            </w:r>
            <w:r w:rsidR="00C82C57" w:rsidRPr="005071E1">
              <w:rPr>
                <w:color w:val="000000"/>
              </w:rPr>
              <w:t>790</w:t>
            </w:r>
            <w:r w:rsidR="00C11E46" w:rsidRPr="005071E1">
              <w:rPr>
                <w:color w:val="000000"/>
              </w:rPr>
              <w:t>,000</w:t>
            </w:r>
            <w:r w:rsidR="00581EAB" w:rsidRPr="005071E1">
              <w:t xml:space="preserve"> from the general budget of the European Union for 2020, subject to the availability of appropriations following the adoption of the relevant budget.</w:t>
            </w:r>
          </w:p>
        </w:tc>
      </w:tr>
      <w:tr w:rsidR="00216FCA" w:rsidRPr="0058277E"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216FCA" w:rsidRPr="0058277E" w:rsidRDefault="001A1AF2">
            <w:pPr>
              <w:rPr>
                <w:b/>
              </w:rPr>
            </w:pPr>
            <w:r w:rsidRPr="0058277E">
              <w:rPr>
                <w:b/>
              </w:rPr>
              <w:lastRenderedPageBreak/>
              <w:t>6. Aid modalities</w:t>
            </w:r>
          </w:p>
          <w:p w:rsidR="00216FCA" w:rsidRPr="0058277E" w:rsidRDefault="001A1AF2">
            <w:pPr>
              <w:rPr>
                <w:b/>
              </w:rPr>
            </w:pPr>
            <w:r w:rsidRPr="0058277E">
              <w:rPr>
                <w:b/>
              </w:rPr>
              <w:t>and implementation modalities</w:t>
            </w:r>
          </w:p>
        </w:tc>
        <w:tc>
          <w:tcPr>
            <w:tcW w:w="7163" w:type="dxa"/>
            <w:gridSpan w:val="4"/>
            <w:tcBorders>
              <w:top w:val="single" w:sz="4" w:space="0" w:color="auto"/>
              <w:left w:val="single" w:sz="4" w:space="0" w:color="auto"/>
              <w:bottom w:val="single" w:sz="4" w:space="0" w:color="auto"/>
              <w:right w:val="single" w:sz="4" w:space="0" w:color="auto"/>
            </w:tcBorders>
          </w:tcPr>
          <w:p w:rsidR="00216FCA" w:rsidRPr="00C11E46" w:rsidRDefault="001A1AF2">
            <w:r w:rsidRPr="00C11E46">
              <w:t>Project Modality</w:t>
            </w:r>
          </w:p>
          <w:p w:rsidR="00216FCA" w:rsidRPr="00C11E46" w:rsidRDefault="001A1AF2" w:rsidP="00B45E4F">
            <w:r w:rsidRPr="00B45E4F">
              <w:t>Direct management: grants – call for proposals; grants – direct award;</w:t>
            </w:r>
            <w:r w:rsidRPr="00B45E4F">
              <w:rPr>
                <w:b/>
              </w:rPr>
              <w:t xml:space="preserve"> </w:t>
            </w:r>
            <w:r w:rsidRPr="00A44A2F">
              <w:t>procurement of services</w:t>
            </w:r>
          </w:p>
        </w:tc>
      </w:tr>
      <w:tr w:rsidR="00D31542" w:rsidRPr="0058277E" w:rsidTr="00D31542">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tcPr>
          <w:p w:rsidR="00D31542" w:rsidRPr="0058277E" w:rsidRDefault="00D31542" w:rsidP="00D31542">
            <w:pPr>
              <w:rPr>
                <w:b/>
              </w:rPr>
            </w:pPr>
            <w:r w:rsidRPr="0058277E">
              <w:rPr>
                <w:b/>
              </w:rPr>
              <w:t>7 a) DAC code(s)</w:t>
            </w:r>
          </w:p>
        </w:tc>
        <w:tc>
          <w:tcPr>
            <w:tcW w:w="7163" w:type="dxa"/>
            <w:gridSpan w:val="4"/>
            <w:tcBorders>
              <w:top w:val="single" w:sz="4" w:space="0" w:color="auto"/>
              <w:left w:val="single" w:sz="4" w:space="0" w:color="auto"/>
              <w:bottom w:val="single" w:sz="4" w:space="0" w:color="auto"/>
              <w:right w:val="single" w:sz="4" w:space="0" w:color="auto"/>
            </w:tcBorders>
          </w:tcPr>
          <w:p w:rsidR="00D31542" w:rsidRPr="0058277E" w:rsidRDefault="00D31542" w:rsidP="00D31542">
            <w:r w:rsidRPr="0058277E">
              <w:t>15160 - Human Rights</w:t>
            </w:r>
          </w:p>
        </w:tc>
      </w:tr>
      <w:tr w:rsidR="00D31542" w:rsidRPr="0058277E" w:rsidTr="00D31542">
        <w:tblPrEx>
          <w:tblLook w:val="01E0" w:firstRow="1" w:lastRow="1" w:firstColumn="1" w:lastColumn="1" w:noHBand="0" w:noVBand="0"/>
        </w:tblPrEx>
        <w:tc>
          <w:tcPr>
            <w:tcW w:w="2152" w:type="dxa"/>
            <w:gridSpan w:val="2"/>
            <w:tcBorders>
              <w:top w:val="single" w:sz="4" w:space="0" w:color="auto"/>
              <w:left w:val="single" w:sz="4" w:space="0" w:color="auto"/>
              <w:bottom w:val="single" w:sz="4" w:space="0" w:color="auto"/>
              <w:right w:val="single" w:sz="4" w:space="0" w:color="auto"/>
            </w:tcBorders>
            <w:hideMark/>
          </w:tcPr>
          <w:p w:rsidR="00D31542" w:rsidRPr="0058277E" w:rsidRDefault="00D31542">
            <w:pPr>
              <w:pStyle w:val="Text1"/>
              <w:tabs>
                <w:tab w:val="left" w:pos="420"/>
              </w:tabs>
              <w:spacing w:before="60" w:after="60"/>
              <w:ind w:left="142"/>
              <w:jc w:val="left"/>
              <w:rPr>
                <w:b/>
              </w:rPr>
            </w:pPr>
            <w:r w:rsidRPr="0058277E">
              <w:rPr>
                <w:b/>
              </w:rPr>
              <w:t>b) Main Delivery   Channel</w:t>
            </w:r>
          </w:p>
        </w:tc>
        <w:tc>
          <w:tcPr>
            <w:tcW w:w="7178" w:type="dxa"/>
            <w:gridSpan w:val="6"/>
            <w:tcBorders>
              <w:top w:val="single" w:sz="4" w:space="0" w:color="auto"/>
              <w:left w:val="single" w:sz="4" w:space="0" w:color="auto"/>
              <w:bottom w:val="single" w:sz="4" w:space="0" w:color="auto"/>
              <w:right w:val="single" w:sz="4" w:space="0" w:color="auto"/>
            </w:tcBorders>
          </w:tcPr>
          <w:p w:rsidR="00D31542" w:rsidRPr="0058277E" w:rsidRDefault="00D31542">
            <w:pPr>
              <w:pStyle w:val="Text1"/>
              <w:spacing w:before="60" w:after="60"/>
              <w:ind w:left="0" w:right="-25"/>
              <w:jc w:val="left"/>
              <w:rPr>
                <w:i/>
                <w:highlight w:val="yellow"/>
                <w:lang w:eastAsia="de-DE"/>
              </w:rPr>
            </w:pPr>
            <w:r w:rsidRPr="0058277E">
              <w:rPr>
                <w:lang w:eastAsia="de-DE"/>
              </w:rPr>
              <w:t>Non-governmental Organisations (NGOs) and Civil Society - 2000</w:t>
            </w:r>
          </w:p>
          <w:p w:rsidR="00D31542" w:rsidRPr="0058277E" w:rsidRDefault="00D31542">
            <w:pPr>
              <w:pStyle w:val="Text1"/>
              <w:spacing w:before="60" w:after="60"/>
              <w:ind w:left="0" w:right="-25"/>
              <w:jc w:val="left"/>
              <w:rPr>
                <w:highlight w:val="yellow"/>
                <w:lang w:eastAsia="de-DE"/>
              </w:rPr>
            </w:pPr>
          </w:p>
        </w:tc>
      </w:tr>
      <w:tr w:rsidR="00216FCA" w:rsidRPr="0058277E" w:rsidTr="00D31542">
        <w:trPr>
          <w:gridAfter w:val="1"/>
          <w:wAfter w:w="7" w:type="dxa"/>
        </w:trPr>
        <w:tc>
          <w:tcPr>
            <w:tcW w:w="2160" w:type="dxa"/>
            <w:gridSpan w:val="3"/>
            <w:vMerge w:val="restart"/>
            <w:tcBorders>
              <w:top w:val="single" w:sz="4" w:space="0" w:color="auto"/>
              <w:left w:val="single" w:sz="4" w:space="0" w:color="auto"/>
              <w:bottom w:val="single" w:sz="4" w:space="0" w:color="auto"/>
              <w:right w:val="single" w:sz="4" w:space="0" w:color="auto"/>
            </w:tcBorders>
          </w:tcPr>
          <w:p w:rsidR="00216FCA" w:rsidRPr="0058277E" w:rsidRDefault="001A1AF2">
            <w:pPr>
              <w:rPr>
                <w:b/>
              </w:rPr>
            </w:pPr>
            <w:r w:rsidRPr="0058277E">
              <w:rPr>
                <w:b/>
              </w:rPr>
              <w:t>8. Markers (from CRIS DAC form)</w:t>
            </w:r>
          </w:p>
        </w:tc>
        <w:tc>
          <w:tcPr>
            <w:tcW w:w="3347"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General policy objective</w:t>
            </w:r>
          </w:p>
        </w:tc>
        <w:tc>
          <w:tcPr>
            <w:tcW w:w="1093"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Not targeted</w:t>
            </w:r>
          </w:p>
        </w:tc>
        <w:tc>
          <w:tcPr>
            <w:tcW w:w="1320"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Main objective</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Participation development/good governance</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Aid to environment</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Gender equality (including Women In Development)</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A01503">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A01503">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Trade Development</w:t>
            </w:r>
          </w:p>
        </w:tc>
        <w:tc>
          <w:tcPr>
            <w:tcW w:w="1093" w:type="dxa"/>
            <w:tcBorders>
              <w:top w:val="single" w:sz="4" w:space="0" w:color="auto"/>
              <w:left w:val="nil"/>
              <w:bottom w:val="single" w:sz="4" w:space="0" w:color="auto"/>
              <w:right w:val="single" w:sz="4" w:space="0" w:color="auto"/>
            </w:tcBorders>
          </w:tcPr>
          <w:p w:rsidR="00216FCA" w:rsidRPr="0058277E" w:rsidRDefault="009037FE">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9037FE">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Reproductive, Maternal, New born and child health</w:t>
            </w:r>
          </w:p>
        </w:tc>
        <w:tc>
          <w:tcPr>
            <w:tcW w:w="1093" w:type="dxa"/>
            <w:tcBorders>
              <w:top w:val="single" w:sz="4" w:space="0" w:color="auto"/>
              <w:left w:val="nil"/>
              <w:bottom w:val="single" w:sz="4" w:space="0" w:color="auto"/>
              <w:right w:val="single" w:sz="4" w:space="0" w:color="auto"/>
            </w:tcBorders>
          </w:tcPr>
          <w:p w:rsidR="00216FCA" w:rsidRPr="0058277E" w:rsidRDefault="009037FE">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9037FE">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RIO Convention markers</w:t>
            </w:r>
          </w:p>
        </w:tc>
        <w:tc>
          <w:tcPr>
            <w:tcW w:w="1093"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Not targeted</w:t>
            </w:r>
          </w:p>
        </w:tc>
        <w:tc>
          <w:tcPr>
            <w:tcW w:w="1320"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rsidR="00216FCA" w:rsidRPr="0058277E" w:rsidRDefault="001A1AF2">
            <w:pPr>
              <w:rPr>
                <w:b/>
              </w:rPr>
            </w:pPr>
            <w:r w:rsidRPr="0058277E">
              <w:rPr>
                <w:b/>
              </w:rPr>
              <w:t>Main objective</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Biological diversity</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Combat desertification</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Climate change mitigation</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216FCA" w:rsidRPr="0058277E" w:rsidTr="00D31542">
        <w:trPr>
          <w:gridAfter w:val="1"/>
          <w:wAfter w:w="7" w:type="dxa"/>
        </w:trPr>
        <w:tc>
          <w:tcPr>
            <w:tcW w:w="2160" w:type="dxa"/>
            <w:gridSpan w:val="3"/>
            <w:vMerge/>
            <w:tcBorders>
              <w:top w:val="single" w:sz="4" w:space="0" w:color="auto"/>
              <w:left w:val="single" w:sz="4" w:space="0" w:color="auto"/>
              <w:bottom w:val="single" w:sz="4" w:space="0" w:color="auto"/>
              <w:right w:val="single" w:sz="4" w:space="0" w:color="auto"/>
            </w:tcBorders>
          </w:tcPr>
          <w:p w:rsidR="00216FCA" w:rsidRPr="0058277E" w:rsidRDefault="00216FCA">
            <w:pPr>
              <w:rPr>
                <w:b/>
              </w:rPr>
            </w:pPr>
          </w:p>
        </w:tc>
        <w:tc>
          <w:tcPr>
            <w:tcW w:w="3347" w:type="dxa"/>
            <w:tcBorders>
              <w:top w:val="single" w:sz="4" w:space="0" w:color="auto"/>
              <w:left w:val="nil"/>
              <w:bottom w:val="single" w:sz="4" w:space="0" w:color="auto"/>
              <w:right w:val="single" w:sz="4" w:space="0" w:color="auto"/>
            </w:tcBorders>
          </w:tcPr>
          <w:p w:rsidR="00216FCA" w:rsidRPr="0058277E" w:rsidRDefault="001A1AF2">
            <w:r w:rsidRPr="0058277E">
              <w:t>Climate change adaptation</w:t>
            </w:r>
          </w:p>
        </w:tc>
        <w:tc>
          <w:tcPr>
            <w:tcW w:w="109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320"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c>
          <w:tcPr>
            <w:tcW w:w="1403" w:type="dxa"/>
            <w:tcBorders>
              <w:top w:val="single" w:sz="4" w:space="0" w:color="auto"/>
              <w:left w:val="nil"/>
              <w:bottom w:val="single" w:sz="4" w:space="0" w:color="auto"/>
              <w:right w:val="single" w:sz="4" w:space="0" w:color="auto"/>
            </w:tcBorders>
          </w:tcPr>
          <w:p w:rsidR="00216FCA" w:rsidRPr="0058277E" w:rsidRDefault="001A1AF2">
            <w:r w:rsidRPr="0058277E">
              <w:rPr>
                <w:rFonts w:ascii="MS Mincho" w:eastAsia="MS Mincho" w:hAnsi="MS Mincho" w:cs="MS Mincho"/>
              </w:rPr>
              <w:t>☐</w:t>
            </w:r>
          </w:p>
        </w:tc>
      </w:tr>
      <w:tr w:rsidR="009037FE" w:rsidRPr="0058277E" w:rsidTr="00D31542">
        <w:tblPrEx>
          <w:tblLook w:val="01E0" w:firstRow="1" w:lastRow="1" w:firstColumn="1" w:lastColumn="1" w:noHBand="0" w:noVBand="0"/>
        </w:tblPrEx>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shd w:val="clear" w:color="auto" w:fill="auto"/>
          </w:tcPr>
          <w:p w:rsidR="009037FE" w:rsidRPr="0058277E" w:rsidRDefault="009037FE" w:rsidP="00043F6D">
            <w:pPr>
              <w:pStyle w:val="Text1"/>
              <w:spacing w:before="60" w:after="60"/>
              <w:ind w:left="-10" w:right="-108"/>
              <w:jc w:val="left"/>
              <w:rPr>
                <w:b/>
              </w:rPr>
            </w:pPr>
            <w:r w:rsidRPr="0058277E">
              <w:rPr>
                <w:b/>
              </w:rPr>
              <w:t xml:space="preserve">9. Global Public Goods and </w:t>
            </w:r>
            <w:r w:rsidRPr="0058277E">
              <w:rPr>
                <w:b/>
              </w:rPr>
              <w:lastRenderedPageBreak/>
              <w:t>Challenges (GPGC) thematic flagships</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tcPr>
          <w:p w:rsidR="009037FE" w:rsidRPr="0058277E" w:rsidRDefault="009037FE" w:rsidP="00581EAB">
            <w:pPr>
              <w:pStyle w:val="Text1"/>
              <w:spacing w:before="60" w:after="60"/>
              <w:ind w:left="0" w:right="-25"/>
              <w:jc w:val="left"/>
              <w:rPr>
                <w:lang w:eastAsia="de-DE"/>
              </w:rPr>
            </w:pPr>
            <w:r w:rsidRPr="0058277E">
              <w:rPr>
                <w:lang w:eastAsia="de-DE"/>
              </w:rPr>
              <w:lastRenderedPageBreak/>
              <w:t>NA</w:t>
            </w:r>
          </w:p>
        </w:tc>
      </w:tr>
      <w:tr w:rsidR="00043F6D" w:rsidRPr="0058277E" w:rsidTr="00D31542">
        <w:tblPrEx>
          <w:tblLook w:val="01E0" w:firstRow="1" w:lastRow="1" w:firstColumn="1" w:lastColumn="1" w:noHBand="0" w:noVBand="0"/>
        </w:tblPrEx>
        <w:trPr>
          <w:gridBefore w:val="1"/>
          <w:gridAfter w:val="1"/>
          <w:wBefore w:w="12" w:type="dxa"/>
          <w:wAfter w:w="7" w:type="dxa"/>
        </w:trPr>
        <w:tc>
          <w:tcPr>
            <w:tcW w:w="2148" w:type="dxa"/>
            <w:gridSpan w:val="2"/>
            <w:tcBorders>
              <w:top w:val="single" w:sz="4" w:space="0" w:color="auto"/>
              <w:left w:val="single" w:sz="4" w:space="0" w:color="auto"/>
              <w:bottom w:val="single" w:sz="4" w:space="0" w:color="auto"/>
              <w:right w:val="single" w:sz="4" w:space="0" w:color="auto"/>
            </w:tcBorders>
            <w:shd w:val="clear" w:color="auto" w:fill="auto"/>
          </w:tcPr>
          <w:p w:rsidR="009037FE" w:rsidRPr="0058277E" w:rsidRDefault="009037FE" w:rsidP="00084E11">
            <w:pPr>
              <w:pStyle w:val="Text1"/>
              <w:spacing w:before="60" w:after="60"/>
              <w:ind w:left="-10" w:right="-108"/>
              <w:jc w:val="left"/>
              <w:rPr>
                <w:b/>
              </w:rPr>
            </w:pPr>
            <w:r w:rsidRPr="0058277E">
              <w:rPr>
                <w:b/>
              </w:rPr>
              <w:lastRenderedPageBreak/>
              <w:t>10. SDGs</w:t>
            </w:r>
          </w:p>
        </w:tc>
        <w:tc>
          <w:tcPr>
            <w:tcW w:w="7163" w:type="dxa"/>
            <w:gridSpan w:val="4"/>
            <w:tcBorders>
              <w:top w:val="single" w:sz="4" w:space="0" w:color="auto"/>
              <w:left w:val="single" w:sz="4" w:space="0" w:color="auto"/>
              <w:bottom w:val="single" w:sz="4" w:space="0" w:color="auto"/>
              <w:right w:val="single" w:sz="4" w:space="0" w:color="auto"/>
            </w:tcBorders>
            <w:shd w:val="clear" w:color="auto" w:fill="auto"/>
          </w:tcPr>
          <w:p w:rsidR="00D32EAF" w:rsidRPr="00D32EAF" w:rsidRDefault="00D32EAF" w:rsidP="00581EAB">
            <w:pPr>
              <w:pStyle w:val="Text1"/>
              <w:spacing w:before="60" w:after="60"/>
              <w:ind w:left="0" w:right="-25"/>
              <w:jc w:val="left"/>
              <w:rPr>
                <w:lang w:eastAsia="de-DE"/>
              </w:rPr>
            </w:pPr>
            <w:r w:rsidRPr="00D32EAF">
              <w:t xml:space="preserve">While due to its human rights focus the action contributes to the implementation of the 2030 Agenda as a whole, the </w:t>
            </w:r>
            <w:r w:rsidR="00314A2F">
              <w:t xml:space="preserve">direct </w:t>
            </w:r>
            <w:r w:rsidRPr="00D32EAF">
              <w:t>contribution is towards</w:t>
            </w:r>
            <w:r>
              <w:t>:</w:t>
            </w:r>
          </w:p>
          <w:p w:rsidR="009037FE" w:rsidRPr="00D32EAF" w:rsidRDefault="00D32EAF" w:rsidP="00581EAB">
            <w:pPr>
              <w:pStyle w:val="Text1"/>
              <w:spacing w:before="60" w:after="60"/>
              <w:ind w:left="0" w:right="-25"/>
              <w:jc w:val="left"/>
              <w:rPr>
                <w:lang w:eastAsia="de-DE"/>
              </w:rPr>
            </w:pPr>
            <w:r>
              <w:rPr>
                <w:lang w:eastAsia="de-DE"/>
              </w:rPr>
              <w:t>As a main goal,</w:t>
            </w:r>
            <w:r w:rsidR="009037FE" w:rsidRPr="00D32EAF">
              <w:rPr>
                <w:lang w:eastAsia="de-DE"/>
              </w:rPr>
              <w:t xml:space="preserve"> SDG 16: promote peaceful and inclusive societies for sustainable development, provide access to justice for all and build effective, accountable and inclusive institutions at all levels</w:t>
            </w:r>
          </w:p>
          <w:p w:rsidR="009037FE" w:rsidRPr="00D32EAF" w:rsidRDefault="00D32EAF" w:rsidP="00581EAB">
            <w:pPr>
              <w:pStyle w:val="Text1"/>
              <w:spacing w:before="60" w:after="60"/>
              <w:ind w:left="0" w:right="-25"/>
              <w:jc w:val="left"/>
              <w:rPr>
                <w:lang w:eastAsia="de-DE"/>
              </w:rPr>
            </w:pPr>
            <w:r>
              <w:rPr>
                <w:lang w:eastAsia="de-DE"/>
              </w:rPr>
              <w:t>As secondary goals,</w:t>
            </w:r>
          </w:p>
          <w:p w:rsidR="009037FE" w:rsidRPr="00D32EAF" w:rsidRDefault="009037FE" w:rsidP="00581EAB">
            <w:pPr>
              <w:pStyle w:val="Text1"/>
              <w:spacing w:before="60" w:after="60"/>
              <w:ind w:left="0" w:right="-25"/>
              <w:jc w:val="left"/>
              <w:rPr>
                <w:lang w:eastAsia="de-DE"/>
              </w:rPr>
            </w:pPr>
            <w:r w:rsidRPr="00D32EAF">
              <w:rPr>
                <w:lang w:eastAsia="de-DE"/>
              </w:rPr>
              <w:t xml:space="preserve">- SDG 5: achieve gender equality and empower all women and girls </w:t>
            </w:r>
          </w:p>
          <w:p w:rsidR="009037FE" w:rsidRPr="00D32EAF" w:rsidRDefault="009037FE" w:rsidP="00581EAB">
            <w:pPr>
              <w:pStyle w:val="Text1"/>
              <w:spacing w:before="60" w:after="60"/>
              <w:ind w:left="0" w:right="-25"/>
              <w:jc w:val="left"/>
              <w:rPr>
                <w:highlight w:val="yellow"/>
                <w:lang w:eastAsia="de-DE"/>
              </w:rPr>
            </w:pPr>
            <w:r w:rsidRPr="00D32EAF">
              <w:rPr>
                <w:lang w:eastAsia="de-DE"/>
              </w:rPr>
              <w:t>- SDG 10: reduce inequality within and among countries</w:t>
            </w:r>
          </w:p>
        </w:tc>
      </w:tr>
    </w:tbl>
    <w:p w:rsidR="00216FCA" w:rsidRPr="0058277E" w:rsidRDefault="00216FCA">
      <w:pPr>
        <w:rPr>
          <w:b/>
          <w:iCs/>
        </w:rPr>
      </w:pPr>
      <w:bookmarkStart w:id="1" w:name="_Toc391999023"/>
      <w:bookmarkStart w:id="2" w:name="_Toc391022347"/>
      <w:bookmarkStart w:id="3" w:name="_Toc391537189"/>
    </w:p>
    <w:p w:rsidR="00216FCA" w:rsidRPr="006D7161" w:rsidRDefault="001A1AF2">
      <w:pPr>
        <w:pBdr>
          <w:top w:val="single" w:sz="4" w:space="1" w:color="auto"/>
          <w:left w:val="single" w:sz="4" w:space="4" w:color="auto"/>
          <w:bottom w:val="single" w:sz="4" w:space="1" w:color="auto"/>
          <w:right w:val="single" w:sz="4" w:space="4" w:color="auto"/>
        </w:pBdr>
        <w:rPr>
          <w:b/>
          <w:iCs/>
        </w:rPr>
      </w:pPr>
      <w:bookmarkStart w:id="4" w:name="_Toc391999024"/>
      <w:bookmarkEnd w:id="1"/>
      <w:bookmarkEnd w:id="2"/>
      <w:bookmarkEnd w:id="3"/>
      <w:r w:rsidRPr="00A44A2F">
        <w:rPr>
          <w:b/>
          <w:iCs/>
        </w:rPr>
        <w:t xml:space="preserve">Summary </w:t>
      </w:r>
    </w:p>
    <w:bookmarkEnd w:id="4"/>
    <w:p w:rsidR="00B45E4F" w:rsidRPr="00361287" w:rsidRDefault="00B45E4F">
      <w:pPr>
        <w:pBdr>
          <w:top w:val="single" w:sz="4" w:space="1" w:color="auto"/>
          <w:left w:val="single" w:sz="4" w:space="4" w:color="auto"/>
          <w:bottom w:val="single" w:sz="4" w:space="1" w:color="auto"/>
          <w:right w:val="single" w:sz="4" w:space="4" w:color="auto"/>
        </w:pBdr>
        <w:rPr>
          <w:szCs w:val="22"/>
          <w:lang w:eastAsia="en-GB"/>
        </w:rPr>
      </w:pPr>
      <w:r w:rsidRPr="00904716">
        <w:rPr>
          <w:szCs w:val="22"/>
          <w:lang w:eastAsia="en-GB"/>
        </w:rPr>
        <w:t xml:space="preserve">The </w:t>
      </w:r>
      <w:r w:rsidRPr="00727745">
        <w:rPr>
          <w:szCs w:val="22"/>
          <w:lang w:eastAsia="en-GB"/>
        </w:rPr>
        <w:t xml:space="preserve">overall </w:t>
      </w:r>
      <w:r w:rsidRPr="00820B8F">
        <w:rPr>
          <w:szCs w:val="22"/>
          <w:lang w:eastAsia="en-GB"/>
        </w:rPr>
        <w:t>objective</w:t>
      </w:r>
      <w:r w:rsidRPr="00361287">
        <w:rPr>
          <w:szCs w:val="22"/>
          <w:lang w:eastAsia="en-GB"/>
        </w:rPr>
        <w:t xml:space="preserve"> of the </w:t>
      </w:r>
      <w:r w:rsidRPr="00361287">
        <w:rPr>
          <w:b/>
        </w:rPr>
        <w:t>EIDHR</w:t>
      </w:r>
      <w:r w:rsidRPr="00361287">
        <w:t xml:space="preserve"> </w:t>
      </w:r>
      <w:r w:rsidRPr="00361287">
        <w:rPr>
          <w:b/>
        </w:rPr>
        <w:t>Country-Based Support Scheme</w:t>
      </w:r>
      <w:r w:rsidRPr="00361287">
        <w:t xml:space="preserve"> </w:t>
      </w:r>
      <w:r w:rsidRPr="00361287">
        <w:rPr>
          <w:b/>
        </w:rPr>
        <w:t xml:space="preserve">(CBSS) </w:t>
      </w:r>
      <w:r w:rsidRPr="00361287">
        <w:rPr>
          <w:szCs w:val="22"/>
          <w:lang w:eastAsia="en-GB"/>
        </w:rPr>
        <w:t xml:space="preserve">is to support and strengthen civil society organisations, democracy activists and human rights defenders working on critical human rights and democracy issues in third countries. </w:t>
      </w:r>
    </w:p>
    <w:p w:rsidR="00BD6B19" w:rsidRPr="00361287" w:rsidRDefault="00B45E4F">
      <w:pPr>
        <w:pBdr>
          <w:top w:val="single" w:sz="4" w:space="1" w:color="auto"/>
          <w:left w:val="single" w:sz="4" w:space="4" w:color="auto"/>
          <w:bottom w:val="single" w:sz="4" w:space="1" w:color="auto"/>
          <w:right w:val="single" w:sz="4" w:space="4" w:color="auto"/>
        </w:pBdr>
      </w:pPr>
      <w:r w:rsidRPr="00361287">
        <w:t>This action represents a</w:t>
      </w:r>
      <w:r w:rsidR="001A1AF2" w:rsidRPr="00361287">
        <w:t xml:space="preserve">n important </w:t>
      </w:r>
      <w:r w:rsidRPr="00361287">
        <w:t xml:space="preserve">portion </w:t>
      </w:r>
      <w:r w:rsidR="001A1AF2" w:rsidRPr="00361287">
        <w:t xml:space="preserve">of the EIDHR funding </w:t>
      </w:r>
      <w:r w:rsidRPr="00361287">
        <w:t xml:space="preserve">which </w:t>
      </w:r>
      <w:r w:rsidR="001A1AF2" w:rsidRPr="00361287">
        <w:t xml:space="preserve">is </w:t>
      </w:r>
      <w:r w:rsidR="008D2059" w:rsidRPr="00361287">
        <w:t xml:space="preserve">to be </w:t>
      </w:r>
      <w:r w:rsidR="001A1AF2" w:rsidRPr="00361287">
        <w:t>implemented on the ground by EU delegations, in order to respond to country-specific human righ</w:t>
      </w:r>
      <w:r w:rsidR="008A7E77" w:rsidRPr="00361287">
        <w:t xml:space="preserve">ts and democracy challenges, </w:t>
      </w:r>
      <w:r w:rsidR="001A1AF2" w:rsidRPr="00361287">
        <w:t xml:space="preserve">be as close as possible to the needs of the rights holders </w:t>
      </w:r>
      <w:r w:rsidR="008A7E77" w:rsidRPr="00361287">
        <w:t>and boost ownership of local actors</w:t>
      </w:r>
      <w:r w:rsidR="001A1AF2" w:rsidRPr="00361287">
        <w:t xml:space="preserve">. In order to do so, the CBSS offer annual </w:t>
      </w:r>
      <w:r w:rsidR="008D0F2F" w:rsidRPr="00361287">
        <w:t xml:space="preserve">or biennial EIDHR </w:t>
      </w:r>
      <w:r w:rsidR="001A1AF2" w:rsidRPr="00361287">
        <w:t xml:space="preserve">allocations to EU delegations to fund projects implemented by local civil society organisations in </w:t>
      </w:r>
      <w:r w:rsidR="00A44A2F" w:rsidRPr="00361287">
        <w:t xml:space="preserve">support </w:t>
      </w:r>
      <w:r w:rsidR="001A1AF2" w:rsidRPr="00361287">
        <w:t xml:space="preserve">of human rights and democracy. </w:t>
      </w:r>
    </w:p>
    <w:p w:rsidR="0045798B" w:rsidRPr="00904716" w:rsidRDefault="001A1AF2">
      <w:pPr>
        <w:pBdr>
          <w:top w:val="single" w:sz="4" w:space="1" w:color="auto"/>
          <w:left w:val="single" w:sz="4" w:space="4" w:color="auto"/>
          <w:bottom w:val="single" w:sz="4" w:space="1" w:color="auto"/>
          <w:right w:val="single" w:sz="4" w:space="4" w:color="auto"/>
        </w:pBdr>
      </w:pPr>
      <w:r w:rsidRPr="00361287">
        <w:t xml:space="preserve">The grants </w:t>
      </w:r>
      <w:r w:rsidR="00BD6B19" w:rsidRPr="00361287">
        <w:t>will be</w:t>
      </w:r>
      <w:r w:rsidRPr="00361287">
        <w:t xml:space="preserve"> </w:t>
      </w:r>
      <w:r w:rsidR="001C5F78" w:rsidRPr="00361287">
        <w:t xml:space="preserve">primarily </w:t>
      </w:r>
      <w:r w:rsidRPr="00361287">
        <w:t>awarded using the standa</w:t>
      </w:r>
      <w:r w:rsidR="00BD6B19" w:rsidRPr="00361287">
        <w:t>rd EU call for proposals process</w:t>
      </w:r>
      <w:r w:rsidR="001C5F78" w:rsidRPr="00361287">
        <w:t xml:space="preserve"> </w:t>
      </w:r>
      <w:r w:rsidR="00BD6B19" w:rsidRPr="00361287">
        <w:t xml:space="preserve">and </w:t>
      </w:r>
      <w:r w:rsidRPr="00361287">
        <w:t>will aim to implement the objectives 1, 2 and 3 set out in the annex of the EIDHR Regulation 2014-2020</w:t>
      </w:r>
      <w:r w:rsidRPr="00A44A2F">
        <w:rPr>
          <w:rStyle w:val="FootnoteReference"/>
        </w:rPr>
        <w:footnoteReference w:id="1"/>
      </w:r>
      <w:r w:rsidR="006E7D31" w:rsidRPr="00A44A2F">
        <w:t>:</w:t>
      </w:r>
      <w:r w:rsidRPr="006D7161">
        <w:t xml:space="preserve"> </w:t>
      </w:r>
    </w:p>
    <w:p w:rsidR="0045798B" w:rsidRPr="00361287" w:rsidRDefault="00A44A2F">
      <w:pPr>
        <w:pBdr>
          <w:top w:val="single" w:sz="4" w:space="1" w:color="auto"/>
          <w:left w:val="single" w:sz="4" w:space="4" w:color="auto"/>
          <w:bottom w:val="single" w:sz="4" w:space="1" w:color="auto"/>
          <w:right w:val="single" w:sz="4" w:space="4" w:color="auto"/>
        </w:pBdr>
      </w:pPr>
      <w:r w:rsidRPr="00727745">
        <w:t xml:space="preserve">- </w:t>
      </w:r>
      <w:r w:rsidR="001A1AF2" w:rsidRPr="00820B8F">
        <w:t xml:space="preserve">Objective 1 supports </w:t>
      </w:r>
      <w:r w:rsidR="001A1AF2" w:rsidRPr="00361287">
        <w:t xml:space="preserve">human rights and human rights defenders in situations where they are most at risk. </w:t>
      </w:r>
    </w:p>
    <w:p w:rsidR="00216FCA" w:rsidRPr="00361287" w:rsidRDefault="00A44A2F">
      <w:pPr>
        <w:pBdr>
          <w:top w:val="single" w:sz="4" w:space="1" w:color="auto"/>
          <w:left w:val="single" w:sz="4" w:space="4" w:color="auto"/>
          <w:bottom w:val="single" w:sz="4" w:space="1" w:color="auto"/>
          <w:right w:val="single" w:sz="4" w:space="4" w:color="auto"/>
        </w:pBdr>
      </w:pPr>
      <w:r w:rsidRPr="00361287">
        <w:t xml:space="preserve">- </w:t>
      </w:r>
      <w:r w:rsidR="001A1AF2" w:rsidRPr="00361287">
        <w:t>Objective 2 supports other EU human rights priorities in line with the set of EU human rights guidelines adopted by the Council of the European Union.</w:t>
      </w:r>
    </w:p>
    <w:p w:rsidR="00216FCA" w:rsidRPr="00361287" w:rsidRDefault="00A44A2F">
      <w:pPr>
        <w:pBdr>
          <w:top w:val="single" w:sz="4" w:space="1" w:color="auto"/>
          <w:left w:val="single" w:sz="4" w:space="4" w:color="auto"/>
          <w:bottom w:val="single" w:sz="4" w:space="1" w:color="auto"/>
          <w:right w:val="single" w:sz="4" w:space="4" w:color="auto"/>
        </w:pBdr>
      </w:pPr>
      <w:r w:rsidRPr="00361287">
        <w:t xml:space="preserve">- </w:t>
      </w:r>
      <w:r w:rsidR="001A1AF2" w:rsidRPr="00DB72D0">
        <w:t xml:space="preserve">Objective 3 supports </w:t>
      </w:r>
      <w:r w:rsidR="00DB72D0" w:rsidRPr="005071E1">
        <w:t xml:space="preserve">participatory and representative </w:t>
      </w:r>
      <w:r w:rsidR="001A1AF2" w:rsidRPr="00DB72D0">
        <w:t>democracy, including promoting and defending fundamental freedoms, in particular freedom of expression</w:t>
      </w:r>
      <w:r w:rsidR="001A1AF2" w:rsidRPr="00C4576E">
        <w:t>.</w:t>
      </w:r>
    </w:p>
    <w:p w:rsidR="004B07B7" w:rsidRDefault="004B07B7" w:rsidP="004B07B7">
      <w:pPr>
        <w:pBdr>
          <w:top w:val="single" w:sz="4" w:space="1" w:color="auto"/>
          <w:left w:val="single" w:sz="4" w:space="4" w:color="auto"/>
          <w:bottom w:val="single" w:sz="4" w:space="1" w:color="auto"/>
          <w:right w:val="single" w:sz="4" w:space="4" w:color="auto"/>
        </w:pBdr>
      </w:pPr>
      <w:r w:rsidRPr="00361287">
        <w:t>When calls for proposals are not possible or appropriate to achieve the above objectives, direct awards</w:t>
      </w:r>
      <w:r w:rsidRPr="00A44A2F">
        <w:t xml:space="preserve"> witho</w:t>
      </w:r>
      <w:r w:rsidRPr="006D7161">
        <w:t>ut calls for proposals may be used.</w:t>
      </w:r>
    </w:p>
    <w:p w:rsidR="00785AC0" w:rsidRDefault="00785AC0" w:rsidP="004B07B7">
      <w:pPr>
        <w:pBdr>
          <w:top w:val="single" w:sz="4" w:space="1" w:color="auto"/>
          <w:left w:val="single" w:sz="4" w:space="4" w:color="auto"/>
          <w:bottom w:val="single" w:sz="4" w:space="1" w:color="auto"/>
          <w:right w:val="single" w:sz="4" w:space="4" w:color="auto"/>
        </w:pBdr>
      </w:pPr>
      <w:r w:rsidRPr="00787F36">
        <w:rPr>
          <w:rStyle w:val="Emphasis"/>
          <w:i w:val="0"/>
        </w:rPr>
        <w:t xml:space="preserve">The actions financed </w:t>
      </w:r>
      <w:r>
        <w:rPr>
          <w:rStyle w:val="Emphasis"/>
          <w:i w:val="0"/>
        </w:rPr>
        <w:t xml:space="preserve">under the CBBS </w:t>
      </w:r>
      <w:r w:rsidRPr="00787F36">
        <w:rPr>
          <w:rStyle w:val="Emphasis"/>
          <w:i w:val="0"/>
        </w:rPr>
        <w:t>will be in line with the relevant EU guidelines as well as all other relevant policy documents such as the European Consensus</w:t>
      </w:r>
      <w:r>
        <w:rPr>
          <w:rStyle w:val="Emphasis"/>
          <w:i w:val="0"/>
        </w:rPr>
        <w:t xml:space="preserve">. While indirectly contributing and thus relevant for the entire Agenda 2030, </w:t>
      </w:r>
      <w:r w:rsidRPr="00787F36">
        <w:rPr>
          <w:rStyle w:val="Emphasis"/>
          <w:i w:val="0"/>
        </w:rPr>
        <w:t>the SDGs 16 and 5</w:t>
      </w:r>
      <w:r>
        <w:rPr>
          <w:rStyle w:val="Emphasis"/>
          <w:i w:val="0"/>
        </w:rPr>
        <w:t xml:space="preserve"> are particularly targeted</w:t>
      </w:r>
      <w:r w:rsidRPr="00787F36">
        <w:rPr>
          <w:rStyle w:val="Emphasis"/>
          <w:i w:val="0"/>
        </w:rPr>
        <w:t xml:space="preserve">. Last but not least, a Rights Based Approach and the Gender mainstreaming represent two key features of the actions supported </w:t>
      </w:r>
      <w:r>
        <w:rPr>
          <w:rStyle w:val="Emphasis"/>
          <w:i w:val="0"/>
        </w:rPr>
        <w:t xml:space="preserve">by </w:t>
      </w:r>
      <w:r w:rsidRPr="00787F36">
        <w:rPr>
          <w:rStyle w:val="Emphasis"/>
          <w:i w:val="0"/>
        </w:rPr>
        <w:t xml:space="preserve">the </w:t>
      </w:r>
      <w:r>
        <w:rPr>
          <w:rStyle w:val="Emphasis"/>
          <w:i w:val="0"/>
        </w:rPr>
        <w:t>CBSS</w:t>
      </w:r>
      <w:r w:rsidRPr="00787F36">
        <w:rPr>
          <w:rStyle w:val="Emphasis"/>
          <w:i w:val="0"/>
        </w:rPr>
        <w:t>.</w:t>
      </w:r>
      <w:r>
        <w:rPr>
          <w:rStyle w:val="Emphasis"/>
          <w:i w:val="0"/>
        </w:rPr>
        <w:t xml:space="preserve">  </w:t>
      </w:r>
    </w:p>
    <w:p w:rsidR="001C5F78" w:rsidRPr="0058277E" w:rsidRDefault="001C5F78">
      <w:pPr>
        <w:pBdr>
          <w:top w:val="single" w:sz="4" w:space="1" w:color="auto"/>
          <w:left w:val="single" w:sz="4" w:space="4" w:color="auto"/>
          <w:bottom w:val="single" w:sz="4" w:space="1" w:color="auto"/>
          <w:right w:val="single" w:sz="4" w:space="4" w:color="auto"/>
        </w:pBdr>
      </w:pPr>
    </w:p>
    <w:p w:rsidR="004B07B7" w:rsidRPr="0058277E" w:rsidRDefault="004B07B7" w:rsidP="005660B6">
      <w:pPr>
        <w:spacing w:before="0" w:after="0"/>
        <w:jc w:val="left"/>
        <w:rPr>
          <w:iCs/>
          <w:lang w:eastAsia="en-GB"/>
        </w:rPr>
      </w:pPr>
    </w:p>
    <w:p w:rsidR="00216FCA" w:rsidRPr="0058277E" w:rsidRDefault="001A1AF2">
      <w:pPr>
        <w:keepNext/>
        <w:numPr>
          <w:ilvl w:val="0"/>
          <w:numId w:val="3"/>
        </w:numPr>
        <w:spacing w:before="360"/>
        <w:contextualSpacing/>
        <w:outlineLvl w:val="0"/>
        <w:rPr>
          <w:b/>
          <w:bCs/>
          <w:smallCaps/>
          <w:szCs w:val="32"/>
        </w:rPr>
      </w:pPr>
      <w:bookmarkStart w:id="5" w:name="_Toc392857995"/>
      <w:r w:rsidRPr="0058277E">
        <w:rPr>
          <w:b/>
          <w:bCs/>
          <w:smallCaps/>
          <w:szCs w:val="32"/>
        </w:rPr>
        <w:t>Context</w:t>
      </w:r>
      <w:bookmarkEnd w:id="5"/>
    </w:p>
    <w:p w:rsidR="00216FCA" w:rsidRPr="0058277E" w:rsidRDefault="00216FCA">
      <w:pPr>
        <w:spacing w:before="0" w:after="0"/>
        <w:jc w:val="left"/>
        <w:rPr>
          <w:lang w:eastAsia="en-GB"/>
        </w:rPr>
      </w:pPr>
    </w:p>
    <w:p w:rsidR="00216FCA" w:rsidRPr="0058277E" w:rsidRDefault="001A1AF2">
      <w:pPr>
        <w:pStyle w:val="Heading2"/>
        <w:numPr>
          <w:ilvl w:val="0"/>
          <w:numId w:val="0"/>
        </w:numPr>
        <w:ind w:left="992" w:hanging="850"/>
        <w:rPr>
          <w:color w:val="auto"/>
          <w:szCs w:val="26"/>
          <w:lang w:eastAsia="en-GB"/>
        </w:rPr>
      </w:pPr>
      <w:bookmarkStart w:id="6" w:name="DQCNUMB_6"/>
      <w:bookmarkStart w:id="7" w:name="_Toc392857996"/>
      <w:bookmarkStart w:id="8" w:name="_Toc391999025"/>
      <w:bookmarkEnd w:id="6"/>
      <w:r w:rsidRPr="0058277E">
        <w:rPr>
          <w:color w:val="auto"/>
        </w:rPr>
        <w:t>1.1</w:t>
      </w:r>
      <w:r w:rsidRPr="0058277E">
        <w:rPr>
          <w:color w:val="auto"/>
        </w:rPr>
        <w:tab/>
        <w:t>Thematic area</w:t>
      </w:r>
      <w:bookmarkEnd w:id="7"/>
      <w:bookmarkEnd w:id="8"/>
    </w:p>
    <w:p w:rsidR="00216FCA" w:rsidRPr="0058277E" w:rsidRDefault="001A1AF2">
      <w:pPr>
        <w:keepNext/>
        <w:numPr>
          <w:ilvl w:val="2"/>
          <w:numId w:val="0"/>
        </w:numPr>
        <w:ind w:left="720" w:hanging="720"/>
        <w:outlineLvl w:val="2"/>
        <w:rPr>
          <w:b/>
          <w:bCs/>
          <w:i/>
          <w:szCs w:val="26"/>
        </w:rPr>
      </w:pPr>
      <w:bookmarkStart w:id="9" w:name="_Toc391999027"/>
      <w:bookmarkStart w:id="10" w:name="_Toc392857997"/>
      <w:bookmarkStart w:id="11" w:name="_Toc391022350"/>
      <w:bookmarkStart w:id="12" w:name="_Toc391537192"/>
      <w:r w:rsidRPr="0058277E">
        <w:rPr>
          <w:b/>
          <w:bCs/>
          <w:i/>
          <w:szCs w:val="26"/>
        </w:rPr>
        <w:t>1.1.1</w:t>
      </w:r>
      <w:r w:rsidRPr="0058277E">
        <w:rPr>
          <w:b/>
          <w:bCs/>
          <w:i/>
          <w:szCs w:val="26"/>
        </w:rPr>
        <w:tab/>
        <w:t>Public Policy Assessment and EU Policy Framework</w:t>
      </w:r>
      <w:bookmarkEnd w:id="9"/>
      <w:bookmarkEnd w:id="10"/>
    </w:p>
    <w:bookmarkEnd w:id="11"/>
    <w:bookmarkEnd w:id="12"/>
    <w:p w:rsidR="00CA729B" w:rsidRPr="0058277E" w:rsidRDefault="001A1AF2">
      <w:r w:rsidRPr="0058277E">
        <w:t xml:space="preserve">The European Union is founded on a strong engagement to promote and protect human rights, and democracy worldwide and distinguishes itself as the largest donor in these two areas of support. </w:t>
      </w:r>
    </w:p>
    <w:p w:rsidR="00216FCA" w:rsidRPr="0056450D" w:rsidRDefault="001A1AF2">
      <w:pPr>
        <w:rPr>
          <w:szCs w:val="22"/>
          <w:lang w:eastAsia="en-GB"/>
        </w:rPr>
      </w:pPr>
      <w:r w:rsidRPr="0056450D">
        <w:rPr>
          <w:szCs w:val="22"/>
          <w:lang w:eastAsia="en-GB"/>
        </w:rPr>
        <w:t xml:space="preserve">This action shall be </w:t>
      </w:r>
      <w:r w:rsidR="00CA729B" w:rsidRPr="0056450D">
        <w:rPr>
          <w:szCs w:val="22"/>
          <w:lang w:eastAsia="en-GB"/>
        </w:rPr>
        <w:t xml:space="preserve">firmly </w:t>
      </w:r>
      <w:r w:rsidRPr="0056450D">
        <w:rPr>
          <w:szCs w:val="22"/>
          <w:lang w:eastAsia="en-GB"/>
        </w:rPr>
        <w:t xml:space="preserve">embedded in </w:t>
      </w:r>
      <w:r w:rsidR="00CA729B" w:rsidRPr="0056450D">
        <w:rPr>
          <w:szCs w:val="22"/>
          <w:lang w:eastAsia="en-GB"/>
        </w:rPr>
        <w:t xml:space="preserve">the </w:t>
      </w:r>
      <w:r w:rsidRPr="0056450D">
        <w:rPr>
          <w:szCs w:val="22"/>
          <w:lang w:eastAsia="en-GB"/>
        </w:rPr>
        <w:t xml:space="preserve">EU policy framework and be in line, </w:t>
      </w:r>
      <w:r w:rsidR="00A44A2F">
        <w:rPr>
          <w:szCs w:val="22"/>
          <w:lang w:eastAsia="en-GB"/>
        </w:rPr>
        <w:t>specifically</w:t>
      </w:r>
      <w:r w:rsidRPr="0056450D">
        <w:rPr>
          <w:szCs w:val="22"/>
          <w:lang w:eastAsia="en-GB"/>
        </w:rPr>
        <w:t xml:space="preserve">, with the new </w:t>
      </w:r>
      <w:r w:rsidRPr="00DB6463">
        <w:rPr>
          <w:b/>
          <w:szCs w:val="22"/>
          <w:lang w:eastAsia="en-GB"/>
        </w:rPr>
        <w:t>European Consensus on</w:t>
      </w:r>
      <w:r w:rsidRPr="00DB6463">
        <w:rPr>
          <w:b/>
        </w:rPr>
        <w:t xml:space="preserve"> Development</w:t>
      </w:r>
      <w:r w:rsidRPr="0058277E">
        <w:rPr>
          <w:rStyle w:val="FootnoteReference"/>
        </w:rPr>
        <w:footnoteReference w:id="2"/>
      </w:r>
      <w:r w:rsidR="00CA729B" w:rsidRPr="0058277E">
        <w:t xml:space="preserve">, </w:t>
      </w:r>
      <w:r w:rsidRPr="00375E88">
        <w:t xml:space="preserve">in particular </w:t>
      </w:r>
      <w:r w:rsidR="00CA729B" w:rsidRPr="00327359">
        <w:t xml:space="preserve">the key areas of </w:t>
      </w:r>
      <w:r w:rsidRPr="00347D18">
        <w:t xml:space="preserve">People and Peace, </w:t>
      </w:r>
      <w:r w:rsidR="00CA729B" w:rsidRPr="00347D18">
        <w:t xml:space="preserve">and </w:t>
      </w:r>
      <w:r w:rsidRPr="0056450D">
        <w:rPr>
          <w:szCs w:val="22"/>
          <w:lang w:eastAsia="en-GB"/>
        </w:rPr>
        <w:t xml:space="preserve">the </w:t>
      </w:r>
      <w:r w:rsidRPr="00DB6463">
        <w:rPr>
          <w:b/>
          <w:szCs w:val="22"/>
          <w:lang w:eastAsia="en-GB"/>
        </w:rPr>
        <w:t>2015-2019 Action Plan on Human Rights and Democracy</w:t>
      </w:r>
      <w:r w:rsidRPr="0056450D">
        <w:rPr>
          <w:rStyle w:val="FootnoteReference"/>
          <w:szCs w:val="22"/>
          <w:lang w:eastAsia="en-GB"/>
        </w:rPr>
        <w:footnoteReference w:id="3"/>
      </w:r>
      <w:r w:rsidR="00CA729B" w:rsidRPr="0056450D">
        <w:rPr>
          <w:szCs w:val="22"/>
          <w:lang w:eastAsia="en-GB"/>
        </w:rPr>
        <w:t xml:space="preserve">, </w:t>
      </w:r>
      <w:r w:rsidR="007B6BBC" w:rsidRPr="0056450D">
        <w:rPr>
          <w:szCs w:val="22"/>
          <w:lang w:eastAsia="en-GB"/>
        </w:rPr>
        <w:t>in particular o</w:t>
      </w:r>
      <w:r w:rsidR="00E96EE6" w:rsidRPr="0056450D">
        <w:rPr>
          <w:szCs w:val="22"/>
          <w:lang w:eastAsia="en-GB"/>
        </w:rPr>
        <w:t>bjective I</w:t>
      </w:r>
      <w:r w:rsidR="007B6BBC" w:rsidRPr="0056450D">
        <w:rPr>
          <w:szCs w:val="22"/>
          <w:lang w:eastAsia="en-GB"/>
        </w:rPr>
        <w:t xml:space="preserve"> </w:t>
      </w:r>
      <w:r w:rsidR="00CA729B" w:rsidRPr="0056450D">
        <w:rPr>
          <w:szCs w:val="22"/>
          <w:lang w:eastAsia="en-GB"/>
        </w:rPr>
        <w:t xml:space="preserve">on </w:t>
      </w:r>
      <w:r w:rsidR="007B6BBC" w:rsidRPr="0056450D">
        <w:rPr>
          <w:szCs w:val="22"/>
          <w:lang w:eastAsia="en-GB"/>
        </w:rPr>
        <w:t xml:space="preserve">"Boosting ownership of local actors" and </w:t>
      </w:r>
      <w:r w:rsidR="00CA729B" w:rsidRPr="0056450D">
        <w:rPr>
          <w:szCs w:val="22"/>
          <w:lang w:eastAsia="en-GB"/>
        </w:rPr>
        <w:t xml:space="preserve">objective </w:t>
      </w:r>
      <w:r w:rsidR="007B6BBC" w:rsidRPr="0056450D">
        <w:rPr>
          <w:szCs w:val="22"/>
          <w:lang w:eastAsia="en-GB"/>
        </w:rPr>
        <w:t>II</w:t>
      </w:r>
      <w:r w:rsidR="00CA729B" w:rsidRPr="0056450D">
        <w:rPr>
          <w:szCs w:val="22"/>
          <w:lang w:eastAsia="en-GB"/>
        </w:rPr>
        <w:t xml:space="preserve"> on </w:t>
      </w:r>
      <w:r w:rsidR="007B6BBC" w:rsidRPr="0056450D">
        <w:rPr>
          <w:szCs w:val="22"/>
          <w:lang w:eastAsia="en-GB"/>
        </w:rPr>
        <w:t>"Addressing</w:t>
      </w:r>
      <w:r w:rsidR="00B459F4" w:rsidRPr="0056450D">
        <w:rPr>
          <w:szCs w:val="22"/>
          <w:lang w:eastAsia="en-GB"/>
        </w:rPr>
        <w:t xml:space="preserve"> human rights challenges"</w:t>
      </w:r>
      <w:r w:rsidR="00CA729B" w:rsidRPr="0056450D">
        <w:rPr>
          <w:szCs w:val="22"/>
          <w:lang w:eastAsia="en-GB"/>
        </w:rPr>
        <w:t xml:space="preserve">. Equally, the action will strive to implement all </w:t>
      </w:r>
      <w:r w:rsidRPr="0058277E">
        <w:t>relevant EU human rights guidelines</w:t>
      </w:r>
      <w:r w:rsidRPr="0056450D">
        <w:rPr>
          <w:szCs w:val="22"/>
          <w:lang w:eastAsia="en-GB"/>
        </w:rPr>
        <w:t>.</w:t>
      </w:r>
    </w:p>
    <w:p w:rsidR="00216FCA" w:rsidRPr="0058277E" w:rsidRDefault="001A1AF2">
      <w:pPr>
        <w:rPr>
          <w:szCs w:val="22"/>
          <w:lang w:eastAsia="en-GB"/>
        </w:rPr>
      </w:pPr>
      <w:r w:rsidRPr="0056450D">
        <w:rPr>
          <w:szCs w:val="22"/>
          <w:lang w:eastAsia="en-GB"/>
        </w:rPr>
        <w:t xml:space="preserve">The action shall also reflect the analysis and priorities set </w:t>
      </w:r>
      <w:r w:rsidR="00CA729B" w:rsidRPr="0056450D">
        <w:rPr>
          <w:szCs w:val="22"/>
          <w:lang w:eastAsia="en-GB"/>
        </w:rPr>
        <w:t xml:space="preserve">at the country-level, </w:t>
      </w:r>
      <w:r w:rsidRPr="0056450D">
        <w:rPr>
          <w:szCs w:val="22"/>
          <w:lang w:eastAsia="en-GB"/>
        </w:rPr>
        <w:t xml:space="preserve">in the relevant country-specific </w:t>
      </w:r>
      <w:r w:rsidR="00CA729B" w:rsidRPr="0056450D">
        <w:rPr>
          <w:szCs w:val="22"/>
          <w:lang w:eastAsia="en-GB"/>
        </w:rPr>
        <w:t xml:space="preserve">policy </w:t>
      </w:r>
      <w:r w:rsidRPr="0056450D">
        <w:rPr>
          <w:szCs w:val="22"/>
          <w:lang w:eastAsia="en-GB"/>
        </w:rPr>
        <w:t>documents: the EU Human Rights and Democracy Country Strategies (</w:t>
      </w:r>
      <w:r w:rsidRPr="0058277E">
        <w:t>adopted by EU Heads of Missions and validated by the Council)</w:t>
      </w:r>
      <w:r w:rsidRPr="0056450D">
        <w:rPr>
          <w:szCs w:val="22"/>
          <w:lang w:eastAsia="en-GB"/>
        </w:rPr>
        <w:t xml:space="preserve"> and the </w:t>
      </w:r>
      <w:r w:rsidRPr="0058277E">
        <w:t xml:space="preserve">Country Roadmaps for EU Engagement with Civil Society, </w:t>
      </w:r>
      <w:r w:rsidRPr="0056450D">
        <w:rPr>
          <w:szCs w:val="22"/>
          <w:lang w:eastAsia="en-GB"/>
        </w:rPr>
        <w:t>where they exist.</w:t>
      </w:r>
    </w:p>
    <w:p w:rsidR="00216FCA" w:rsidRPr="00375E88" w:rsidRDefault="00732917">
      <w:pPr>
        <w:rPr>
          <w:rStyle w:val="Hyperlink"/>
          <w:color w:val="auto"/>
        </w:rPr>
      </w:pPr>
      <w:r>
        <w:t>Proposals and projects funded under t</w:t>
      </w:r>
      <w:r w:rsidR="001A1AF2" w:rsidRPr="00375E88">
        <w:t>his</w:t>
      </w:r>
      <w:r>
        <w:t xml:space="preserve"> action</w:t>
      </w:r>
      <w:r w:rsidR="001A1AF2" w:rsidRPr="00375E88">
        <w:t xml:space="preserve"> </w:t>
      </w:r>
      <w:r>
        <w:t>will have to be designed and implemented according to the</w:t>
      </w:r>
      <w:r w:rsidR="001A1AF2" w:rsidRPr="00375E88">
        <w:t xml:space="preserve"> </w:t>
      </w:r>
      <w:r w:rsidR="001A1AF2" w:rsidRPr="00DB6463">
        <w:rPr>
          <w:b/>
        </w:rPr>
        <w:t>rights-based approach</w:t>
      </w:r>
      <w:r>
        <w:rPr>
          <w:b/>
        </w:rPr>
        <w:t xml:space="preserve"> </w:t>
      </w:r>
      <w:r>
        <w:t>methodology,</w:t>
      </w:r>
      <w:r w:rsidR="001A1AF2" w:rsidRPr="00347D18">
        <w:t xml:space="preserve"> as outlined in the 2014 </w:t>
      </w:r>
      <w:hyperlink r:id="rId11" w:history="1">
        <w:r w:rsidR="001A1AF2" w:rsidRPr="00375E88">
          <w:rPr>
            <w:rStyle w:val="Hyperlink"/>
            <w:color w:val="auto"/>
            <w:u w:val="none"/>
          </w:rPr>
          <w:t>Tool-box</w:t>
        </w:r>
      </w:hyperlink>
      <w:r w:rsidR="001A1AF2" w:rsidRPr="0058277E">
        <w:t xml:space="preserve"> "a Rights-Based Approach, encompassing all human rights, for EU development cooperation"</w:t>
      </w:r>
      <w:r>
        <w:rPr>
          <w:rStyle w:val="FootnoteReference"/>
        </w:rPr>
        <w:footnoteReference w:id="4"/>
      </w:r>
      <w:r w:rsidR="001A1AF2" w:rsidRPr="0058277E">
        <w:t xml:space="preserve"> and the respective </w:t>
      </w:r>
      <w:hyperlink r:id="rId12" w:history="1">
        <w:r w:rsidR="001A1AF2" w:rsidRPr="00732917">
          <w:rPr>
            <w:rStyle w:val="Hyperlink"/>
            <w:color w:val="auto"/>
            <w:u w:val="none"/>
          </w:rPr>
          <w:t>Council Conclusions</w:t>
        </w:r>
      </w:hyperlink>
      <w:r w:rsidR="001A1AF2" w:rsidRPr="00732917">
        <w:rPr>
          <w:rStyle w:val="Hyperlink"/>
          <w:color w:val="auto"/>
          <w:u w:val="none"/>
        </w:rPr>
        <w:t>.</w:t>
      </w:r>
    </w:p>
    <w:p w:rsidR="00F027D8" w:rsidRPr="00327359" w:rsidRDefault="00F027D8">
      <w:pPr>
        <w:rPr>
          <w:rStyle w:val="Hyperlink"/>
          <w:color w:val="auto"/>
          <w:u w:val="none"/>
        </w:rPr>
      </w:pPr>
      <w:r w:rsidRPr="00DB6463">
        <w:rPr>
          <w:rStyle w:val="Hyperlink"/>
          <w:color w:val="auto"/>
          <w:u w:val="none"/>
        </w:rPr>
        <w:t xml:space="preserve">This action shall also contribute to </w:t>
      </w:r>
      <w:r w:rsidRPr="00DB6463">
        <w:t xml:space="preserve">the </w:t>
      </w:r>
      <w:r w:rsidR="00E02F30" w:rsidRPr="00DB6463">
        <w:t xml:space="preserve">implementation of </w:t>
      </w:r>
      <w:r w:rsidR="00E02F30" w:rsidRPr="00DB6463">
        <w:rPr>
          <w:szCs w:val="22"/>
          <w:lang w:eastAsia="en-GB"/>
        </w:rPr>
        <w:t xml:space="preserve">the </w:t>
      </w:r>
      <w:r w:rsidR="00DD1E7C" w:rsidRPr="00DB6463">
        <w:rPr>
          <w:b/>
          <w:szCs w:val="22"/>
          <w:lang w:eastAsia="en-GB"/>
        </w:rPr>
        <w:t xml:space="preserve">EU </w:t>
      </w:r>
      <w:r w:rsidR="00E02F30" w:rsidRPr="00DB6463">
        <w:rPr>
          <w:b/>
          <w:szCs w:val="22"/>
          <w:lang w:eastAsia="en-GB"/>
        </w:rPr>
        <w:t>Gender Action Plan II</w:t>
      </w:r>
      <w:r w:rsidR="00E02F30" w:rsidRPr="00DB6463">
        <w:rPr>
          <w:rStyle w:val="FootnoteReference"/>
          <w:szCs w:val="22"/>
          <w:lang w:eastAsia="en-GB"/>
        </w:rPr>
        <w:footnoteReference w:id="5"/>
      </w:r>
      <w:r w:rsidR="00E02F30" w:rsidRPr="00DB6463">
        <w:rPr>
          <w:szCs w:val="22"/>
          <w:lang w:eastAsia="en-GB"/>
        </w:rPr>
        <w:t xml:space="preserve"> </w:t>
      </w:r>
      <w:r w:rsidRPr="00DB6463">
        <w:rPr>
          <w:rStyle w:val="Hyperlink"/>
          <w:color w:val="auto"/>
          <w:u w:val="none"/>
        </w:rPr>
        <w:t>and include disaggregated data by sex</w:t>
      </w:r>
      <w:r w:rsidR="00043F6D" w:rsidRPr="00DB6463">
        <w:rPr>
          <w:rStyle w:val="Hyperlink"/>
          <w:color w:val="auto"/>
          <w:u w:val="none"/>
        </w:rPr>
        <w:t xml:space="preserve"> </w:t>
      </w:r>
      <w:r w:rsidR="008902C9" w:rsidRPr="00DB6463">
        <w:rPr>
          <w:rStyle w:val="Hyperlink"/>
          <w:color w:val="auto"/>
          <w:u w:val="none"/>
        </w:rPr>
        <w:t xml:space="preserve">as well as gender sensitive indicators </w:t>
      </w:r>
      <w:r w:rsidR="00043F6D" w:rsidRPr="00DB6463">
        <w:rPr>
          <w:rStyle w:val="Hyperlink"/>
          <w:color w:val="auto"/>
          <w:u w:val="none"/>
        </w:rPr>
        <w:t>to the extent possible</w:t>
      </w:r>
      <w:r w:rsidRPr="00DB6463">
        <w:rPr>
          <w:rStyle w:val="Hyperlink"/>
          <w:color w:val="auto"/>
          <w:u w:val="none"/>
        </w:rPr>
        <w:t>.</w:t>
      </w:r>
    </w:p>
    <w:p w:rsidR="00DD1E7C" w:rsidRPr="0058277E" w:rsidRDefault="00DD1E7C" w:rsidP="00AF5709">
      <w:pPr>
        <w:pStyle w:val="Text1"/>
        <w:spacing w:before="60" w:after="60"/>
        <w:ind w:left="0" w:right="-25"/>
        <w:rPr>
          <w:lang w:eastAsia="de-DE"/>
        </w:rPr>
      </w:pPr>
      <w:r w:rsidRPr="004B07B7">
        <w:rPr>
          <w:lang w:eastAsia="de-DE"/>
        </w:rPr>
        <w:t xml:space="preserve">On the broadest scale, the action will contribute to the realisation of the UN Sustainable Development Goal (SDG) </w:t>
      </w:r>
      <w:r w:rsidR="00732917">
        <w:rPr>
          <w:lang w:eastAsia="de-DE"/>
        </w:rPr>
        <w:t xml:space="preserve">as a whole, and in particular </w:t>
      </w:r>
      <w:r w:rsidRPr="004B07B7">
        <w:rPr>
          <w:lang w:eastAsia="de-DE"/>
        </w:rPr>
        <w:t xml:space="preserve">number 16 by promoting peaceful and inclusive societies for sustainable development, access to justice for all and building effective, accountable and inclusive institutions. It </w:t>
      </w:r>
      <w:r w:rsidR="00AF5709" w:rsidRPr="004B07B7">
        <w:rPr>
          <w:lang w:eastAsia="de-DE"/>
        </w:rPr>
        <w:t xml:space="preserve">is expected to </w:t>
      </w:r>
      <w:r w:rsidRPr="004B07B7">
        <w:rPr>
          <w:lang w:eastAsia="de-DE"/>
        </w:rPr>
        <w:t>further also the SDG 5 (achieve gender equality and empower all women and girls) and 10 (reduce inequality within and among countries).</w:t>
      </w:r>
    </w:p>
    <w:p w:rsidR="00DD1E7C" w:rsidRPr="0058277E" w:rsidRDefault="00DD1E7C" w:rsidP="00DD1E7C">
      <w:pPr>
        <w:pStyle w:val="Text1"/>
        <w:spacing w:before="60" w:after="60"/>
        <w:ind w:left="0" w:right="-25"/>
        <w:jc w:val="left"/>
        <w:rPr>
          <w:rStyle w:val="Hyperlink"/>
          <w:color w:val="auto"/>
          <w:u w:val="none"/>
        </w:rPr>
      </w:pPr>
    </w:p>
    <w:p w:rsidR="00216FCA" w:rsidRPr="0058277E" w:rsidRDefault="001A1AF2">
      <w:pPr>
        <w:pStyle w:val="Heading3"/>
        <w:rPr>
          <w:b/>
        </w:rPr>
      </w:pPr>
      <w:bookmarkStart w:id="13" w:name="DQCNUMB_8"/>
      <w:bookmarkStart w:id="14" w:name="_Toc391537193"/>
      <w:bookmarkStart w:id="15" w:name="_Toc392857998"/>
      <w:bookmarkStart w:id="16" w:name="_Toc391022351"/>
      <w:bookmarkEnd w:id="13"/>
      <w:r w:rsidRPr="005032D8">
        <w:rPr>
          <w:b/>
        </w:rPr>
        <w:t>1.1.2</w:t>
      </w:r>
      <w:r w:rsidRPr="0058277E">
        <w:rPr>
          <w:b/>
        </w:rPr>
        <w:tab/>
        <w:t>Stakeholder analysis</w:t>
      </w:r>
      <w:bookmarkEnd w:id="14"/>
      <w:bookmarkEnd w:id="15"/>
      <w:bookmarkEnd w:id="16"/>
    </w:p>
    <w:p w:rsidR="00216FCA" w:rsidRPr="0056450D" w:rsidRDefault="000325E5" w:rsidP="000325E5">
      <w:pPr>
        <w:rPr>
          <w:szCs w:val="22"/>
          <w:lang w:eastAsia="en-GB"/>
        </w:rPr>
      </w:pPr>
      <w:r w:rsidRPr="0056450D">
        <w:rPr>
          <w:b/>
        </w:rPr>
        <w:t>European Union delegations</w:t>
      </w:r>
      <w:r w:rsidRPr="0056450D">
        <w:t xml:space="preserve"> </w:t>
      </w:r>
      <w:r w:rsidR="0056450D" w:rsidRPr="0056450D">
        <w:t xml:space="preserve">in third countries are </w:t>
      </w:r>
      <w:r w:rsidR="004B07B7">
        <w:t xml:space="preserve">a major </w:t>
      </w:r>
      <w:r w:rsidR="0056450D" w:rsidRPr="0056450D">
        <w:t xml:space="preserve">stakeholder of </w:t>
      </w:r>
      <w:r w:rsidRPr="0056450D">
        <w:t xml:space="preserve">CBSS, as they are </w:t>
      </w:r>
      <w:r w:rsidR="00324653" w:rsidRPr="0056450D">
        <w:t xml:space="preserve">responsible to manage the CBSS allocations </w:t>
      </w:r>
      <w:r w:rsidR="0056450D" w:rsidRPr="0056450D">
        <w:t>received from headquarters</w:t>
      </w:r>
      <w:r w:rsidR="00324653" w:rsidRPr="0056450D">
        <w:t xml:space="preserve"> </w:t>
      </w:r>
      <w:r w:rsidR="001A1AF2" w:rsidRPr="0056450D">
        <w:t>in line with the EIDHR Regulation No 235/2014, the EIDHR Multiannual Indicative Programm</w:t>
      </w:r>
      <w:r w:rsidR="008D0F2F">
        <w:t>e 2018-2020, as well as with their</w:t>
      </w:r>
      <w:r w:rsidR="001A1AF2" w:rsidRPr="0056450D">
        <w:t xml:space="preserve"> </w:t>
      </w:r>
      <w:r w:rsidR="008D0F2F">
        <w:rPr>
          <w:szCs w:val="22"/>
          <w:lang w:eastAsia="en-GB"/>
        </w:rPr>
        <w:t>human r</w:t>
      </w:r>
      <w:r w:rsidR="001A1AF2" w:rsidRPr="0056450D">
        <w:rPr>
          <w:szCs w:val="22"/>
          <w:lang w:eastAsia="en-GB"/>
        </w:rPr>
        <w:t>ight</w:t>
      </w:r>
      <w:r w:rsidR="008D0F2F">
        <w:rPr>
          <w:szCs w:val="22"/>
          <w:lang w:eastAsia="en-GB"/>
        </w:rPr>
        <w:t>s and democracy country strategies (where they exist)</w:t>
      </w:r>
      <w:r w:rsidR="001A1AF2" w:rsidRPr="0056450D">
        <w:rPr>
          <w:szCs w:val="22"/>
          <w:lang w:eastAsia="en-GB"/>
        </w:rPr>
        <w:t xml:space="preserve">. </w:t>
      </w:r>
    </w:p>
    <w:p w:rsidR="00216FCA" w:rsidRPr="0056450D" w:rsidRDefault="001A1AF2">
      <w:pPr>
        <w:rPr>
          <w:szCs w:val="22"/>
          <w:lang w:eastAsia="en-GB"/>
        </w:rPr>
      </w:pPr>
      <w:r w:rsidRPr="0056450D">
        <w:lastRenderedPageBreak/>
        <w:t xml:space="preserve">Even though the management of CBSS is decentralized, </w:t>
      </w:r>
      <w:r w:rsidR="000325E5" w:rsidRPr="0056450D">
        <w:t xml:space="preserve">the </w:t>
      </w:r>
      <w:r w:rsidR="000325E5" w:rsidRPr="0056450D">
        <w:rPr>
          <w:b/>
        </w:rPr>
        <w:t>E</w:t>
      </w:r>
      <w:r w:rsidR="008D0F2F">
        <w:rPr>
          <w:b/>
        </w:rPr>
        <w:t xml:space="preserve">uropean </w:t>
      </w:r>
      <w:r w:rsidR="000325E5" w:rsidRPr="0056450D">
        <w:rPr>
          <w:b/>
        </w:rPr>
        <w:t>C</w:t>
      </w:r>
      <w:r w:rsidR="008D0F2F">
        <w:rPr>
          <w:b/>
        </w:rPr>
        <w:t>ommission</w:t>
      </w:r>
      <w:r w:rsidR="000325E5" w:rsidRPr="0056450D">
        <w:rPr>
          <w:b/>
        </w:rPr>
        <w:t xml:space="preserve"> headquarters</w:t>
      </w:r>
      <w:r w:rsidR="00A01252">
        <w:t xml:space="preserve"> </w:t>
      </w:r>
      <w:r w:rsidRPr="0056450D">
        <w:t xml:space="preserve">play an important </w:t>
      </w:r>
      <w:r w:rsidR="000325E5" w:rsidRPr="0056450D">
        <w:t xml:space="preserve">steering </w:t>
      </w:r>
      <w:r w:rsidRPr="0056450D">
        <w:t>role</w:t>
      </w:r>
      <w:r w:rsidR="00E657D0" w:rsidRPr="0056450D">
        <w:t xml:space="preserve"> in the CBSS</w:t>
      </w:r>
      <w:r w:rsidR="000325E5" w:rsidRPr="0056450D">
        <w:t xml:space="preserve"> process</w:t>
      </w:r>
      <w:r w:rsidR="00E657D0" w:rsidRPr="0056450D">
        <w:t xml:space="preserve">. </w:t>
      </w:r>
    </w:p>
    <w:p w:rsidR="0056450D" w:rsidRPr="0056450D" w:rsidRDefault="001A1AF2" w:rsidP="0056450D">
      <w:pPr>
        <w:pStyle w:val="Default"/>
        <w:spacing w:after="120"/>
        <w:jc w:val="both"/>
        <w:rPr>
          <w:iCs/>
          <w:color w:val="auto"/>
        </w:rPr>
      </w:pPr>
      <w:r w:rsidRPr="0056450D">
        <w:rPr>
          <w:color w:val="auto"/>
        </w:rPr>
        <w:t>The direct beneficiaries</w:t>
      </w:r>
      <w:r w:rsidR="0056450D">
        <w:rPr>
          <w:color w:val="auto"/>
        </w:rPr>
        <w:t xml:space="preserve"> receiving the grants resulting from the action </w:t>
      </w:r>
      <w:r w:rsidR="0056450D" w:rsidRPr="0056450D">
        <w:rPr>
          <w:color w:val="auto"/>
        </w:rPr>
        <w:t>are</w:t>
      </w:r>
      <w:r w:rsidRPr="0056450D">
        <w:rPr>
          <w:color w:val="auto"/>
        </w:rPr>
        <w:t xml:space="preserve"> </w:t>
      </w:r>
      <w:r w:rsidRPr="0056450D">
        <w:rPr>
          <w:b/>
          <w:color w:val="auto"/>
        </w:rPr>
        <w:t>civil society organisations</w:t>
      </w:r>
      <w:r w:rsidR="000759AB">
        <w:rPr>
          <w:rStyle w:val="FootnoteReference"/>
          <w:b/>
          <w:color w:val="auto"/>
        </w:rPr>
        <w:footnoteReference w:id="6"/>
      </w:r>
      <w:r w:rsidRPr="0056450D">
        <w:rPr>
          <w:color w:val="auto"/>
        </w:rPr>
        <w:t xml:space="preserve"> </w:t>
      </w:r>
      <w:r w:rsidR="00107805" w:rsidRPr="0056450D">
        <w:rPr>
          <w:color w:val="auto"/>
        </w:rPr>
        <w:t xml:space="preserve">active in </w:t>
      </w:r>
      <w:r w:rsidR="00710DEC" w:rsidRPr="0056450D">
        <w:rPr>
          <w:color w:val="auto"/>
        </w:rPr>
        <w:t xml:space="preserve">the fields of </w:t>
      </w:r>
      <w:r w:rsidR="00107805" w:rsidRPr="00F9679B">
        <w:rPr>
          <w:color w:val="auto"/>
        </w:rPr>
        <w:t>the human r</w:t>
      </w:r>
      <w:r w:rsidR="00710DEC" w:rsidRPr="00F9679B">
        <w:rPr>
          <w:color w:val="auto"/>
        </w:rPr>
        <w:t>ights and democratic governance</w:t>
      </w:r>
      <w:r w:rsidRPr="00F9679B">
        <w:rPr>
          <w:color w:val="auto"/>
        </w:rPr>
        <w:t xml:space="preserve">. </w:t>
      </w:r>
      <w:r w:rsidR="00552741" w:rsidRPr="00081356">
        <w:rPr>
          <w:color w:val="auto"/>
        </w:rPr>
        <w:t>In order to strengthen ownership and long-term empowerment by local actors</w:t>
      </w:r>
      <w:r w:rsidRPr="004C5A05">
        <w:rPr>
          <w:color w:val="auto"/>
        </w:rPr>
        <w:t xml:space="preserve">, focus will preferably be on in-country civil society organisations, </w:t>
      </w:r>
      <w:r w:rsidRPr="00BB585B">
        <w:rPr>
          <w:color w:val="auto"/>
        </w:rPr>
        <w:t xml:space="preserve">with particular attention given to </w:t>
      </w:r>
      <w:r w:rsidRPr="00BB585B">
        <w:rPr>
          <w:iCs/>
          <w:color w:val="auto"/>
        </w:rPr>
        <w:t>under-represented</w:t>
      </w:r>
      <w:r w:rsidRPr="00BB585B">
        <w:rPr>
          <w:color w:val="auto"/>
        </w:rPr>
        <w:t xml:space="preserve"> groups</w:t>
      </w:r>
      <w:r w:rsidR="00F9679B" w:rsidRPr="00BB585B">
        <w:rPr>
          <w:color w:val="auto"/>
        </w:rPr>
        <w:t xml:space="preserve"> and</w:t>
      </w:r>
      <w:r w:rsidRPr="00BB585B">
        <w:rPr>
          <w:color w:val="auto"/>
        </w:rPr>
        <w:t xml:space="preserve"> disenfranchised </w:t>
      </w:r>
      <w:r w:rsidRPr="00BB585B">
        <w:rPr>
          <w:iCs/>
          <w:color w:val="auto"/>
        </w:rPr>
        <w:t>organisations</w:t>
      </w:r>
      <w:r w:rsidR="00803E7B" w:rsidRPr="00F9679B">
        <w:rPr>
          <w:iCs/>
          <w:color w:val="auto"/>
        </w:rPr>
        <w:t>.</w:t>
      </w:r>
      <w:r w:rsidR="00803E7B" w:rsidRPr="0056450D">
        <w:rPr>
          <w:iCs/>
          <w:color w:val="auto"/>
        </w:rPr>
        <w:t xml:space="preserve"> </w:t>
      </w:r>
    </w:p>
    <w:p w:rsidR="00A87FAB" w:rsidRPr="0056450D" w:rsidRDefault="00103C22" w:rsidP="006412B2">
      <w:pPr>
        <w:pStyle w:val="Default"/>
        <w:spacing w:after="120"/>
        <w:jc w:val="both"/>
        <w:rPr>
          <w:color w:val="auto"/>
        </w:rPr>
      </w:pPr>
      <w:r w:rsidRPr="0056450D">
        <w:rPr>
          <w:iCs/>
          <w:color w:val="auto"/>
        </w:rPr>
        <w:t>Only w</w:t>
      </w:r>
      <w:r w:rsidR="00803E7B" w:rsidRPr="0056450D">
        <w:rPr>
          <w:iCs/>
          <w:color w:val="auto"/>
        </w:rPr>
        <w:t>hen appropriate</w:t>
      </w:r>
      <w:r w:rsidR="00A87FAB" w:rsidRPr="0056450D">
        <w:rPr>
          <w:iCs/>
          <w:color w:val="auto"/>
        </w:rPr>
        <w:t xml:space="preserve"> and </w:t>
      </w:r>
      <w:r w:rsidR="00A87FAB" w:rsidRPr="0056450D">
        <w:rPr>
          <w:color w:val="auto"/>
        </w:rPr>
        <w:t>judged necessary to achieve the objectives of the EIDHR</w:t>
      </w:r>
      <w:r w:rsidR="00803E7B" w:rsidRPr="0056450D">
        <w:rPr>
          <w:iCs/>
          <w:color w:val="auto"/>
        </w:rPr>
        <w:t>, private-sector non-profit agencies</w:t>
      </w:r>
      <w:r w:rsidR="00A87FAB" w:rsidRPr="0056450D">
        <w:rPr>
          <w:iCs/>
          <w:color w:val="auto"/>
        </w:rPr>
        <w:t>,</w:t>
      </w:r>
      <w:r w:rsidR="00803E7B" w:rsidRPr="0056450D">
        <w:rPr>
          <w:iCs/>
          <w:color w:val="auto"/>
        </w:rPr>
        <w:t xml:space="preserve"> </w:t>
      </w:r>
      <w:r w:rsidR="001A1AF2" w:rsidRPr="0056450D">
        <w:rPr>
          <w:color w:val="auto"/>
        </w:rPr>
        <w:t xml:space="preserve">political foundations, national parliamentary bodies, non-profit making universities </w:t>
      </w:r>
      <w:r w:rsidR="00A87FAB" w:rsidRPr="0056450D">
        <w:rPr>
          <w:color w:val="auto"/>
        </w:rPr>
        <w:t xml:space="preserve">and </w:t>
      </w:r>
      <w:r w:rsidR="00A87FAB" w:rsidRPr="0056450D">
        <w:rPr>
          <w:iCs/>
          <w:color w:val="auto"/>
        </w:rPr>
        <w:t>intergovernmental organisations may also be the direct beneficiaries of the action.</w:t>
      </w:r>
      <w:r w:rsidR="00A87FAB" w:rsidRPr="0056450D">
        <w:rPr>
          <w:color w:val="auto"/>
          <w:sz w:val="22"/>
          <w:szCs w:val="22"/>
        </w:rPr>
        <w:t xml:space="preserve"> </w:t>
      </w:r>
    </w:p>
    <w:p w:rsidR="00BC32AB" w:rsidRPr="0056450D" w:rsidRDefault="00BC32AB" w:rsidP="006412B2">
      <w:pPr>
        <w:pStyle w:val="Default"/>
        <w:spacing w:after="120"/>
        <w:jc w:val="both"/>
        <w:rPr>
          <w:color w:val="auto"/>
        </w:rPr>
      </w:pPr>
      <w:r w:rsidRPr="0056450D">
        <w:rPr>
          <w:color w:val="auto"/>
        </w:rPr>
        <w:t xml:space="preserve">In </w:t>
      </w:r>
      <w:r w:rsidR="004247DC">
        <w:rPr>
          <w:color w:val="auto"/>
        </w:rPr>
        <w:t xml:space="preserve">exceptional and </w:t>
      </w:r>
      <w:r w:rsidRPr="0056450D">
        <w:rPr>
          <w:color w:val="auto"/>
        </w:rPr>
        <w:t xml:space="preserve">duly justified cases, </w:t>
      </w:r>
      <w:r w:rsidR="004247DC">
        <w:rPr>
          <w:color w:val="auto"/>
        </w:rPr>
        <w:t>entities without legal personality</w:t>
      </w:r>
      <w:r w:rsidRPr="0056450D">
        <w:rPr>
          <w:color w:val="auto"/>
        </w:rPr>
        <w:t xml:space="preserve"> </w:t>
      </w:r>
      <w:r w:rsidR="0087042E" w:rsidRPr="0056450D">
        <w:rPr>
          <w:color w:val="auto"/>
        </w:rPr>
        <w:t xml:space="preserve">and natural persons </w:t>
      </w:r>
      <w:r w:rsidRPr="0056450D">
        <w:rPr>
          <w:color w:val="auto"/>
        </w:rPr>
        <w:t>may also be the direct beneficiaries of CBSS grants</w:t>
      </w:r>
      <w:r w:rsidR="0087042E" w:rsidRPr="0056450D">
        <w:rPr>
          <w:color w:val="auto"/>
        </w:rPr>
        <w:t>, as set out in Article 11</w:t>
      </w:r>
      <w:r w:rsidR="004247DC">
        <w:rPr>
          <w:color w:val="auto"/>
        </w:rPr>
        <w:t>.2</w:t>
      </w:r>
      <w:r w:rsidR="00162726" w:rsidRPr="0056450D">
        <w:rPr>
          <w:color w:val="auto"/>
        </w:rPr>
        <w:t xml:space="preserve"> of the EU Regulation No 236/2014.</w:t>
      </w:r>
    </w:p>
    <w:p w:rsidR="00216FCA" w:rsidRDefault="00A87FAB" w:rsidP="006412B2">
      <w:pPr>
        <w:pStyle w:val="Default"/>
        <w:spacing w:after="120"/>
        <w:jc w:val="both"/>
        <w:rPr>
          <w:color w:val="auto"/>
        </w:rPr>
      </w:pPr>
      <w:r w:rsidRPr="0056450D">
        <w:rPr>
          <w:color w:val="auto"/>
          <w:sz w:val="22"/>
          <w:szCs w:val="22"/>
        </w:rPr>
        <w:t>Beneficiary o</w:t>
      </w:r>
      <w:r w:rsidRPr="0056450D">
        <w:rPr>
          <w:color w:val="auto"/>
        </w:rPr>
        <w:t xml:space="preserve">rganisations may </w:t>
      </w:r>
      <w:r w:rsidR="00103C22" w:rsidRPr="0056450D">
        <w:rPr>
          <w:color w:val="auto"/>
        </w:rPr>
        <w:t>choose</w:t>
      </w:r>
      <w:r w:rsidRPr="0056450D">
        <w:rPr>
          <w:color w:val="auto"/>
        </w:rPr>
        <w:t xml:space="preserve"> to cooperate with other organisations such as international civil society organisations, academic institutions, or national public-sector institutions, including in particular national human rights institutions (NHRIs).</w:t>
      </w:r>
    </w:p>
    <w:p w:rsidR="0056450D" w:rsidRPr="00375E88" w:rsidRDefault="0056450D" w:rsidP="0056450D">
      <w:pPr>
        <w:pStyle w:val="Default"/>
        <w:jc w:val="both"/>
        <w:rPr>
          <w:color w:val="auto"/>
        </w:rPr>
      </w:pPr>
      <w:r w:rsidRPr="0058277E">
        <w:rPr>
          <w:color w:val="auto"/>
        </w:rPr>
        <w:t xml:space="preserve">The </w:t>
      </w:r>
      <w:r w:rsidRPr="008F2964">
        <w:rPr>
          <w:color w:val="auto"/>
        </w:rPr>
        <w:t>final beneficiaries</w:t>
      </w:r>
      <w:r w:rsidRPr="0058277E">
        <w:rPr>
          <w:color w:val="auto"/>
        </w:rPr>
        <w:t xml:space="preserve"> of the action </w:t>
      </w:r>
      <w:r>
        <w:rPr>
          <w:color w:val="auto"/>
        </w:rPr>
        <w:t>are</w:t>
      </w:r>
      <w:r w:rsidRPr="0058277E">
        <w:rPr>
          <w:color w:val="auto"/>
        </w:rPr>
        <w:t xml:space="preserve"> </w:t>
      </w:r>
      <w:r w:rsidRPr="008F2964">
        <w:rPr>
          <w:b/>
          <w:color w:val="auto"/>
        </w:rPr>
        <w:t>the citizens and the communities</w:t>
      </w:r>
      <w:r w:rsidRPr="0058277E">
        <w:rPr>
          <w:color w:val="auto"/>
        </w:rPr>
        <w:t xml:space="preserve"> living in the countries </w:t>
      </w:r>
      <w:r w:rsidR="008F2964">
        <w:rPr>
          <w:color w:val="auto"/>
        </w:rPr>
        <w:t xml:space="preserve">where the </w:t>
      </w:r>
      <w:r w:rsidRPr="0058277E">
        <w:rPr>
          <w:color w:val="auto"/>
        </w:rPr>
        <w:t>CBSS are implemented.</w:t>
      </w:r>
    </w:p>
    <w:p w:rsidR="008A7E77" w:rsidRPr="0058277E" w:rsidRDefault="008A7E77">
      <w:pPr>
        <w:pStyle w:val="Default"/>
        <w:jc w:val="both"/>
        <w:rPr>
          <w:color w:val="auto"/>
        </w:rPr>
      </w:pPr>
    </w:p>
    <w:p w:rsidR="00216FCA" w:rsidRPr="0058277E" w:rsidRDefault="001A1AF2">
      <w:pPr>
        <w:keepNext/>
        <w:numPr>
          <w:ilvl w:val="2"/>
          <w:numId w:val="0"/>
        </w:numPr>
        <w:ind w:left="720" w:hanging="720"/>
        <w:outlineLvl w:val="2"/>
        <w:rPr>
          <w:b/>
          <w:bCs/>
          <w:i/>
          <w:szCs w:val="26"/>
        </w:rPr>
      </w:pPr>
      <w:bookmarkStart w:id="17" w:name="_Toc392857999"/>
      <w:bookmarkStart w:id="18" w:name="_Toc391999029"/>
      <w:r w:rsidRPr="0058277E">
        <w:rPr>
          <w:b/>
          <w:bCs/>
          <w:i/>
          <w:szCs w:val="26"/>
        </w:rPr>
        <w:t>1.1.3</w:t>
      </w:r>
      <w:r w:rsidRPr="0058277E">
        <w:rPr>
          <w:b/>
          <w:bCs/>
          <w:i/>
          <w:szCs w:val="26"/>
        </w:rPr>
        <w:tab/>
        <w:t>Priority areas for support</w:t>
      </w:r>
      <w:bookmarkEnd w:id="17"/>
      <w:bookmarkEnd w:id="18"/>
    </w:p>
    <w:p w:rsidR="00EA4C9C" w:rsidRPr="00375E88" w:rsidRDefault="001A1AF2">
      <w:pPr>
        <w:pStyle w:val="ListParagraph1"/>
        <w:numPr>
          <w:ilvl w:val="255"/>
          <w:numId w:val="0"/>
        </w:numPr>
        <w:spacing w:before="120" w:after="120"/>
        <w:jc w:val="both"/>
        <w:rPr>
          <w:rFonts w:ascii="Times New Roman" w:hAnsi="Times New Roman"/>
          <w:sz w:val="24"/>
          <w:szCs w:val="24"/>
          <w:lang w:eastAsia="en-GB"/>
        </w:rPr>
      </w:pPr>
      <w:r w:rsidRPr="0058277E">
        <w:rPr>
          <w:rFonts w:ascii="Times New Roman" w:hAnsi="Times New Roman"/>
          <w:sz w:val="24"/>
          <w:szCs w:val="24"/>
          <w:lang w:eastAsia="en-GB"/>
        </w:rPr>
        <w:t xml:space="preserve">Consultations with local civil society </w:t>
      </w:r>
      <w:r w:rsidR="00632D9E" w:rsidRPr="0058277E">
        <w:rPr>
          <w:rFonts w:ascii="Times New Roman" w:hAnsi="Times New Roman"/>
          <w:sz w:val="24"/>
          <w:szCs w:val="24"/>
          <w:lang w:eastAsia="en-GB"/>
        </w:rPr>
        <w:t xml:space="preserve">organisations </w:t>
      </w:r>
      <w:r w:rsidR="00127E56">
        <w:rPr>
          <w:rFonts w:ascii="Times New Roman" w:hAnsi="Times New Roman"/>
          <w:sz w:val="24"/>
          <w:szCs w:val="24"/>
          <w:lang w:eastAsia="en-GB"/>
        </w:rPr>
        <w:t xml:space="preserve">organised by the EU delegations </w:t>
      </w:r>
      <w:r w:rsidRPr="0058277E">
        <w:rPr>
          <w:rFonts w:ascii="Times New Roman" w:hAnsi="Times New Roman"/>
          <w:sz w:val="24"/>
          <w:szCs w:val="24"/>
          <w:lang w:eastAsia="en-GB"/>
        </w:rPr>
        <w:t xml:space="preserve">as well as the local priorities </w:t>
      </w:r>
      <w:r w:rsidR="00127E56">
        <w:rPr>
          <w:rFonts w:ascii="Times New Roman" w:hAnsi="Times New Roman"/>
          <w:sz w:val="24"/>
          <w:szCs w:val="24"/>
          <w:lang w:eastAsia="en-GB"/>
        </w:rPr>
        <w:t xml:space="preserve">set out </w:t>
      </w:r>
      <w:r w:rsidRPr="0058277E">
        <w:rPr>
          <w:rFonts w:ascii="Times New Roman" w:hAnsi="Times New Roman"/>
          <w:sz w:val="24"/>
          <w:szCs w:val="24"/>
          <w:lang w:eastAsia="en-GB"/>
        </w:rPr>
        <w:t>in the human rights and democracy country strategies will provide guidance for the selection of relevant fields of intervention</w:t>
      </w:r>
      <w:r w:rsidR="00632D9E" w:rsidRPr="0058277E">
        <w:rPr>
          <w:rFonts w:ascii="Times New Roman" w:hAnsi="Times New Roman"/>
          <w:sz w:val="24"/>
          <w:szCs w:val="24"/>
          <w:lang w:eastAsia="en-GB"/>
        </w:rPr>
        <w:t xml:space="preserve"> </w:t>
      </w:r>
      <w:r w:rsidR="008F2964">
        <w:rPr>
          <w:rFonts w:ascii="Times New Roman" w:hAnsi="Times New Roman"/>
          <w:sz w:val="24"/>
          <w:szCs w:val="24"/>
          <w:lang w:eastAsia="en-GB"/>
        </w:rPr>
        <w:t xml:space="preserve">defined in </w:t>
      </w:r>
      <w:r w:rsidR="00632D9E" w:rsidRPr="0058277E">
        <w:rPr>
          <w:rFonts w:ascii="Times New Roman" w:hAnsi="Times New Roman"/>
          <w:sz w:val="24"/>
          <w:szCs w:val="24"/>
          <w:lang w:eastAsia="en-GB"/>
        </w:rPr>
        <w:t>the EIDHR local calls for proposals</w:t>
      </w:r>
      <w:r w:rsidRPr="0058277E">
        <w:rPr>
          <w:rFonts w:ascii="Times New Roman" w:hAnsi="Times New Roman"/>
          <w:sz w:val="24"/>
          <w:szCs w:val="24"/>
          <w:lang w:eastAsia="en-GB"/>
        </w:rPr>
        <w:t>.</w:t>
      </w:r>
      <w:r w:rsidR="00461E5F" w:rsidRPr="0058277E">
        <w:rPr>
          <w:rFonts w:ascii="Times New Roman" w:hAnsi="Times New Roman"/>
          <w:sz w:val="24"/>
          <w:szCs w:val="24"/>
          <w:lang w:eastAsia="en-GB"/>
        </w:rPr>
        <w:t xml:space="preserve"> </w:t>
      </w:r>
      <w:r w:rsidR="00081356">
        <w:rPr>
          <w:rFonts w:ascii="Times New Roman" w:hAnsi="Times New Roman"/>
          <w:sz w:val="24"/>
          <w:szCs w:val="24"/>
          <w:lang w:eastAsia="en-GB"/>
        </w:rPr>
        <w:t>Headquarters</w:t>
      </w:r>
      <w:r w:rsidR="00461E5F" w:rsidRPr="0058277E">
        <w:rPr>
          <w:rFonts w:ascii="Times New Roman" w:hAnsi="Times New Roman"/>
          <w:sz w:val="24"/>
          <w:szCs w:val="24"/>
          <w:lang w:eastAsia="en-GB"/>
        </w:rPr>
        <w:t xml:space="preserve"> will be consulted </w:t>
      </w:r>
      <w:r w:rsidR="00D073A4" w:rsidRPr="00375E88">
        <w:rPr>
          <w:rFonts w:ascii="Times New Roman" w:hAnsi="Times New Roman"/>
          <w:sz w:val="24"/>
          <w:szCs w:val="24"/>
          <w:lang w:eastAsia="en-GB"/>
        </w:rPr>
        <w:t xml:space="preserve">early </w:t>
      </w:r>
      <w:r w:rsidR="00461E5F" w:rsidRPr="00327359">
        <w:rPr>
          <w:rFonts w:ascii="Times New Roman" w:hAnsi="Times New Roman"/>
          <w:sz w:val="24"/>
          <w:szCs w:val="24"/>
          <w:lang w:eastAsia="en-GB"/>
        </w:rPr>
        <w:t xml:space="preserve">in the process of defining </w:t>
      </w:r>
      <w:r w:rsidR="00D073A4" w:rsidRPr="00630D5E">
        <w:rPr>
          <w:rFonts w:ascii="Times New Roman" w:hAnsi="Times New Roman"/>
          <w:sz w:val="24"/>
          <w:szCs w:val="24"/>
          <w:lang w:eastAsia="en-GB"/>
        </w:rPr>
        <w:t>CBSS</w:t>
      </w:r>
      <w:r w:rsidR="00461E5F" w:rsidRPr="00AF4088">
        <w:rPr>
          <w:rFonts w:ascii="Times New Roman" w:hAnsi="Times New Roman"/>
          <w:sz w:val="24"/>
          <w:szCs w:val="24"/>
          <w:lang w:eastAsia="en-GB"/>
        </w:rPr>
        <w:t xml:space="preserve"> priority areas in order to </w:t>
      </w:r>
      <w:r w:rsidR="00732917">
        <w:rPr>
          <w:rFonts w:ascii="Times New Roman" w:hAnsi="Times New Roman"/>
          <w:sz w:val="24"/>
          <w:szCs w:val="24"/>
          <w:lang w:eastAsia="en-GB"/>
        </w:rPr>
        <w:t>contribute to the achievement</w:t>
      </w:r>
      <w:r w:rsidR="00461E5F" w:rsidRPr="008D712A">
        <w:rPr>
          <w:rFonts w:ascii="Times New Roman" w:hAnsi="Times New Roman"/>
          <w:sz w:val="24"/>
          <w:szCs w:val="24"/>
          <w:lang w:eastAsia="en-GB"/>
        </w:rPr>
        <w:t xml:space="preserve"> of Objectives 1, 2 and 3 </w:t>
      </w:r>
      <w:r w:rsidR="008F2964">
        <w:rPr>
          <w:rFonts w:ascii="Times New Roman" w:hAnsi="Times New Roman"/>
          <w:sz w:val="24"/>
          <w:szCs w:val="24"/>
          <w:lang w:eastAsia="en-GB"/>
        </w:rPr>
        <w:t>of</w:t>
      </w:r>
      <w:r w:rsidR="004A078D" w:rsidRPr="008D712A">
        <w:rPr>
          <w:rFonts w:ascii="Times New Roman" w:hAnsi="Times New Roman"/>
          <w:sz w:val="24"/>
          <w:szCs w:val="24"/>
          <w:lang w:eastAsia="en-GB"/>
        </w:rPr>
        <w:t xml:space="preserve"> </w:t>
      </w:r>
      <w:r w:rsidR="00461E5F" w:rsidRPr="004603AE">
        <w:rPr>
          <w:rFonts w:ascii="Times New Roman" w:hAnsi="Times New Roman"/>
          <w:sz w:val="24"/>
          <w:szCs w:val="24"/>
          <w:lang w:eastAsia="en-GB"/>
        </w:rPr>
        <w:t>the EIDHR Regulation</w:t>
      </w:r>
      <w:r w:rsidR="00112914" w:rsidRPr="001D20F2">
        <w:rPr>
          <w:rFonts w:ascii="Times New Roman" w:hAnsi="Times New Roman"/>
          <w:sz w:val="24"/>
          <w:szCs w:val="24"/>
          <w:lang w:eastAsia="en-GB"/>
        </w:rPr>
        <w:t xml:space="preserve"> and priorities of the EIDHR M</w:t>
      </w:r>
      <w:r w:rsidR="008F2964">
        <w:rPr>
          <w:rFonts w:ascii="Times New Roman" w:hAnsi="Times New Roman"/>
          <w:sz w:val="24"/>
          <w:szCs w:val="24"/>
          <w:lang w:eastAsia="en-GB"/>
        </w:rPr>
        <w:t>ulti-annual Indi</w:t>
      </w:r>
      <w:r w:rsidR="00127E56">
        <w:rPr>
          <w:rFonts w:ascii="Times New Roman" w:hAnsi="Times New Roman"/>
          <w:sz w:val="24"/>
          <w:szCs w:val="24"/>
          <w:lang w:eastAsia="en-GB"/>
        </w:rPr>
        <w:t>ca</w:t>
      </w:r>
      <w:r w:rsidR="008F2964">
        <w:rPr>
          <w:rFonts w:ascii="Times New Roman" w:hAnsi="Times New Roman"/>
          <w:sz w:val="24"/>
          <w:szCs w:val="24"/>
          <w:lang w:eastAsia="en-GB"/>
        </w:rPr>
        <w:t>tive Programme</w:t>
      </w:r>
      <w:r w:rsidR="00112914" w:rsidRPr="001D20F2">
        <w:rPr>
          <w:rFonts w:ascii="Times New Roman" w:hAnsi="Times New Roman"/>
          <w:sz w:val="24"/>
          <w:szCs w:val="24"/>
          <w:lang w:eastAsia="en-GB"/>
        </w:rPr>
        <w:t xml:space="preserve"> </w:t>
      </w:r>
      <w:r w:rsidR="008F2964">
        <w:rPr>
          <w:rFonts w:ascii="Times New Roman" w:hAnsi="Times New Roman"/>
          <w:sz w:val="24"/>
          <w:szCs w:val="24"/>
          <w:lang w:eastAsia="en-GB"/>
        </w:rPr>
        <w:t xml:space="preserve">(MIP) </w:t>
      </w:r>
      <w:r w:rsidR="00112914" w:rsidRPr="001D20F2">
        <w:rPr>
          <w:rFonts w:ascii="Times New Roman" w:hAnsi="Times New Roman"/>
          <w:sz w:val="24"/>
          <w:szCs w:val="24"/>
          <w:lang w:eastAsia="en-GB"/>
        </w:rPr>
        <w:t>2018-2020</w:t>
      </w:r>
      <w:r w:rsidR="00461E5F" w:rsidRPr="0058277E">
        <w:rPr>
          <w:rFonts w:ascii="Times New Roman" w:hAnsi="Times New Roman"/>
          <w:sz w:val="24"/>
          <w:szCs w:val="24"/>
          <w:lang w:eastAsia="en-GB"/>
        </w:rPr>
        <w:t>.</w:t>
      </w:r>
      <w:r w:rsidR="00D073A4" w:rsidRPr="0058277E">
        <w:rPr>
          <w:rFonts w:ascii="Times New Roman" w:hAnsi="Times New Roman"/>
          <w:sz w:val="24"/>
          <w:szCs w:val="24"/>
          <w:lang w:eastAsia="en-GB"/>
        </w:rPr>
        <w:t xml:space="preserve"> </w:t>
      </w:r>
    </w:p>
    <w:p w:rsidR="00216FCA" w:rsidRPr="005071E1" w:rsidRDefault="00D073A4">
      <w:pPr>
        <w:pStyle w:val="ListParagraph1"/>
        <w:numPr>
          <w:ilvl w:val="255"/>
          <w:numId w:val="0"/>
        </w:numPr>
        <w:spacing w:before="120" w:after="120"/>
        <w:jc w:val="both"/>
        <w:rPr>
          <w:rFonts w:ascii="Times New Roman" w:hAnsi="Times New Roman"/>
          <w:sz w:val="24"/>
          <w:szCs w:val="24"/>
          <w:lang w:eastAsia="en-GB"/>
        </w:rPr>
      </w:pPr>
      <w:r w:rsidRPr="005071E1">
        <w:rPr>
          <w:rFonts w:ascii="Times New Roman" w:hAnsi="Times New Roman"/>
          <w:sz w:val="24"/>
          <w:szCs w:val="24"/>
          <w:lang w:eastAsia="en-GB"/>
        </w:rPr>
        <w:t xml:space="preserve">More specifically, </w:t>
      </w:r>
      <w:r w:rsidR="00EA4C9C" w:rsidRPr="005071E1">
        <w:rPr>
          <w:rFonts w:ascii="Times New Roman" w:hAnsi="Times New Roman"/>
          <w:sz w:val="24"/>
          <w:szCs w:val="24"/>
          <w:lang w:eastAsia="en-GB"/>
        </w:rPr>
        <w:t xml:space="preserve">the following priority areas, reflecting the objectives of </w:t>
      </w:r>
      <w:r w:rsidR="008F2964" w:rsidRPr="005071E1">
        <w:rPr>
          <w:rFonts w:ascii="Times New Roman" w:hAnsi="Times New Roman"/>
          <w:sz w:val="24"/>
          <w:szCs w:val="24"/>
          <w:lang w:eastAsia="en-GB"/>
        </w:rPr>
        <w:t xml:space="preserve">the </w:t>
      </w:r>
      <w:r w:rsidR="00EA4C9C" w:rsidRPr="005071E1">
        <w:rPr>
          <w:rFonts w:ascii="Times New Roman" w:hAnsi="Times New Roman"/>
          <w:sz w:val="24"/>
          <w:szCs w:val="24"/>
          <w:lang w:eastAsia="en-GB"/>
        </w:rPr>
        <w:t xml:space="preserve">EIDHR </w:t>
      </w:r>
      <w:r w:rsidR="008F2964" w:rsidRPr="005071E1">
        <w:rPr>
          <w:rFonts w:ascii="Times New Roman" w:hAnsi="Times New Roman"/>
          <w:sz w:val="24"/>
          <w:szCs w:val="24"/>
          <w:lang w:eastAsia="en-GB"/>
        </w:rPr>
        <w:t>MIP</w:t>
      </w:r>
      <w:r w:rsidR="00EA4C9C" w:rsidRPr="005071E1">
        <w:rPr>
          <w:rFonts w:ascii="Times New Roman" w:hAnsi="Times New Roman"/>
          <w:sz w:val="24"/>
          <w:szCs w:val="24"/>
          <w:lang w:eastAsia="en-GB"/>
        </w:rPr>
        <w:t xml:space="preserve"> 2018-2020, will be addres</w:t>
      </w:r>
      <w:r w:rsidR="007503A2" w:rsidRPr="005071E1">
        <w:rPr>
          <w:rFonts w:ascii="Times New Roman" w:hAnsi="Times New Roman"/>
          <w:sz w:val="24"/>
          <w:szCs w:val="24"/>
          <w:lang w:eastAsia="en-GB"/>
        </w:rPr>
        <w:t>sed</w:t>
      </w:r>
      <w:r w:rsidR="00EA4C9C" w:rsidRPr="005071E1">
        <w:rPr>
          <w:rFonts w:ascii="Times New Roman" w:hAnsi="Times New Roman"/>
          <w:sz w:val="24"/>
          <w:szCs w:val="24"/>
          <w:lang w:eastAsia="en-GB"/>
        </w:rPr>
        <w:t>:</w:t>
      </w:r>
    </w:p>
    <w:p w:rsidR="00E27ED6" w:rsidRPr="005071E1" w:rsidRDefault="001E35E9" w:rsidP="003A4AB7">
      <w:pPr>
        <w:pStyle w:val="ListParagraph1"/>
        <w:numPr>
          <w:ilvl w:val="0"/>
          <w:numId w:val="28"/>
        </w:numPr>
        <w:spacing w:before="120" w:after="120"/>
        <w:jc w:val="both"/>
        <w:rPr>
          <w:rFonts w:ascii="Times New Roman" w:hAnsi="Times New Roman"/>
          <w:i/>
          <w:iCs/>
          <w:color w:val="545454"/>
          <w:sz w:val="24"/>
          <w:szCs w:val="24"/>
          <w:lang w:val="en-US" w:bidi="en-US"/>
        </w:rPr>
      </w:pPr>
      <w:r w:rsidRPr="005071E1">
        <w:rPr>
          <w:rFonts w:ascii="Times New Roman" w:hAnsi="Times New Roman"/>
          <w:b/>
          <w:sz w:val="24"/>
          <w:szCs w:val="24"/>
          <w:lang w:eastAsia="en-GB"/>
        </w:rPr>
        <w:t>Support to</w:t>
      </w:r>
      <w:r w:rsidR="00127E56" w:rsidRPr="005071E1">
        <w:rPr>
          <w:rFonts w:ascii="Times New Roman" w:hAnsi="Times New Roman"/>
          <w:b/>
          <w:sz w:val="24"/>
          <w:szCs w:val="24"/>
          <w:lang w:eastAsia="en-GB"/>
        </w:rPr>
        <w:t xml:space="preserve"> </w:t>
      </w:r>
      <w:r w:rsidR="003A7808" w:rsidRPr="005071E1">
        <w:rPr>
          <w:rFonts w:ascii="Times New Roman" w:hAnsi="Times New Roman"/>
          <w:b/>
          <w:sz w:val="24"/>
          <w:szCs w:val="24"/>
          <w:lang w:eastAsia="en-GB"/>
        </w:rPr>
        <w:t>human rights and human rights defenders most at risk</w:t>
      </w:r>
      <w:r w:rsidR="00E27ED6" w:rsidRPr="005071E1">
        <w:rPr>
          <w:rFonts w:ascii="Times New Roman" w:hAnsi="Times New Roman"/>
          <w:sz w:val="24"/>
          <w:szCs w:val="24"/>
          <w:lang w:eastAsia="en-GB"/>
        </w:rPr>
        <w:t xml:space="preserve"> (</w:t>
      </w:r>
      <w:r w:rsidR="002E35DA" w:rsidRPr="005071E1">
        <w:rPr>
          <w:rFonts w:ascii="Times New Roman" w:hAnsi="Times New Roman"/>
          <w:sz w:val="24"/>
          <w:szCs w:val="24"/>
          <w:lang w:eastAsia="en-GB"/>
        </w:rPr>
        <w:t xml:space="preserve">as put forward in </w:t>
      </w:r>
      <w:r w:rsidR="00E27ED6" w:rsidRPr="005071E1">
        <w:rPr>
          <w:rFonts w:ascii="Times New Roman" w:hAnsi="Times New Roman"/>
          <w:sz w:val="24"/>
          <w:szCs w:val="24"/>
          <w:lang w:eastAsia="en-GB"/>
        </w:rPr>
        <w:t>Objective 1 of the EIDHR MIP 2018-2020)</w:t>
      </w:r>
      <w:r w:rsidR="004A078D" w:rsidRPr="005071E1">
        <w:rPr>
          <w:rFonts w:ascii="Times New Roman" w:hAnsi="Times New Roman"/>
          <w:sz w:val="24"/>
          <w:szCs w:val="24"/>
          <w:lang w:eastAsia="en-GB"/>
        </w:rPr>
        <w:t xml:space="preserve">. </w:t>
      </w:r>
      <w:r w:rsidR="00E27ED6" w:rsidRPr="005071E1">
        <w:rPr>
          <w:rFonts w:ascii="Times New Roman" w:hAnsi="Times New Roman"/>
          <w:sz w:val="24"/>
          <w:szCs w:val="24"/>
        </w:rPr>
        <w:t xml:space="preserve">EIDHR actions </w:t>
      </w:r>
      <w:r w:rsidR="007503A2" w:rsidRPr="005071E1">
        <w:rPr>
          <w:rFonts w:ascii="Times New Roman" w:hAnsi="Times New Roman"/>
          <w:sz w:val="24"/>
          <w:szCs w:val="24"/>
        </w:rPr>
        <w:t xml:space="preserve">under this area </w:t>
      </w:r>
      <w:r w:rsidR="00E27ED6" w:rsidRPr="005071E1">
        <w:rPr>
          <w:rFonts w:ascii="Times New Roman" w:hAnsi="Times New Roman"/>
          <w:sz w:val="24"/>
          <w:szCs w:val="24"/>
        </w:rPr>
        <w:t xml:space="preserve">shall </w:t>
      </w:r>
      <w:r w:rsidR="00081356" w:rsidRPr="005071E1">
        <w:rPr>
          <w:rFonts w:ascii="Times New Roman" w:hAnsi="Times New Roman"/>
          <w:sz w:val="24"/>
          <w:szCs w:val="24"/>
        </w:rPr>
        <w:t xml:space="preserve">support </w:t>
      </w:r>
      <w:r w:rsidR="007503A2" w:rsidRPr="005071E1">
        <w:rPr>
          <w:rFonts w:ascii="Times New Roman" w:hAnsi="Times New Roman"/>
          <w:sz w:val="24"/>
          <w:szCs w:val="24"/>
        </w:rPr>
        <w:t>human rights defender</w:t>
      </w:r>
      <w:r w:rsidR="00E27ED6" w:rsidRPr="005071E1">
        <w:rPr>
          <w:rFonts w:ascii="Times New Roman" w:hAnsi="Times New Roman"/>
          <w:sz w:val="24"/>
          <w:szCs w:val="24"/>
        </w:rPr>
        <w:t>s</w:t>
      </w:r>
      <w:r w:rsidR="007503A2" w:rsidRPr="005071E1">
        <w:rPr>
          <w:rFonts w:ascii="Times New Roman" w:hAnsi="Times New Roman"/>
          <w:sz w:val="24"/>
          <w:szCs w:val="24"/>
        </w:rPr>
        <w:t xml:space="preserve"> (HRDs)</w:t>
      </w:r>
      <w:r w:rsidR="00BD7929" w:rsidRPr="005071E1">
        <w:rPr>
          <w:rFonts w:ascii="Times New Roman" w:hAnsi="Times New Roman"/>
          <w:sz w:val="24"/>
          <w:szCs w:val="24"/>
        </w:rPr>
        <w:t xml:space="preserve"> and </w:t>
      </w:r>
      <w:r w:rsidR="00E27ED6" w:rsidRPr="005071E1">
        <w:rPr>
          <w:rFonts w:ascii="Times New Roman" w:hAnsi="Times New Roman"/>
          <w:sz w:val="24"/>
          <w:szCs w:val="24"/>
        </w:rPr>
        <w:t xml:space="preserve">civil society organisations in </w:t>
      </w:r>
      <w:r w:rsidR="00081356" w:rsidRPr="005071E1">
        <w:rPr>
          <w:rFonts w:ascii="Times New Roman" w:hAnsi="Times New Roman"/>
          <w:sz w:val="24"/>
          <w:szCs w:val="24"/>
        </w:rPr>
        <w:t xml:space="preserve">activities related to </w:t>
      </w:r>
      <w:r w:rsidR="00E27ED6" w:rsidRPr="005071E1">
        <w:rPr>
          <w:rFonts w:ascii="Times New Roman" w:hAnsi="Times New Roman"/>
          <w:sz w:val="24"/>
          <w:szCs w:val="24"/>
        </w:rPr>
        <w:t xml:space="preserve">systematic, </w:t>
      </w:r>
      <w:r w:rsidR="00732917" w:rsidRPr="005071E1">
        <w:rPr>
          <w:rFonts w:ascii="Times New Roman" w:hAnsi="Times New Roman"/>
          <w:sz w:val="24"/>
          <w:szCs w:val="24"/>
        </w:rPr>
        <w:t>widespread</w:t>
      </w:r>
      <w:r w:rsidR="00E27ED6" w:rsidRPr="005071E1">
        <w:rPr>
          <w:rFonts w:ascii="Times New Roman" w:hAnsi="Times New Roman"/>
          <w:sz w:val="24"/>
          <w:szCs w:val="24"/>
        </w:rPr>
        <w:t xml:space="preserve"> and gross human rights violations and </w:t>
      </w:r>
      <w:r w:rsidR="00081356" w:rsidRPr="005071E1">
        <w:rPr>
          <w:rFonts w:ascii="Times New Roman" w:hAnsi="Times New Roman"/>
          <w:sz w:val="24"/>
          <w:szCs w:val="24"/>
        </w:rPr>
        <w:t xml:space="preserve">attacks against </w:t>
      </w:r>
      <w:r w:rsidR="00E27ED6" w:rsidRPr="005071E1">
        <w:rPr>
          <w:rFonts w:ascii="Times New Roman" w:hAnsi="Times New Roman"/>
          <w:sz w:val="24"/>
          <w:szCs w:val="24"/>
        </w:rPr>
        <w:t>fundamental freedoms. A focused attention shall be given to the most marginali</w:t>
      </w:r>
      <w:r w:rsidR="00081356" w:rsidRPr="005071E1">
        <w:rPr>
          <w:rFonts w:ascii="Times New Roman" w:hAnsi="Times New Roman"/>
          <w:sz w:val="24"/>
          <w:szCs w:val="24"/>
        </w:rPr>
        <w:t>s</w:t>
      </w:r>
      <w:r w:rsidR="00E27ED6" w:rsidRPr="005071E1">
        <w:rPr>
          <w:rFonts w:ascii="Times New Roman" w:hAnsi="Times New Roman"/>
          <w:sz w:val="24"/>
          <w:szCs w:val="24"/>
        </w:rPr>
        <w:t>ed, stigmati</w:t>
      </w:r>
      <w:r w:rsidR="00081356" w:rsidRPr="005071E1">
        <w:rPr>
          <w:rFonts w:ascii="Times New Roman" w:hAnsi="Times New Roman"/>
          <w:sz w:val="24"/>
          <w:szCs w:val="24"/>
        </w:rPr>
        <w:t>s</w:t>
      </w:r>
      <w:r w:rsidR="00E27ED6" w:rsidRPr="005071E1">
        <w:rPr>
          <w:rFonts w:ascii="Times New Roman" w:hAnsi="Times New Roman"/>
          <w:sz w:val="24"/>
          <w:szCs w:val="24"/>
        </w:rPr>
        <w:t>ed and isolated HRDs</w:t>
      </w:r>
      <w:r w:rsidR="00081356" w:rsidRPr="005071E1">
        <w:rPr>
          <w:rFonts w:ascii="Times New Roman" w:hAnsi="Times New Roman"/>
          <w:sz w:val="24"/>
          <w:szCs w:val="24"/>
        </w:rPr>
        <w:t>,</w:t>
      </w:r>
      <w:r w:rsidR="00B27146" w:rsidRPr="005071E1">
        <w:rPr>
          <w:rFonts w:ascii="Times New Roman" w:hAnsi="Times New Roman"/>
          <w:sz w:val="24"/>
          <w:szCs w:val="24"/>
        </w:rPr>
        <w:t xml:space="preserve"> </w:t>
      </w:r>
      <w:r w:rsidR="002E35DA" w:rsidRPr="005071E1">
        <w:rPr>
          <w:rFonts w:ascii="Times New Roman" w:hAnsi="Times New Roman"/>
          <w:sz w:val="24"/>
          <w:szCs w:val="24"/>
        </w:rPr>
        <w:t xml:space="preserve">such as LGBTI or indigenous peoples' rights activists, </w:t>
      </w:r>
      <w:r w:rsidR="00B27146" w:rsidRPr="005071E1">
        <w:rPr>
          <w:rFonts w:ascii="Times New Roman" w:hAnsi="Times New Roman"/>
          <w:sz w:val="24"/>
          <w:szCs w:val="24"/>
        </w:rPr>
        <w:t>or organisations working on the most sensitive human rights issues</w:t>
      </w:r>
      <w:r w:rsidR="002E35DA" w:rsidRPr="005071E1">
        <w:rPr>
          <w:rFonts w:ascii="Times New Roman" w:hAnsi="Times New Roman"/>
          <w:sz w:val="24"/>
          <w:szCs w:val="24"/>
        </w:rPr>
        <w:t xml:space="preserve"> in the country of intervention</w:t>
      </w:r>
      <w:r w:rsidR="00291439" w:rsidRPr="005071E1">
        <w:rPr>
          <w:rFonts w:ascii="Times New Roman" w:hAnsi="Times New Roman"/>
          <w:sz w:val="24"/>
          <w:szCs w:val="24"/>
        </w:rPr>
        <w:t xml:space="preserve">. Moreover, whistle-blowers, victims and witnesses of human rights violations and abuses may be considered as HRDs in </w:t>
      </w:r>
      <w:r w:rsidR="0089641A" w:rsidRPr="005071E1">
        <w:rPr>
          <w:rFonts w:ascii="Times New Roman" w:hAnsi="Times New Roman"/>
          <w:sz w:val="24"/>
          <w:szCs w:val="24"/>
        </w:rPr>
        <w:t xml:space="preserve">certain </w:t>
      </w:r>
      <w:r w:rsidR="00291439" w:rsidRPr="005071E1">
        <w:rPr>
          <w:rFonts w:ascii="Times New Roman" w:hAnsi="Times New Roman"/>
          <w:sz w:val="24"/>
          <w:szCs w:val="24"/>
        </w:rPr>
        <w:lastRenderedPageBreak/>
        <w:t>circumstances. Independent National Human Righ</w:t>
      </w:r>
      <w:r w:rsidR="00B45CC4" w:rsidRPr="005071E1">
        <w:rPr>
          <w:rFonts w:ascii="Times New Roman" w:hAnsi="Times New Roman"/>
          <w:sz w:val="24"/>
          <w:szCs w:val="24"/>
        </w:rPr>
        <w:t>ts Institutions (NHRI)</w:t>
      </w:r>
      <w:r w:rsidR="005071E1" w:rsidRPr="005071E1">
        <w:rPr>
          <w:rStyle w:val="FootnoteReference"/>
          <w:rFonts w:ascii="Times New Roman" w:hAnsi="Times New Roman"/>
          <w:sz w:val="24"/>
          <w:szCs w:val="24"/>
        </w:rPr>
        <w:footnoteReference w:id="7"/>
      </w:r>
      <w:r w:rsidR="00291439" w:rsidRPr="005071E1">
        <w:rPr>
          <w:rFonts w:ascii="Times New Roman" w:hAnsi="Times New Roman"/>
          <w:sz w:val="24"/>
          <w:szCs w:val="24"/>
        </w:rPr>
        <w:t>, women's rights institutions and State protection mechanisms when relevant, with the mandate to broadly promote, protect, monitor and report on the human rights situation in a given country have also been recognized as HRDs.</w:t>
      </w:r>
      <w:r w:rsidR="00BD7929" w:rsidRPr="005071E1">
        <w:rPr>
          <w:rFonts w:ascii="Times New Roman" w:hAnsi="Times New Roman"/>
          <w:sz w:val="24"/>
          <w:szCs w:val="24"/>
        </w:rPr>
        <w:t xml:space="preserve"> </w:t>
      </w:r>
      <w:r w:rsidR="00E27ED6" w:rsidRPr="005071E1">
        <w:rPr>
          <w:rFonts w:ascii="Times New Roman" w:hAnsi="Times New Roman"/>
          <w:sz w:val="24"/>
          <w:szCs w:val="24"/>
        </w:rPr>
        <w:t xml:space="preserve"> </w:t>
      </w:r>
      <w:r w:rsidR="003F73E9" w:rsidRPr="005071E1">
        <w:rPr>
          <w:rFonts w:ascii="Times New Roman" w:hAnsi="Times New Roman"/>
          <w:sz w:val="24"/>
          <w:szCs w:val="24"/>
        </w:rPr>
        <w:t>Actions addressing</w:t>
      </w:r>
      <w:r w:rsidR="002E35DA" w:rsidRPr="005071E1">
        <w:rPr>
          <w:rFonts w:ascii="Times New Roman" w:hAnsi="Times New Roman"/>
          <w:sz w:val="24"/>
          <w:szCs w:val="24"/>
        </w:rPr>
        <w:t xml:space="preserve"> the</w:t>
      </w:r>
      <w:r w:rsidR="003F73E9" w:rsidRPr="005071E1">
        <w:rPr>
          <w:rFonts w:ascii="Times New Roman" w:hAnsi="Times New Roman"/>
          <w:sz w:val="24"/>
          <w:szCs w:val="24"/>
        </w:rPr>
        <w:t xml:space="preserve"> shrinking civic</w:t>
      </w:r>
      <w:r w:rsidR="00081356" w:rsidRPr="005071E1">
        <w:rPr>
          <w:rFonts w:ascii="Times New Roman" w:hAnsi="Times New Roman"/>
          <w:sz w:val="24"/>
          <w:szCs w:val="24"/>
        </w:rPr>
        <w:t xml:space="preserve"> and political </w:t>
      </w:r>
      <w:r w:rsidR="003F73E9" w:rsidRPr="005071E1">
        <w:rPr>
          <w:rFonts w:ascii="Times New Roman" w:hAnsi="Times New Roman"/>
          <w:sz w:val="24"/>
          <w:szCs w:val="24"/>
        </w:rPr>
        <w:t>space are also in</w:t>
      </w:r>
      <w:r w:rsidR="00732917" w:rsidRPr="005071E1">
        <w:rPr>
          <w:rFonts w:ascii="Times New Roman" w:hAnsi="Times New Roman"/>
          <w:sz w:val="24"/>
          <w:szCs w:val="24"/>
        </w:rPr>
        <w:t xml:space="preserve">cluded under this priority area. </w:t>
      </w:r>
    </w:p>
    <w:p w:rsidR="00112914" w:rsidRDefault="001E35E9" w:rsidP="003A4AB7">
      <w:pPr>
        <w:pStyle w:val="ListParagraph1"/>
        <w:numPr>
          <w:ilvl w:val="0"/>
          <w:numId w:val="21"/>
        </w:numPr>
        <w:spacing w:before="120" w:after="120"/>
        <w:jc w:val="both"/>
        <w:rPr>
          <w:rFonts w:ascii="Times New Roman" w:hAnsi="Times New Roman"/>
          <w:sz w:val="24"/>
          <w:szCs w:val="24"/>
          <w:lang w:eastAsia="en-GB"/>
        </w:rPr>
      </w:pPr>
      <w:r w:rsidRPr="005071E1">
        <w:rPr>
          <w:rFonts w:ascii="Times New Roman" w:hAnsi="Times New Roman"/>
          <w:b/>
          <w:sz w:val="24"/>
          <w:szCs w:val="24"/>
          <w:lang w:eastAsia="en-GB"/>
        </w:rPr>
        <w:t>Support</w:t>
      </w:r>
      <w:r w:rsidR="007D1329" w:rsidRPr="005071E1">
        <w:rPr>
          <w:rFonts w:ascii="Times New Roman" w:hAnsi="Times New Roman"/>
          <w:b/>
          <w:sz w:val="24"/>
          <w:szCs w:val="24"/>
          <w:lang w:eastAsia="en-GB"/>
        </w:rPr>
        <w:t xml:space="preserve"> </w:t>
      </w:r>
      <w:r w:rsidR="007503A2" w:rsidRPr="005071E1">
        <w:rPr>
          <w:rFonts w:ascii="Times New Roman" w:hAnsi="Times New Roman"/>
          <w:b/>
          <w:sz w:val="24"/>
          <w:szCs w:val="24"/>
          <w:lang w:eastAsia="en-GB"/>
        </w:rPr>
        <w:t>to</w:t>
      </w:r>
      <w:r w:rsidR="003A4AB7" w:rsidRPr="003A4AB7">
        <w:rPr>
          <w:rFonts w:ascii="Times New Roman" w:hAnsi="Times New Roman"/>
          <w:sz w:val="24"/>
          <w:szCs w:val="24"/>
          <w:lang w:eastAsia="en-GB"/>
        </w:rPr>
        <w:t xml:space="preserve"> </w:t>
      </w:r>
      <w:r w:rsidR="003A4AB7" w:rsidRPr="003A4AB7">
        <w:rPr>
          <w:rFonts w:ascii="Times New Roman" w:hAnsi="Times New Roman"/>
          <w:b/>
          <w:sz w:val="24"/>
          <w:szCs w:val="24"/>
          <w:lang w:eastAsia="en-GB"/>
        </w:rPr>
        <w:t>o</w:t>
      </w:r>
      <w:r w:rsidR="003A7808" w:rsidRPr="006412B2">
        <w:rPr>
          <w:rFonts w:ascii="Times New Roman" w:hAnsi="Times New Roman"/>
          <w:b/>
          <w:sz w:val="24"/>
          <w:szCs w:val="24"/>
          <w:lang w:eastAsia="en-GB"/>
        </w:rPr>
        <w:t>ther EU human rights priorities</w:t>
      </w:r>
      <w:r w:rsidR="003A7808" w:rsidRPr="006412B2">
        <w:rPr>
          <w:rFonts w:ascii="Times New Roman" w:hAnsi="Times New Roman"/>
          <w:sz w:val="24"/>
          <w:szCs w:val="24"/>
          <w:lang w:eastAsia="en-GB"/>
        </w:rPr>
        <w:t xml:space="preserve"> in line with the set of EU human rights guidelines adopted by the Council of the European Union</w:t>
      </w:r>
      <w:r w:rsidR="006412B2">
        <w:rPr>
          <w:rFonts w:ascii="Times New Roman" w:hAnsi="Times New Roman"/>
          <w:sz w:val="24"/>
          <w:szCs w:val="24"/>
          <w:lang w:eastAsia="en-GB"/>
        </w:rPr>
        <w:t xml:space="preserve"> and as set out in Objective 2 of the EIDHR MIP 2018-2020</w:t>
      </w:r>
      <w:r w:rsidR="00112914" w:rsidRPr="003A4AB7">
        <w:rPr>
          <w:rFonts w:ascii="Times New Roman" w:hAnsi="Times New Roman"/>
          <w:sz w:val="24"/>
          <w:szCs w:val="24"/>
          <w:lang w:eastAsia="en-GB"/>
        </w:rPr>
        <w:t xml:space="preserve">. </w:t>
      </w:r>
      <w:r w:rsidR="006412B2">
        <w:rPr>
          <w:rFonts w:ascii="Times New Roman" w:hAnsi="Times New Roman"/>
          <w:sz w:val="24"/>
          <w:szCs w:val="24"/>
          <w:lang w:eastAsia="en-GB"/>
        </w:rPr>
        <w:t>The f</w:t>
      </w:r>
      <w:r w:rsidR="007503A2">
        <w:rPr>
          <w:rFonts w:ascii="Times New Roman" w:hAnsi="Times New Roman"/>
          <w:sz w:val="24"/>
          <w:szCs w:val="24"/>
          <w:lang w:eastAsia="en-GB"/>
        </w:rPr>
        <w:t>ollowing issues</w:t>
      </w:r>
      <w:r w:rsidR="006412B2">
        <w:rPr>
          <w:rFonts w:ascii="Times New Roman" w:hAnsi="Times New Roman"/>
          <w:sz w:val="24"/>
          <w:szCs w:val="24"/>
          <w:lang w:eastAsia="en-GB"/>
        </w:rPr>
        <w:t xml:space="preserve"> are covered</w:t>
      </w:r>
      <w:r w:rsidR="007503A2">
        <w:rPr>
          <w:rFonts w:ascii="Times New Roman" w:hAnsi="Times New Roman"/>
          <w:sz w:val="24"/>
          <w:szCs w:val="24"/>
          <w:lang w:eastAsia="en-GB"/>
        </w:rPr>
        <w:t xml:space="preserve">: </w:t>
      </w:r>
      <w:r w:rsidR="00112914" w:rsidRPr="003A4AB7">
        <w:rPr>
          <w:rFonts w:ascii="Times New Roman" w:hAnsi="Times New Roman"/>
          <w:sz w:val="24"/>
          <w:szCs w:val="24"/>
          <w:lang w:eastAsia="en-GB"/>
        </w:rPr>
        <w:t>fight against death penalty and torture/ill treatment,</w:t>
      </w:r>
      <w:r w:rsidR="007503A2">
        <w:rPr>
          <w:rFonts w:ascii="Times New Roman" w:hAnsi="Times New Roman"/>
          <w:sz w:val="24"/>
          <w:szCs w:val="24"/>
          <w:lang w:eastAsia="en-GB"/>
        </w:rPr>
        <w:t xml:space="preserve"> </w:t>
      </w:r>
      <w:r w:rsidR="00112914" w:rsidRPr="003A4AB7">
        <w:rPr>
          <w:rFonts w:ascii="Times New Roman" w:hAnsi="Times New Roman"/>
          <w:sz w:val="24"/>
          <w:szCs w:val="24"/>
          <w:lang w:eastAsia="en-GB"/>
        </w:rPr>
        <w:t xml:space="preserve">fight against discrimination in all its forms </w:t>
      </w:r>
      <w:r w:rsidR="007503A2">
        <w:rPr>
          <w:rFonts w:ascii="Times New Roman" w:hAnsi="Times New Roman"/>
          <w:sz w:val="24"/>
          <w:szCs w:val="24"/>
          <w:lang w:eastAsia="en-GB"/>
        </w:rPr>
        <w:t xml:space="preserve">with a focus on </w:t>
      </w:r>
      <w:r w:rsidR="00DB6463">
        <w:rPr>
          <w:rFonts w:ascii="Times New Roman" w:hAnsi="Times New Roman"/>
          <w:sz w:val="24"/>
          <w:szCs w:val="24"/>
          <w:lang w:eastAsia="en-GB"/>
        </w:rPr>
        <w:t xml:space="preserve">women and </w:t>
      </w:r>
      <w:r w:rsidR="007503A2">
        <w:rPr>
          <w:rFonts w:ascii="Times New Roman" w:hAnsi="Times New Roman"/>
          <w:sz w:val="24"/>
          <w:szCs w:val="24"/>
          <w:lang w:eastAsia="en-GB"/>
        </w:rPr>
        <w:t xml:space="preserve">the most vulnerable groups </w:t>
      </w:r>
      <w:r w:rsidR="00112914" w:rsidRPr="003A4AB7">
        <w:rPr>
          <w:rFonts w:ascii="Times New Roman" w:hAnsi="Times New Roman"/>
          <w:sz w:val="24"/>
          <w:szCs w:val="24"/>
          <w:lang w:eastAsia="en-GB"/>
        </w:rPr>
        <w:t>(LGBTI, indigenous peoples</w:t>
      </w:r>
      <w:r w:rsidR="00DB6463">
        <w:rPr>
          <w:rFonts w:ascii="Times New Roman" w:hAnsi="Times New Roman"/>
          <w:sz w:val="24"/>
          <w:szCs w:val="24"/>
          <w:lang w:eastAsia="en-GB"/>
        </w:rPr>
        <w:t>, children</w:t>
      </w:r>
      <w:r w:rsidR="003A4AB7" w:rsidRPr="003A4AB7">
        <w:rPr>
          <w:rFonts w:ascii="Times New Roman" w:hAnsi="Times New Roman"/>
          <w:sz w:val="24"/>
          <w:szCs w:val="24"/>
          <w:lang w:eastAsia="en-GB"/>
        </w:rPr>
        <w:t>, migrants and other discriminated groups and minorities)</w:t>
      </w:r>
      <w:r w:rsidR="00112914" w:rsidRPr="003A4AB7">
        <w:rPr>
          <w:rFonts w:ascii="Times New Roman" w:hAnsi="Times New Roman"/>
          <w:sz w:val="24"/>
          <w:szCs w:val="24"/>
          <w:lang w:eastAsia="en-GB"/>
        </w:rPr>
        <w:t xml:space="preserve">, promotion </w:t>
      </w:r>
      <w:r w:rsidR="003A4AB7" w:rsidRPr="003A4AB7">
        <w:rPr>
          <w:rFonts w:ascii="Times New Roman" w:hAnsi="Times New Roman"/>
          <w:sz w:val="24"/>
          <w:szCs w:val="24"/>
          <w:lang w:eastAsia="en-GB"/>
        </w:rPr>
        <w:t xml:space="preserve">of </w:t>
      </w:r>
      <w:r w:rsidR="00112914" w:rsidRPr="003A4AB7">
        <w:rPr>
          <w:rFonts w:ascii="Times New Roman" w:hAnsi="Times New Roman"/>
          <w:sz w:val="24"/>
          <w:szCs w:val="24"/>
          <w:lang w:eastAsia="en-GB"/>
        </w:rPr>
        <w:t xml:space="preserve">freedom of religion or belief, </w:t>
      </w:r>
      <w:r w:rsidR="001F3FEB">
        <w:rPr>
          <w:rFonts w:ascii="Times New Roman" w:hAnsi="Times New Roman"/>
          <w:sz w:val="24"/>
          <w:szCs w:val="24"/>
          <w:lang w:eastAsia="en-GB"/>
        </w:rPr>
        <w:t xml:space="preserve">economic, social and cultural rights (incl. </w:t>
      </w:r>
      <w:r w:rsidR="00112914" w:rsidRPr="003A4AB7">
        <w:rPr>
          <w:rFonts w:ascii="Times New Roman" w:hAnsi="Times New Roman"/>
          <w:sz w:val="24"/>
          <w:szCs w:val="24"/>
          <w:lang w:eastAsia="en-GB"/>
        </w:rPr>
        <w:t>business and human rights</w:t>
      </w:r>
      <w:r w:rsidR="001F3FEB">
        <w:rPr>
          <w:rFonts w:ascii="Times New Roman" w:hAnsi="Times New Roman"/>
          <w:sz w:val="24"/>
          <w:szCs w:val="24"/>
          <w:lang w:eastAsia="en-GB"/>
        </w:rPr>
        <w:t>)</w:t>
      </w:r>
      <w:r w:rsidR="0062093C" w:rsidRPr="003A4AB7">
        <w:rPr>
          <w:rFonts w:ascii="Times New Roman" w:hAnsi="Times New Roman"/>
          <w:sz w:val="24"/>
          <w:szCs w:val="24"/>
          <w:lang w:eastAsia="en-GB"/>
        </w:rPr>
        <w:t xml:space="preserve">, </w:t>
      </w:r>
      <w:r w:rsidR="007503A2">
        <w:rPr>
          <w:rFonts w:ascii="Times New Roman" w:hAnsi="Times New Roman"/>
          <w:sz w:val="24"/>
          <w:szCs w:val="24"/>
          <w:lang w:eastAsia="en-GB"/>
        </w:rPr>
        <w:t>f</w:t>
      </w:r>
      <w:r w:rsidR="0062093C" w:rsidRPr="003A4AB7">
        <w:rPr>
          <w:rFonts w:ascii="Times New Roman" w:hAnsi="Times New Roman"/>
          <w:sz w:val="24"/>
          <w:szCs w:val="24"/>
          <w:lang w:eastAsia="en-GB"/>
        </w:rPr>
        <w:t>ight against impunity and promotion of accountability</w:t>
      </w:r>
      <w:r w:rsidR="006D7161">
        <w:rPr>
          <w:rFonts w:ascii="Times New Roman" w:hAnsi="Times New Roman"/>
          <w:sz w:val="24"/>
          <w:szCs w:val="24"/>
          <w:lang w:eastAsia="en-GB"/>
        </w:rPr>
        <w:t>,</w:t>
      </w:r>
      <w:r w:rsidR="00820B8F">
        <w:rPr>
          <w:rFonts w:ascii="Times New Roman" w:hAnsi="Times New Roman"/>
          <w:sz w:val="24"/>
          <w:szCs w:val="24"/>
          <w:lang w:eastAsia="en-GB"/>
        </w:rPr>
        <w:t xml:space="preserve"> and</w:t>
      </w:r>
      <w:r w:rsidR="006D7161">
        <w:rPr>
          <w:rFonts w:ascii="Times New Roman" w:hAnsi="Times New Roman"/>
          <w:sz w:val="24"/>
          <w:szCs w:val="24"/>
          <w:lang w:eastAsia="en-GB"/>
        </w:rPr>
        <w:t xml:space="preserve"> </w:t>
      </w:r>
      <w:r w:rsidR="001F3FEB" w:rsidRPr="001F3FEB">
        <w:rPr>
          <w:rStyle w:val="Bodytext2Bold"/>
          <w:b w:val="0"/>
          <w:sz w:val="24"/>
          <w:szCs w:val="24"/>
          <w:lang w:val="en-US"/>
        </w:rPr>
        <w:t>promotion</w:t>
      </w:r>
      <w:r w:rsidR="00820B8F" w:rsidRPr="001F3FEB">
        <w:rPr>
          <w:rStyle w:val="Bodytext2Bold"/>
          <w:b w:val="0"/>
          <w:sz w:val="24"/>
          <w:szCs w:val="24"/>
          <w:lang w:val="en-US"/>
        </w:rPr>
        <w:t xml:space="preserve"> of international humanitarian law and the responsibility to protect</w:t>
      </w:r>
      <w:r w:rsidR="007503A2" w:rsidRPr="001F3FEB">
        <w:rPr>
          <w:rFonts w:ascii="Times New Roman" w:hAnsi="Times New Roman"/>
          <w:sz w:val="24"/>
          <w:szCs w:val="24"/>
          <w:lang w:eastAsia="en-GB"/>
        </w:rPr>
        <w:t>.</w:t>
      </w:r>
    </w:p>
    <w:p w:rsidR="003F73E9" w:rsidRPr="005071E1" w:rsidRDefault="001E35E9" w:rsidP="003A4AB7">
      <w:pPr>
        <w:pStyle w:val="ListParagraph1"/>
        <w:numPr>
          <w:ilvl w:val="0"/>
          <w:numId w:val="21"/>
        </w:numPr>
        <w:spacing w:before="120" w:after="120"/>
        <w:jc w:val="both"/>
        <w:rPr>
          <w:rFonts w:ascii="Times New Roman" w:hAnsi="Times New Roman"/>
          <w:sz w:val="24"/>
          <w:szCs w:val="24"/>
          <w:lang w:eastAsia="en-GB"/>
        </w:rPr>
      </w:pPr>
      <w:r w:rsidRPr="005071E1">
        <w:rPr>
          <w:rFonts w:ascii="Times New Roman" w:hAnsi="Times New Roman"/>
          <w:b/>
          <w:sz w:val="24"/>
          <w:szCs w:val="24"/>
          <w:lang w:eastAsia="en-GB"/>
        </w:rPr>
        <w:t>S</w:t>
      </w:r>
      <w:r w:rsidR="003F73E9" w:rsidRPr="005071E1">
        <w:rPr>
          <w:rFonts w:ascii="Times New Roman" w:hAnsi="Times New Roman"/>
          <w:b/>
          <w:sz w:val="24"/>
          <w:szCs w:val="24"/>
          <w:lang w:eastAsia="en-GB"/>
        </w:rPr>
        <w:t>upport to democracy</w:t>
      </w:r>
      <w:r w:rsidR="006412B2" w:rsidRPr="005071E1">
        <w:rPr>
          <w:rFonts w:ascii="Times New Roman" w:hAnsi="Times New Roman"/>
          <w:sz w:val="24"/>
          <w:szCs w:val="24"/>
          <w:lang w:eastAsia="en-GB"/>
        </w:rPr>
        <w:t xml:space="preserve">, in line with </w:t>
      </w:r>
      <w:r w:rsidR="003F73E9" w:rsidRPr="005071E1">
        <w:rPr>
          <w:rFonts w:ascii="Times New Roman" w:hAnsi="Times New Roman"/>
          <w:sz w:val="24"/>
          <w:szCs w:val="24"/>
          <w:lang w:eastAsia="en-GB"/>
        </w:rPr>
        <w:t xml:space="preserve">Objective 3 of the </w:t>
      </w:r>
      <w:r w:rsidR="006412B2" w:rsidRPr="005071E1">
        <w:rPr>
          <w:rFonts w:ascii="Times New Roman" w:hAnsi="Times New Roman"/>
          <w:sz w:val="24"/>
          <w:szCs w:val="24"/>
          <w:lang w:eastAsia="en-GB"/>
        </w:rPr>
        <w:t>EIDHR MIP 2018-2020</w:t>
      </w:r>
      <w:r w:rsidR="00DB72D0" w:rsidRPr="005071E1">
        <w:rPr>
          <w:rFonts w:ascii="Times New Roman" w:hAnsi="Times New Roman"/>
          <w:sz w:val="24"/>
          <w:szCs w:val="24"/>
          <w:lang w:eastAsia="en-GB"/>
        </w:rPr>
        <w:t>. Actions will</w:t>
      </w:r>
      <w:r w:rsidR="003F73E9" w:rsidRPr="005071E1">
        <w:rPr>
          <w:rFonts w:ascii="Times New Roman" w:hAnsi="Times New Roman"/>
          <w:sz w:val="24"/>
          <w:szCs w:val="24"/>
          <w:lang w:eastAsia="en-GB"/>
        </w:rPr>
        <w:t xml:space="preserve"> cover </w:t>
      </w:r>
      <w:r w:rsidR="003F73E9" w:rsidRPr="005071E1">
        <w:rPr>
          <w:rFonts w:ascii="Times New Roman" w:hAnsi="Times New Roman"/>
          <w:i/>
          <w:sz w:val="24"/>
          <w:szCs w:val="24"/>
          <w:lang w:eastAsia="en-GB"/>
        </w:rPr>
        <w:t>inter alia</w:t>
      </w:r>
      <w:r w:rsidR="00DB66EE" w:rsidRPr="005071E1">
        <w:rPr>
          <w:rFonts w:ascii="Times New Roman" w:hAnsi="Times New Roman"/>
          <w:sz w:val="24"/>
          <w:szCs w:val="24"/>
          <w:lang w:eastAsia="en-GB"/>
        </w:rPr>
        <w:t xml:space="preserve">: </w:t>
      </w:r>
      <w:r w:rsidR="00740BFD" w:rsidRPr="005071E1">
        <w:rPr>
          <w:rFonts w:ascii="Times New Roman" w:hAnsi="Times New Roman"/>
          <w:sz w:val="24"/>
          <w:szCs w:val="24"/>
          <w:lang w:eastAsia="en-GB"/>
        </w:rPr>
        <w:t xml:space="preserve">the promotion and protection of fundamental freedoms </w:t>
      </w:r>
      <w:r w:rsidR="0021160B" w:rsidRPr="005071E1">
        <w:rPr>
          <w:rFonts w:ascii="Times New Roman" w:hAnsi="Times New Roman"/>
          <w:sz w:val="24"/>
          <w:szCs w:val="24"/>
          <w:lang w:eastAsia="en-GB"/>
        </w:rPr>
        <w:t>(</w:t>
      </w:r>
      <w:r w:rsidR="00740BFD" w:rsidRPr="005071E1">
        <w:rPr>
          <w:rFonts w:ascii="Times New Roman" w:hAnsi="Times New Roman"/>
          <w:sz w:val="24"/>
          <w:szCs w:val="24"/>
          <w:lang w:eastAsia="en-GB"/>
        </w:rPr>
        <w:t>in particular freedom of expression, freedom of assembly and association</w:t>
      </w:r>
      <w:r w:rsidR="0021160B" w:rsidRPr="005071E1">
        <w:rPr>
          <w:rFonts w:ascii="Times New Roman" w:hAnsi="Times New Roman"/>
          <w:sz w:val="24"/>
          <w:szCs w:val="24"/>
          <w:lang w:eastAsia="en-GB"/>
        </w:rPr>
        <w:t>)</w:t>
      </w:r>
      <w:r w:rsidR="00DB66EE" w:rsidRPr="005071E1">
        <w:rPr>
          <w:rFonts w:ascii="Times New Roman" w:hAnsi="Times New Roman"/>
          <w:sz w:val="24"/>
          <w:szCs w:val="24"/>
          <w:lang w:eastAsia="en-GB"/>
        </w:rPr>
        <w:t>;</w:t>
      </w:r>
      <w:r w:rsidR="00740BFD" w:rsidRPr="005071E1">
        <w:rPr>
          <w:rFonts w:ascii="Times New Roman" w:hAnsi="Times New Roman"/>
          <w:sz w:val="24"/>
          <w:szCs w:val="24"/>
          <w:lang w:eastAsia="en-GB"/>
        </w:rPr>
        <w:t xml:space="preserve"> </w:t>
      </w:r>
      <w:r w:rsidR="00DB66EE" w:rsidRPr="005071E1">
        <w:rPr>
          <w:rFonts w:ascii="Times New Roman" w:hAnsi="Times New Roman"/>
          <w:sz w:val="24"/>
          <w:szCs w:val="24"/>
          <w:lang w:eastAsia="en-GB"/>
        </w:rPr>
        <w:t xml:space="preserve">the </w:t>
      </w:r>
      <w:r w:rsidR="00740BFD" w:rsidRPr="005071E1">
        <w:rPr>
          <w:rFonts w:ascii="Times New Roman" w:hAnsi="Times New Roman"/>
          <w:sz w:val="24"/>
          <w:szCs w:val="24"/>
          <w:lang w:eastAsia="en-GB"/>
        </w:rPr>
        <w:t xml:space="preserve">strengthening </w:t>
      </w:r>
      <w:r w:rsidR="00DB66EE" w:rsidRPr="005071E1">
        <w:rPr>
          <w:rFonts w:ascii="Times New Roman" w:hAnsi="Times New Roman"/>
          <w:sz w:val="24"/>
          <w:szCs w:val="24"/>
          <w:lang w:eastAsia="en-GB"/>
        </w:rPr>
        <w:t xml:space="preserve">of </w:t>
      </w:r>
      <w:r w:rsidR="0021160B" w:rsidRPr="005071E1">
        <w:rPr>
          <w:rFonts w:ascii="Times New Roman" w:hAnsi="Times New Roman"/>
          <w:sz w:val="24"/>
          <w:szCs w:val="24"/>
          <w:lang w:eastAsia="en-GB"/>
        </w:rPr>
        <w:t>pluralism in</w:t>
      </w:r>
      <w:r w:rsidR="00740BFD" w:rsidRPr="005071E1">
        <w:rPr>
          <w:rFonts w:ascii="Times New Roman" w:hAnsi="Times New Roman"/>
          <w:sz w:val="24"/>
          <w:szCs w:val="24"/>
          <w:lang w:eastAsia="en-GB"/>
        </w:rPr>
        <w:t xml:space="preserve"> political life and </w:t>
      </w:r>
      <w:r w:rsidR="00DB66EE" w:rsidRPr="005071E1">
        <w:rPr>
          <w:rFonts w:ascii="Times New Roman" w:hAnsi="Times New Roman"/>
          <w:sz w:val="24"/>
          <w:szCs w:val="24"/>
          <w:lang w:eastAsia="en-GB"/>
        </w:rPr>
        <w:t xml:space="preserve">the </w:t>
      </w:r>
      <w:r w:rsidR="00740BFD" w:rsidRPr="005071E1">
        <w:rPr>
          <w:rFonts w:ascii="Times New Roman" w:hAnsi="Times New Roman"/>
          <w:sz w:val="24"/>
          <w:szCs w:val="24"/>
          <w:lang w:eastAsia="en-GB"/>
        </w:rPr>
        <w:t>fostering the participation of citizens in decision-making processes</w:t>
      </w:r>
      <w:r w:rsidR="00DB66EE" w:rsidRPr="005071E1">
        <w:rPr>
          <w:rFonts w:ascii="Times New Roman" w:hAnsi="Times New Roman"/>
          <w:sz w:val="24"/>
          <w:szCs w:val="24"/>
          <w:lang w:eastAsia="en-GB"/>
        </w:rPr>
        <w:t>; the</w:t>
      </w:r>
      <w:r w:rsidR="00740BFD" w:rsidRPr="005071E1">
        <w:rPr>
          <w:rFonts w:ascii="Times New Roman" w:hAnsi="Times New Roman"/>
          <w:sz w:val="24"/>
          <w:szCs w:val="24"/>
          <w:lang w:eastAsia="en-GB"/>
        </w:rPr>
        <w:t xml:space="preserve"> increase </w:t>
      </w:r>
      <w:r w:rsidR="00DB66EE" w:rsidRPr="005071E1">
        <w:rPr>
          <w:rFonts w:ascii="Times New Roman" w:hAnsi="Times New Roman"/>
          <w:sz w:val="24"/>
          <w:szCs w:val="24"/>
          <w:lang w:eastAsia="en-GB"/>
        </w:rPr>
        <w:t xml:space="preserve">of </w:t>
      </w:r>
      <w:r w:rsidR="00740BFD" w:rsidRPr="005071E1">
        <w:rPr>
          <w:rFonts w:ascii="Times New Roman" w:hAnsi="Times New Roman"/>
          <w:sz w:val="24"/>
          <w:szCs w:val="24"/>
          <w:lang w:eastAsia="en-GB"/>
        </w:rPr>
        <w:t>accountability, oversight and transparency</w:t>
      </w:r>
      <w:r w:rsidR="00DB66EE" w:rsidRPr="005071E1">
        <w:rPr>
          <w:rFonts w:ascii="Times New Roman" w:hAnsi="Times New Roman"/>
          <w:sz w:val="24"/>
          <w:szCs w:val="24"/>
          <w:lang w:eastAsia="en-GB"/>
        </w:rPr>
        <w:t xml:space="preserve"> and the fight against corruption</w:t>
      </w:r>
      <w:r w:rsidR="00740BFD" w:rsidRPr="005071E1">
        <w:rPr>
          <w:rFonts w:ascii="Times New Roman" w:hAnsi="Times New Roman"/>
          <w:sz w:val="24"/>
          <w:szCs w:val="24"/>
          <w:lang w:eastAsia="en-GB"/>
        </w:rPr>
        <w:t>.</w:t>
      </w:r>
      <w:r w:rsidR="0021160B" w:rsidRPr="005071E1">
        <w:rPr>
          <w:rFonts w:ascii="Times New Roman" w:hAnsi="Times New Roman"/>
          <w:sz w:val="24"/>
          <w:szCs w:val="24"/>
          <w:lang w:eastAsia="en-GB"/>
        </w:rPr>
        <w:t xml:space="preserve"> </w:t>
      </w:r>
      <w:r w:rsidR="00DB66EE" w:rsidRPr="005071E1">
        <w:rPr>
          <w:rFonts w:ascii="Times New Roman" w:hAnsi="Times New Roman"/>
          <w:sz w:val="24"/>
          <w:szCs w:val="24"/>
          <w:lang w:eastAsia="en-GB"/>
        </w:rPr>
        <w:t xml:space="preserve">Actions should respond to de facto power structures, and take into account the impact of new technologies on the democratic environment. </w:t>
      </w:r>
      <w:r w:rsidR="0021160B" w:rsidRPr="005071E1">
        <w:rPr>
          <w:rFonts w:ascii="Times New Roman" w:hAnsi="Times New Roman"/>
          <w:sz w:val="24"/>
          <w:szCs w:val="24"/>
          <w:lang w:eastAsia="en-GB"/>
        </w:rPr>
        <w:t xml:space="preserve">Support to civil society activities related to elections </w:t>
      </w:r>
      <w:r w:rsidR="00804BCB" w:rsidRPr="005071E1">
        <w:rPr>
          <w:rFonts w:ascii="Times New Roman" w:hAnsi="Times New Roman"/>
          <w:sz w:val="24"/>
          <w:szCs w:val="24"/>
          <w:lang w:eastAsia="en-GB"/>
        </w:rPr>
        <w:t xml:space="preserve">and follow-up of election observation missions </w:t>
      </w:r>
      <w:r w:rsidR="0021160B" w:rsidRPr="005071E1">
        <w:rPr>
          <w:rFonts w:ascii="Times New Roman" w:hAnsi="Times New Roman"/>
          <w:sz w:val="24"/>
          <w:szCs w:val="24"/>
          <w:lang w:eastAsia="en-GB"/>
        </w:rPr>
        <w:t>is also included under this priority area.</w:t>
      </w:r>
    </w:p>
    <w:p w:rsidR="00920095" w:rsidRPr="00920095" w:rsidRDefault="00920095" w:rsidP="00920095">
      <w:pPr>
        <w:ind w:left="360"/>
        <w:rPr>
          <w:color w:val="1F497D"/>
          <w:lang w:val="en-US"/>
        </w:rPr>
      </w:pPr>
    </w:p>
    <w:p w:rsidR="00920095" w:rsidRPr="00920095" w:rsidRDefault="00920095" w:rsidP="00920095">
      <w:pPr>
        <w:rPr>
          <w:iCs/>
        </w:rPr>
      </w:pPr>
      <w:r w:rsidRPr="00920095">
        <w:rPr>
          <w:iCs/>
        </w:rPr>
        <w:t>The above priorities correspond with the mandate accorded to EIDHR. While the focus of each delegation’s use of CBSS funds will vary according to local needs, it is expected that the use of the CBSS envelope will reflect the recommendations of the EIDHR mid-term review which stresses in particular the importance of the EIDHR added value in case of most sensitive and most at risk human rights situations and defence of fundamental freedoms, including defence of civic, democratic and civil society space, that is increased focus (as compared to the past) on the EIDHR Objectives number 1 and 3. In terms of financial resources, the global value of the CBSS allocation should be approximately equally shared between the objectives 1,2 and 3 in order to reflect the provisions of the 2018-2020 EIDHR MIP.</w:t>
      </w:r>
    </w:p>
    <w:p w:rsidR="0089641A" w:rsidRDefault="0089641A" w:rsidP="008D2D4C">
      <w:pPr>
        <w:pStyle w:val="Default"/>
        <w:jc w:val="both"/>
        <w:rPr>
          <w:rFonts w:eastAsiaTheme="minorHAnsi"/>
        </w:rPr>
      </w:pPr>
    </w:p>
    <w:p w:rsidR="0028073A" w:rsidRPr="005071E1" w:rsidRDefault="0028073A" w:rsidP="008D2D4C">
      <w:pPr>
        <w:pStyle w:val="Default"/>
        <w:jc w:val="both"/>
        <w:rPr>
          <w:rFonts w:eastAsiaTheme="minorHAnsi"/>
        </w:rPr>
      </w:pPr>
      <w:r w:rsidRPr="005071E1">
        <w:rPr>
          <w:rFonts w:eastAsiaTheme="minorHAnsi"/>
        </w:rPr>
        <w:t>This shrinking space – both online and offline - impacts upon the ability of citizens to take meaningful participation in decision making.</w:t>
      </w:r>
      <w:r w:rsidR="00F31653" w:rsidRPr="005071E1">
        <w:rPr>
          <w:rFonts w:eastAsiaTheme="minorHAnsi"/>
        </w:rPr>
        <w:t xml:space="preserve"> In the more extreme cases it reinforces a unitary state, where opposition is </w:t>
      </w:r>
      <w:r w:rsidR="00766C02">
        <w:rPr>
          <w:rFonts w:eastAsiaTheme="minorHAnsi"/>
        </w:rPr>
        <w:t xml:space="preserve">not only </w:t>
      </w:r>
      <w:r w:rsidR="00F31653" w:rsidRPr="005071E1">
        <w:rPr>
          <w:rFonts w:eastAsiaTheme="minorHAnsi"/>
        </w:rPr>
        <w:t xml:space="preserve">difficult </w:t>
      </w:r>
      <w:r w:rsidR="001F2933">
        <w:rPr>
          <w:rFonts w:eastAsiaTheme="minorHAnsi"/>
        </w:rPr>
        <w:t>but</w:t>
      </w:r>
      <w:r w:rsidR="00F31653" w:rsidRPr="005071E1">
        <w:rPr>
          <w:rFonts w:eastAsiaTheme="minorHAnsi"/>
        </w:rPr>
        <w:t xml:space="preserve"> potentially dangerous. </w:t>
      </w:r>
      <w:r w:rsidRPr="005071E1">
        <w:rPr>
          <w:rFonts w:eastAsiaTheme="minorHAnsi"/>
        </w:rPr>
        <w:t>It is thus critical th</w:t>
      </w:r>
      <w:r w:rsidR="00F31653" w:rsidRPr="005071E1">
        <w:rPr>
          <w:rFonts w:eastAsiaTheme="minorHAnsi"/>
        </w:rPr>
        <w:t>at</w:t>
      </w:r>
      <w:r w:rsidRPr="005071E1">
        <w:rPr>
          <w:rFonts w:eastAsiaTheme="minorHAnsi"/>
        </w:rPr>
        <w:t xml:space="preserve"> sufficient attention is </w:t>
      </w:r>
      <w:r w:rsidR="00F31653" w:rsidRPr="005071E1">
        <w:rPr>
          <w:rFonts w:eastAsiaTheme="minorHAnsi"/>
        </w:rPr>
        <w:t xml:space="preserve">paid both to objective 1 – defending individuals, and objective 3 – protecting pluralism. </w:t>
      </w:r>
      <w:r w:rsidR="00766C02">
        <w:rPr>
          <w:rFonts w:eastAsiaTheme="minorHAnsi"/>
        </w:rPr>
        <w:t xml:space="preserve">Although this shrinking space is a global phenomenon, the specific threats will vary from country to country, and EU Delegations are best placed to identify them and any mitigating measures possible under the CBSS. </w:t>
      </w:r>
    </w:p>
    <w:p w:rsidR="0028073A" w:rsidRDefault="0028073A" w:rsidP="008D2D4C">
      <w:pPr>
        <w:pStyle w:val="Default"/>
        <w:jc w:val="both"/>
        <w:rPr>
          <w:rFonts w:eastAsiaTheme="minorHAnsi"/>
          <w:highlight w:val="yellow"/>
        </w:rPr>
      </w:pPr>
    </w:p>
    <w:p w:rsidR="00216FCA" w:rsidRPr="00375E88" w:rsidRDefault="001A1AF2">
      <w:pPr>
        <w:pStyle w:val="Heading1"/>
        <w:numPr>
          <w:ilvl w:val="0"/>
          <w:numId w:val="0"/>
        </w:numPr>
        <w:rPr>
          <w:color w:val="auto"/>
        </w:rPr>
      </w:pPr>
      <w:bookmarkStart w:id="19" w:name="_Toc392858006"/>
      <w:r w:rsidRPr="00727745">
        <w:rPr>
          <w:color w:val="auto"/>
        </w:rPr>
        <w:t>2</w:t>
      </w:r>
      <w:r w:rsidRPr="00820B8F">
        <w:rPr>
          <w:color w:val="auto"/>
        </w:rPr>
        <w:tab/>
        <w:t>Risks and Assumptions</w:t>
      </w:r>
      <w:bookmarkEnd w:id="19"/>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134"/>
        <w:gridCol w:w="4361"/>
      </w:tblGrid>
      <w:tr w:rsidR="00043F6D" w:rsidRPr="0058277E">
        <w:tc>
          <w:tcPr>
            <w:tcW w:w="3686" w:type="dxa"/>
          </w:tcPr>
          <w:p w:rsidR="00216FCA" w:rsidRPr="00630D5E" w:rsidRDefault="001A1AF2">
            <w:pPr>
              <w:rPr>
                <w:b/>
              </w:rPr>
            </w:pPr>
            <w:r w:rsidRPr="00347D18">
              <w:rPr>
                <w:b/>
              </w:rPr>
              <w:t>Risks</w:t>
            </w:r>
          </w:p>
        </w:tc>
        <w:tc>
          <w:tcPr>
            <w:tcW w:w="1134" w:type="dxa"/>
          </w:tcPr>
          <w:p w:rsidR="00216FCA" w:rsidRPr="008D712A" w:rsidRDefault="001A1AF2">
            <w:pPr>
              <w:rPr>
                <w:b/>
              </w:rPr>
            </w:pPr>
            <w:r w:rsidRPr="00630D5E">
              <w:rPr>
                <w:b/>
              </w:rPr>
              <w:t>Risk level (H/M/L)</w:t>
            </w:r>
          </w:p>
        </w:tc>
        <w:tc>
          <w:tcPr>
            <w:tcW w:w="4361" w:type="dxa"/>
          </w:tcPr>
          <w:p w:rsidR="00216FCA" w:rsidRPr="0058277E" w:rsidRDefault="001A1AF2">
            <w:pPr>
              <w:rPr>
                <w:b/>
              </w:rPr>
            </w:pPr>
            <w:r w:rsidRPr="0058277E">
              <w:rPr>
                <w:b/>
              </w:rPr>
              <w:t>Mitigating measures</w:t>
            </w:r>
          </w:p>
        </w:tc>
      </w:tr>
      <w:tr w:rsidR="00043F6D" w:rsidRPr="0058277E">
        <w:trPr>
          <w:trHeight w:val="179"/>
        </w:trPr>
        <w:tc>
          <w:tcPr>
            <w:tcW w:w="3686" w:type="dxa"/>
          </w:tcPr>
          <w:p w:rsidR="00AD4E53" w:rsidRPr="0058277E" w:rsidRDefault="007362BB" w:rsidP="007362BB">
            <w:pPr>
              <w:rPr>
                <w:szCs w:val="22"/>
                <w:lang w:eastAsia="en-GB"/>
              </w:rPr>
            </w:pPr>
            <w:r w:rsidRPr="0058277E">
              <w:t xml:space="preserve">The lack of focus on complementarity and value-adding </w:t>
            </w:r>
            <w:r w:rsidRPr="004603AE">
              <w:t xml:space="preserve">nature of </w:t>
            </w:r>
            <w:r w:rsidR="00AD4E53" w:rsidRPr="001D20F2">
              <w:t xml:space="preserve">the EIDHR </w:t>
            </w:r>
            <w:r w:rsidRPr="001D20F2">
              <w:t xml:space="preserve">by the EU Delegations leads to </w:t>
            </w:r>
            <w:r w:rsidRPr="0058277E">
              <w:t xml:space="preserve">insufficient support </w:t>
            </w:r>
            <w:r w:rsidR="00AD4E53" w:rsidRPr="0058277E">
              <w:t>corresponding to Objective 1 of the EIDHR Regulation (human rights and human rights defenders where there are more at risk)</w:t>
            </w:r>
            <w:r w:rsidR="005660B6" w:rsidRPr="0058277E">
              <w:t>.</w:t>
            </w:r>
          </w:p>
        </w:tc>
        <w:tc>
          <w:tcPr>
            <w:tcW w:w="1134" w:type="dxa"/>
          </w:tcPr>
          <w:p w:rsidR="00AD4E53" w:rsidRPr="0058277E" w:rsidRDefault="007362BB">
            <w:r w:rsidRPr="0058277E">
              <w:t>M</w:t>
            </w:r>
          </w:p>
        </w:tc>
        <w:tc>
          <w:tcPr>
            <w:tcW w:w="4361" w:type="dxa"/>
          </w:tcPr>
          <w:p w:rsidR="00AD4E53" w:rsidRPr="0058277E" w:rsidRDefault="00AD4E53" w:rsidP="001E35E9">
            <w:r w:rsidRPr="0058277E">
              <w:t xml:space="preserve">DEVCO B1 will </w:t>
            </w:r>
            <w:r w:rsidR="007362BB" w:rsidRPr="0058277E">
              <w:t xml:space="preserve">give guidance to EU Delegations </w:t>
            </w:r>
            <w:r w:rsidRPr="0058277E">
              <w:t>to ensure that sensitive/critical issues are tackled under the EIDHR CBSS</w:t>
            </w:r>
            <w:r w:rsidR="001E35E9">
              <w:t>, leaving more mainstream issues to other instruments</w:t>
            </w:r>
            <w:r w:rsidRPr="0058277E">
              <w:t xml:space="preserve">. HQ will raise awareness on this in exchanges with EIDHR focal points and will monitor the priority areas chosen </w:t>
            </w:r>
            <w:r w:rsidR="007362BB" w:rsidRPr="0058277E">
              <w:t xml:space="preserve">for </w:t>
            </w:r>
            <w:r w:rsidRPr="0058277E">
              <w:t>local calls for proposals.</w:t>
            </w:r>
            <w:r w:rsidR="001E35E9">
              <w:t xml:space="preserve"> </w:t>
            </w:r>
          </w:p>
        </w:tc>
      </w:tr>
      <w:tr w:rsidR="00043F6D" w:rsidRPr="0058277E">
        <w:trPr>
          <w:trHeight w:val="179"/>
        </w:trPr>
        <w:tc>
          <w:tcPr>
            <w:tcW w:w="3686" w:type="dxa"/>
          </w:tcPr>
          <w:p w:rsidR="00AD4E53" w:rsidRPr="0058277E" w:rsidRDefault="00AD4E53">
            <w:pPr>
              <w:rPr>
                <w:szCs w:val="22"/>
                <w:lang w:eastAsia="en-GB"/>
              </w:rPr>
            </w:pPr>
            <w:r w:rsidRPr="0058277E">
              <w:rPr>
                <w:szCs w:val="22"/>
                <w:lang w:eastAsia="en-GB"/>
              </w:rPr>
              <w:t>Some projects implemented under this Action, take place in extremely difficult, dangerous, deteriorating and volatile contexts. They are confronted with various political and physical risks that must not be underestimated. CSOs can also face additional legal and administrative burdens in the context of the shrinking space for civil society.</w:t>
            </w:r>
          </w:p>
        </w:tc>
        <w:tc>
          <w:tcPr>
            <w:tcW w:w="1134" w:type="dxa"/>
          </w:tcPr>
          <w:p w:rsidR="00AD4E53" w:rsidRPr="0058277E" w:rsidRDefault="00AD4E53">
            <w:r w:rsidRPr="0058277E">
              <w:t>H</w:t>
            </w:r>
          </w:p>
        </w:tc>
        <w:tc>
          <w:tcPr>
            <w:tcW w:w="4361" w:type="dxa"/>
          </w:tcPr>
          <w:p w:rsidR="00AD4E53" w:rsidRPr="0058277E" w:rsidRDefault="00AD4E53" w:rsidP="00A01503">
            <w:r w:rsidRPr="0058277E">
              <w:t>The most difficult projects can be implemented by the Commission's headquarters in Brussels as restricted projects if needed. Implementation modalities of the EIDHR are flexible and allow intervention in the most difficult situation (for instance modalities such as confidentiality option, specific eligibility criteria). In addition EU delegations shall take measures to mitigate this risk at local level.</w:t>
            </w:r>
            <w:r w:rsidR="007362BB" w:rsidRPr="0058277E">
              <w:t xml:space="preserve"> </w:t>
            </w:r>
          </w:p>
        </w:tc>
      </w:tr>
      <w:tr w:rsidR="00043F6D" w:rsidRPr="0058277E">
        <w:trPr>
          <w:trHeight w:val="179"/>
        </w:trPr>
        <w:tc>
          <w:tcPr>
            <w:tcW w:w="3686" w:type="dxa"/>
          </w:tcPr>
          <w:p w:rsidR="00AD4E53" w:rsidRPr="0058277E" w:rsidRDefault="00AD4E53" w:rsidP="005824C7">
            <w:r w:rsidRPr="0058277E">
              <w:t>Limited operational and financial capacities of local CSOs staff to submit high quality proposals and to manage EU-funded projects.</w:t>
            </w:r>
          </w:p>
        </w:tc>
        <w:tc>
          <w:tcPr>
            <w:tcW w:w="1134" w:type="dxa"/>
          </w:tcPr>
          <w:p w:rsidR="00AD4E53" w:rsidRPr="0058277E" w:rsidRDefault="007362BB">
            <w:r w:rsidRPr="0058277E">
              <w:t>M</w:t>
            </w:r>
          </w:p>
        </w:tc>
        <w:tc>
          <w:tcPr>
            <w:tcW w:w="4361" w:type="dxa"/>
          </w:tcPr>
          <w:p w:rsidR="00AD4E53" w:rsidRPr="0058277E" w:rsidRDefault="00AD4E53" w:rsidP="005824C7">
            <w:r w:rsidRPr="0058277E">
              <w:t xml:space="preserve">EU delegations </w:t>
            </w:r>
            <w:r w:rsidR="007362BB" w:rsidRPr="0058277E">
              <w:t xml:space="preserve">may </w:t>
            </w:r>
            <w:r w:rsidRPr="0058277E">
              <w:t>organise capacity development trainings in favour of local CSOs in order to improve their ability to respond to calls for proposals, as well as their Project Cycle Management capacities.</w:t>
            </w:r>
            <w:r w:rsidR="00FA7F7C">
              <w:t xml:space="preserve"> </w:t>
            </w:r>
            <w:r w:rsidRPr="0058277E">
              <w:t>For this purpose, EU delegations can use 10% of their EIDHR CBSS allocations as support measures for implementation.</w:t>
            </w:r>
            <w:r w:rsidR="00FA7F7C">
              <w:t xml:space="preserve"> </w:t>
            </w:r>
          </w:p>
          <w:p w:rsidR="00AD4E53" w:rsidRPr="0058277E" w:rsidRDefault="00AD4E53" w:rsidP="0058277E">
            <w:r w:rsidRPr="0058277E">
              <w:t>EUDs are also encouraged to keep reasonable minimum and maximum amounts for the grants in order to allow for local CSOs to participate in the call</w:t>
            </w:r>
            <w:r w:rsidR="007362BB" w:rsidRPr="0058277E">
              <w:t xml:space="preserve"> and to use the </w:t>
            </w:r>
            <w:r w:rsidR="0058277E" w:rsidRPr="0058277E">
              <w:t xml:space="preserve">option of </w:t>
            </w:r>
            <w:r w:rsidR="007362BB" w:rsidRPr="0058277E">
              <w:t>subcontracting</w:t>
            </w:r>
            <w:r w:rsidR="0058277E" w:rsidRPr="0058277E">
              <w:t>.</w:t>
            </w:r>
            <w:r w:rsidR="007362BB" w:rsidRPr="0058277E">
              <w:t xml:space="preserve"> </w:t>
            </w:r>
          </w:p>
        </w:tc>
      </w:tr>
      <w:tr w:rsidR="00043F6D" w:rsidRPr="0058277E">
        <w:trPr>
          <w:trHeight w:val="179"/>
        </w:trPr>
        <w:tc>
          <w:tcPr>
            <w:tcW w:w="3686" w:type="dxa"/>
          </w:tcPr>
          <w:p w:rsidR="00AD4E53" w:rsidRPr="0058277E" w:rsidRDefault="00AD4E53" w:rsidP="00AD4E53">
            <w:r w:rsidRPr="0058277E">
              <w:t xml:space="preserve">There </w:t>
            </w:r>
            <w:r w:rsidR="00C67A4B" w:rsidRPr="0058277E">
              <w:t>are</w:t>
            </w:r>
            <w:r w:rsidRPr="0058277E">
              <w:t xml:space="preserve"> not a sufficient number of applications submitted by local CSOs under the EIDHR CBSS calls for proposals</w:t>
            </w:r>
            <w:r w:rsidR="005660B6" w:rsidRPr="0058277E">
              <w:t xml:space="preserve">, resulting in </w:t>
            </w:r>
            <w:r w:rsidR="005660B6" w:rsidRPr="0058277E">
              <w:lastRenderedPageBreak/>
              <w:t>insufficient empowerment and ownership by local actors</w:t>
            </w:r>
            <w:r w:rsidRPr="0058277E">
              <w:t xml:space="preserve">. </w:t>
            </w:r>
          </w:p>
        </w:tc>
        <w:tc>
          <w:tcPr>
            <w:tcW w:w="1134" w:type="dxa"/>
          </w:tcPr>
          <w:p w:rsidR="00AD4E53" w:rsidRPr="0058277E" w:rsidRDefault="0058277E">
            <w:r w:rsidRPr="0058277E">
              <w:lastRenderedPageBreak/>
              <w:t>L</w:t>
            </w:r>
          </w:p>
        </w:tc>
        <w:tc>
          <w:tcPr>
            <w:tcW w:w="4361" w:type="dxa"/>
          </w:tcPr>
          <w:p w:rsidR="00AD4E53" w:rsidRPr="0058277E" w:rsidRDefault="00AD4E53">
            <w:r w:rsidRPr="00361287">
              <w:t xml:space="preserve">EU delegations </w:t>
            </w:r>
            <w:r w:rsidR="0040539A" w:rsidRPr="00361287">
              <w:t xml:space="preserve">will be </w:t>
            </w:r>
            <w:r w:rsidRPr="00361287">
              <w:t xml:space="preserve">encouraged to </w:t>
            </w:r>
            <w:r w:rsidR="0040539A" w:rsidRPr="00361287">
              <w:t xml:space="preserve">adjust the requirements of the call guidelines to local civil society scene and to </w:t>
            </w:r>
            <w:r w:rsidRPr="00361287">
              <w:t xml:space="preserve">set criteria </w:t>
            </w:r>
            <w:r w:rsidR="006D7161">
              <w:t xml:space="preserve">appropriate </w:t>
            </w:r>
            <w:r w:rsidRPr="00361287">
              <w:t xml:space="preserve">to local CSOs. </w:t>
            </w:r>
          </w:p>
          <w:p w:rsidR="00AD4E53" w:rsidRPr="0058277E" w:rsidRDefault="00AD4E53">
            <w:r w:rsidRPr="00375E88">
              <w:lastRenderedPageBreak/>
              <w:t xml:space="preserve">Partnerships with international and European-based NGOs (as co-applicant </w:t>
            </w:r>
            <w:r w:rsidRPr="0058277E">
              <w:t>for example) can be envisaged.</w:t>
            </w:r>
          </w:p>
          <w:p w:rsidR="00AD4E53" w:rsidRPr="0058277E" w:rsidRDefault="00AD4E53">
            <w:r w:rsidRPr="00375E88">
              <w:t>EU delegations are encouraged to launch, as much as possible, at least the publication of the call for proposals itself in local languages to ensure tha</w:t>
            </w:r>
            <w:r w:rsidRPr="0058277E">
              <w:t>t local CSOs can apply.</w:t>
            </w:r>
          </w:p>
        </w:tc>
      </w:tr>
      <w:tr w:rsidR="00043F6D" w:rsidRPr="0058277E">
        <w:trPr>
          <w:trHeight w:val="179"/>
        </w:trPr>
        <w:tc>
          <w:tcPr>
            <w:tcW w:w="9181" w:type="dxa"/>
            <w:gridSpan w:val="3"/>
          </w:tcPr>
          <w:p w:rsidR="00AD4E53" w:rsidRPr="0058277E" w:rsidRDefault="00AD4E53">
            <w:pPr>
              <w:rPr>
                <w:b/>
              </w:rPr>
            </w:pPr>
            <w:r w:rsidRPr="0058277E">
              <w:rPr>
                <w:b/>
              </w:rPr>
              <w:lastRenderedPageBreak/>
              <w:t>Assumptions</w:t>
            </w:r>
          </w:p>
        </w:tc>
      </w:tr>
      <w:tr w:rsidR="00043F6D" w:rsidRPr="0058277E">
        <w:trPr>
          <w:trHeight w:val="179"/>
        </w:trPr>
        <w:tc>
          <w:tcPr>
            <w:tcW w:w="9181" w:type="dxa"/>
            <w:gridSpan w:val="3"/>
          </w:tcPr>
          <w:p w:rsidR="00096AC9" w:rsidRDefault="00096AC9">
            <w:r>
              <w:t>EUDs are in a position to publish calls for proposals or channel financing to civil society.</w:t>
            </w:r>
          </w:p>
          <w:p w:rsidR="00AD4E53" w:rsidRPr="0058277E" w:rsidRDefault="00AD4E53" w:rsidP="00096AC9">
            <w:r w:rsidRPr="0058277E">
              <w:t>Given the sensitivity of the implementation of this action in some countries</w:t>
            </w:r>
            <w:r w:rsidR="00096AC9">
              <w:t xml:space="preserve">, EUDs are able to </w:t>
            </w:r>
            <w:r w:rsidRPr="0058277E">
              <w:t xml:space="preserve">guarantee the security of local partners/applicants, </w:t>
            </w:r>
          </w:p>
        </w:tc>
      </w:tr>
    </w:tbl>
    <w:p w:rsidR="00216FCA" w:rsidRPr="0058277E" w:rsidRDefault="001A1AF2">
      <w:pPr>
        <w:pStyle w:val="Heading1"/>
        <w:numPr>
          <w:ilvl w:val="0"/>
          <w:numId w:val="0"/>
        </w:numPr>
        <w:rPr>
          <w:color w:val="auto"/>
        </w:rPr>
      </w:pPr>
      <w:bookmarkStart w:id="20" w:name="_Toc392858007"/>
      <w:bookmarkStart w:id="21" w:name="_Toc391999040"/>
      <w:bookmarkStart w:id="22" w:name="_Toc391999042"/>
      <w:bookmarkStart w:id="23" w:name="_Toc391999041"/>
      <w:bookmarkStart w:id="24" w:name="_Toc392858008"/>
      <w:r w:rsidRPr="0058277E">
        <w:rPr>
          <w:color w:val="auto"/>
        </w:rPr>
        <w:t>3</w:t>
      </w:r>
      <w:r w:rsidRPr="0058277E">
        <w:rPr>
          <w:color w:val="auto"/>
        </w:rPr>
        <w:tab/>
        <w:t>Lessons learnt, complementarity and cross-cutting issues</w:t>
      </w:r>
      <w:bookmarkEnd w:id="20"/>
      <w:bookmarkEnd w:id="21"/>
    </w:p>
    <w:p w:rsidR="00216FCA" w:rsidRPr="0058277E" w:rsidRDefault="001A1AF2">
      <w:pPr>
        <w:pStyle w:val="Heading2"/>
        <w:numPr>
          <w:ilvl w:val="0"/>
          <w:numId w:val="0"/>
        </w:numPr>
        <w:ind w:left="850" w:hanging="850"/>
        <w:rPr>
          <w:color w:val="auto"/>
        </w:rPr>
      </w:pPr>
      <w:r w:rsidRPr="0058277E">
        <w:rPr>
          <w:color w:val="auto"/>
        </w:rPr>
        <w:t>3.1</w:t>
      </w:r>
      <w:r w:rsidRPr="0058277E">
        <w:rPr>
          <w:color w:val="auto"/>
        </w:rPr>
        <w:tab/>
        <w:t>Lessons learnt</w:t>
      </w:r>
    </w:p>
    <w:p w:rsidR="00216FCA" w:rsidRPr="0058277E" w:rsidRDefault="001A1AF2">
      <w:pPr>
        <w:rPr>
          <w:szCs w:val="22"/>
          <w:lang w:eastAsia="en-GB"/>
        </w:rPr>
      </w:pPr>
      <w:bookmarkStart w:id="25" w:name="_Toc391537204"/>
      <w:bookmarkStart w:id="26" w:name="_Toc391022362"/>
      <w:bookmarkStart w:id="27" w:name="_Toc392858010"/>
      <w:bookmarkStart w:id="28" w:name="_Toc391999045"/>
      <w:bookmarkEnd w:id="22"/>
      <w:bookmarkEnd w:id="23"/>
      <w:bookmarkEnd w:id="24"/>
      <w:r w:rsidRPr="0058277E">
        <w:rPr>
          <w:szCs w:val="22"/>
          <w:lang w:eastAsia="en-GB"/>
        </w:rPr>
        <w:t xml:space="preserve">The </w:t>
      </w:r>
      <w:r w:rsidR="0058277E" w:rsidRPr="0058277E">
        <w:rPr>
          <w:szCs w:val="22"/>
          <w:lang w:eastAsia="en-GB"/>
        </w:rPr>
        <w:t xml:space="preserve">CBSS </w:t>
      </w:r>
      <w:r w:rsidRPr="0058277E">
        <w:rPr>
          <w:szCs w:val="22"/>
          <w:lang w:eastAsia="en-GB"/>
        </w:rPr>
        <w:t xml:space="preserve">is a long-established element of the European Union’s human rights and democracy </w:t>
      </w:r>
      <w:r w:rsidR="0058277E" w:rsidRPr="0058277E">
        <w:rPr>
          <w:szCs w:val="22"/>
          <w:lang w:eastAsia="en-GB"/>
        </w:rPr>
        <w:t xml:space="preserve">support </w:t>
      </w:r>
      <w:r w:rsidRPr="0058277E">
        <w:rPr>
          <w:szCs w:val="22"/>
          <w:lang w:eastAsia="en-GB"/>
        </w:rPr>
        <w:t xml:space="preserve">under its external action and has been built on experience with CBSS under the EIDHR Strategies </w:t>
      </w:r>
      <w:r w:rsidR="0058277E" w:rsidRPr="0058277E">
        <w:rPr>
          <w:szCs w:val="22"/>
          <w:lang w:eastAsia="en-GB"/>
        </w:rPr>
        <w:t xml:space="preserve">2014-2017, </w:t>
      </w:r>
      <w:r w:rsidRPr="0058277E">
        <w:rPr>
          <w:szCs w:val="22"/>
          <w:lang w:eastAsia="en-GB"/>
        </w:rPr>
        <w:t xml:space="preserve">2007-2013 and with </w:t>
      </w:r>
      <w:r w:rsidR="00710DEC" w:rsidRPr="0058277E">
        <w:rPr>
          <w:szCs w:val="22"/>
          <w:lang w:eastAsia="en-GB"/>
        </w:rPr>
        <w:t xml:space="preserve">the </w:t>
      </w:r>
      <w:r w:rsidRPr="0058277E">
        <w:rPr>
          <w:szCs w:val="22"/>
          <w:lang w:eastAsia="en-GB"/>
        </w:rPr>
        <w:t>micro</w:t>
      </w:r>
      <w:r w:rsidR="0058277E" w:rsidRPr="0058277E">
        <w:rPr>
          <w:szCs w:val="22"/>
          <w:lang w:eastAsia="en-GB"/>
        </w:rPr>
        <w:t>-</w:t>
      </w:r>
      <w:r w:rsidRPr="0058277E">
        <w:rPr>
          <w:szCs w:val="22"/>
          <w:lang w:eastAsia="en-GB"/>
        </w:rPr>
        <w:t xml:space="preserve">project facilities under the previous European Initiative for Democracy and Human Rights. </w:t>
      </w:r>
    </w:p>
    <w:p w:rsidR="00AD4E53" w:rsidRPr="00327359" w:rsidRDefault="001A1AF2">
      <w:r w:rsidRPr="0058277E">
        <w:rPr>
          <w:lang w:eastAsia="en-GB"/>
        </w:rPr>
        <w:t>The final report of the 2017 external mid-term evaluation of the EIDHR highlighted that the CBSS constitute</w:t>
      </w:r>
      <w:r w:rsidR="0058277E" w:rsidRPr="0058277E">
        <w:rPr>
          <w:lang w:eastAsia="en-GB"/>
        </w:rPr>
        <w:t>s</w:t>
      </w:r>
      <w:r w:rsidRPr="0058277E">
        <w:rPr>
          <w:lang w:eastAsia="en-GB"/>
        </w:rPr>
        <w:t xml:space="preserve"> a relevant and complementary source of funding (notably to EIDHR global calls for proposals</w:t>
      </w:r>
      <w:r w:rsidR="0058277E">
        <w:rPr>
          <w:lang w:eastAsia="en-GB"/>
        </w:rPr>
        <w:t xml:space="preserve"> and human rights defenders schemes</w:t>
      </w:r>
      <w:r w:rsidRPr="0058277E">
        <w:rPr>
          <w:lang w:eastAsia="en-GB"/>
        </w:rPr>
        <w:t xml:space="preserve"> and </w:t>
      </w:r>
      <w:r w:rsidR="0058277E">
        <w:rPr>
          <w:lang w:eastAsia="en-GB"/>
        </w:rPr>
        <w:t xml:space="preserve">to other </w:t>
      </w:r>
      <w:r w:rsidRPr="0058277E">
        <w:rPr>
          <w:lang w:eastAsia="en-GB"/>
        </w:rPr>
        <w:t>geographic</w:t>
      </w:r>
      <w:r w:rsidR="0058277E">
        <w:rPr>
          <w:lang w:eastAsia="en-GB"/>
        </w:rPr>
        <w:t xml:space="preserve"> and </w:t>
      </w:r>
      <w:r w:rsidRPr="0058277E">
        <w:rPr>
          <w:lang w:eastAsia="en-GB"/>
        </w:rPr>
        <w:t xml:space="preserve">thematic programmes) </w:t>
      </w:r>
      <w:r w:rsidR="00AD4E53" w:rsidRPr="0058277E">
        <w:rPr>
          <w:lang w:eastAsia="en-GB"/>
        </w:rPr>
        <w:t>as d</w:t>
      </w:r>
      <w:r w:rsidR="00AD4E53" w:rsidRPr="0058277E">
        <w:t xml:space="preserve">elegations are best placed to </w:t>
      </w:r>
      <w:r w:rsidR="002964D1" w:rsidRPr="0058277E">
        <w:t>identify</w:t>
      </w:r>
      <w:r w:rsidR="00AD4E53" w:rsidRPr="0058277E">
        <w:t xml:space="preserve"> the human rights and democracy challenges in their own countries. It </w:t>
      </w:r>
      <w:r w:rsidRPr="0058277E">
        <w:rPr>
          <w:lang w:eastAsia="en-GB"/>
        </w:rPr>
        <w:t>emphasi</w:t>
      </w:r>
      <w:r w:rsidR="0058277E" w:rsidRPr="0058277E">
        <w:rPr>
          <w:lang w:eastAsia="en-GB"/>
        </w:rPr>
        <w:t>s</w:t>
      </w:r>
      <w:r w:rsidRPr="0058277E">
        <w:rPr>
          <w:lang w:eastAsia="en-GB"/>
        </w:rPr>
        <w:t xml:space="preserve">ed the importance of EU delegations making full use of the flexibility </w:t>
      </w:r>
      <w:r w:rsidR="00DB72D0">
        <w:rPr>
          <w:lang w:eastAsia="en-GB"/>
        </w:rPr>
        <w:t>and</w:t>
      </w:r>
      <w:r w:rsidR="00DB72D0" w:rsidRPr="0058277E">
        <w:rPr>
          <w:lang w:eastAsia="en-GB"/>
        </w:rPr>
        <w:t xml:space="preserve"> unique features</w:t>
      </w:r>
      <w:r w:rsidR="00DB72D0">
        <w:rPr>
          <w:lang w:eastAsia="en-GB"/>
        </w:rPr>
        <w:t xml:space="preserve"> </w:t>
      </w:r>
      <w:r w:rsidR="00DB72D0" w:rsidRPr="0058277E">
        <w:rPr>
          <w:lang w:eastAsia="en-GB"/>
        </w:rPr>
        <w:t xml:space="preserve">of the instrument </w:t>
      </w:r>
      <w:r w:rsidRPr="0058277E">
        <w:rPr>
          <w:lang w:eastAsia="en-GB"/>
        </w:rPr>
        <w:t xml:space="preserve">(such as the possibility to fund </w:t>
      </w:r>
      <w:r w:rsidR="005071E1">
        <w:rPr>
          <w:lang w:eastAsia="en-GB"/>
        </w:rPr>
        <w:t>non-</w:t>
      </w:r>
      <w:r w:rsidRPr="0058277E">
        <w:rPr>
          <w:lang w:eastAsia="en-GB"/>
        </w:rPr>
        <w:t xml:space="preserve">registered organisations), </w:t>
      </w:r>
      <w:r w:rsidR="002F2922">
        <w:rPr>
          <w:lang w:eastAsia="en-GB"/>
        </w:rPr>
        <w:t xml:space="preserve">to address the </w:t>
      </w:r>
      <w:r w:rsidRPr="0058277E">
        <w:t xml:space="preserve">shrinking space for civil society </w:t>
      </w:r>
      <w:r w:rsidR="002F2922">
        <w:t xml:space="preserve">and </w:t>
      </w:r>
      <w:r w:rsidR="00DB72D0">
        <w:t>s</w:t>
      </w:r>
      <w:r w:rsidR="002F2922">
        <w:t>upport human rights and democracy where they are most at risk</w:t>
      </w:r>
      <w:r w:rsidRPr="0058277E">
        <w:t>.</w:t>
      </w:r>
      <w:r w:rsidR="00AD4E53" w:rsidRPr="00375E88">
        <w:t xml:space="preserve"> HQ </w:t>
      </w:r>
      <w:r w:rsidR="0029755D">
        <w:t xml:space="preserve">could </w:t>
      </w:r>
      <w:r w:rsidR="00AD4E53" w:rsidRPr="00375E88">
        <w:t>play a more strategic role in that regard.</w:t>
      </w:r>
      <w:r w:rsidR="00DB72D0">
        <w:t xml:space="preserve"> Attention was also drawn to the need to broaden support to democracy, particularly with regard to political parties and parliaments. </w:t>
      </w:r>
    </w:p>
    <w:p w:rsidR="00216FCA" w:rsidRPr="00AF4088" w:rsidRDefault="001A1AF2">
      <w:pPr>
        <w:pStyle w:val="Heading2"/>
        <w:numPr>
          <w:ilvl w:val="0"/>
          <w:numId w:val="0"/>
        </w:numPr>
        <w:rPr>
          <w:color w:val="auto"/>
        </w:rPr>
      </w:pPr>
      <w:r w:rsidRPr="00AF4088">
        <w:rPr>
          <w:color w:val="auto"/>
        </w:rPr>
        <w:t>3.2</w:t>
      </w:r>
      <w:r w:rsidRPr="00AF4088">
        <w:rPr>
          <w:color w:val="auto"/>
        </w:rPr>
        <w:tab/>
        <w:t xml:space="preserve">Complementarity, synergy and donor coordination </w:t>
      </w:r>
    </w:p>
    <w:p w:rsidR="00375E88" w:rsidRDefault="001A1AF2" w:rsidP="008D2D4C">
      <w:pPr>
        <w:spacing w:before="0" w:after="0"/>
      </w:pPr>
      <w:r w:rsidRPr="00AF4088">
        <w:rPr>
          <w:szCs w:val="22"/>
          <w:lang w:eastAsia="en-GB"/>
        </w:rPr>
        <w:t xml:space="preserve">The issue of complementarity between geographic </w:t>
      </w:r>
      <w:r w:rsidRPr="004603AE">
        <w:rPr>
          <w:szCs w:val="22"/>
          <w:lang w:eastAsia="en-GB"/>
        </w:rPr>
        <w:t>instruments is of particular importance in the case of CBSS</w:t>
      </w:r>
      <w:r w:rsidRPr="001D20F2">
        <w:rPr>
          <w:szCs w:val="22"/>
          <w:lang w:eastAsia="en-GB"/>
        </w:rPr>
        <w:t>. Indeed, c</w:t>
      </w:r>
      <w:r w:rsidRPr="001D20F2">
        <w:t xml:space="preserve">ontrary to the geographical instruments that </w:t>
      </w:r>
      <w:r w:rsidR="00354B90">
        <w:t xml:space="preserve">mostly </w:t>
      </w:r>
      <w:r w:rsidRPr="00354B90">
        <w:t xml:space="preserve">work in close cooperation with partner countries to undertake structural reforms at national level, the EIDHR provides support to civil society without </w:t>
      </w:r>
      <w:r w:rsidR="00375E88" w:rsidRPr="00961793">
        <w:t xml:space="preserve">government approval or buy in, in turn allowing support to </w:t>
      </w:r>
      <w:r w:rsidR="00375E88">
        <w:t xml:space="preserve">politically </w:t>
      </w:r>
      <w:r w:rsidR="00375E88" w:rsidRPr="00961793">
        <w:t>sensitive issues</w:t>
      </w:r>
      <w:r w:rsidR="00375E88">
        <w:t xml:space="preserve"> (e.g. LGBTI, freedom of expression, freedom of association</w:t>
      </w:r>
      <w:r w:rsidR="008D2D4C">
        <w:t>, business and human rights</w:t>
      </w:r>
      <w:r w:rsidR="00375E88">
        <w:t>).</w:t>
      </w:r>
      <w:r w:rsidR="00375E88" w:rsidRPr="00961793">
        <w:t xml:space="preserve"> </w:t>
      </w:r>
      <w:r w:rsidR="00375E88">
        <w:t>The ability to provide s</w:t>
      </w:r>
      <w:r w:rsidR="00375E88" w:rsidRPr="00961793">
        <w:t xml:space="preserve">upport to unregistered organisations and individuals that </w:t>
      </w:r>
      <w:r w:rsidR="00375E88">
        <w:t xml:space="preserve">would </w:t>
      </w:r>
      <w:r w:rsidR="00375E88" w:rsidRPr="00961793">
        <w:t xml:space="preserve">otherwise be precluded from receiving </w:t>
      </w:r>
      <w:r w:rsidR="00375E88">
        <w:t xml:space="preserve">donor funds is equally valuable. </w:t>
      </w:r>
    </w:p>
    <w:p w:rsidR="00096AC9" w:rsidRPr="00AA140A" w:rsidRDefault="00096AC9" w:rsidP="008D2D4C">
      <w:pPr>
        <w:spacing w:before="0" w:after="0"/>
      </w:pPr>
    </w:p>
    <w:p w:rsidR="00375E88" w:rsidRPr="00AA140A" w:rsidRDefault="00375E88" w:rsidP="008D2D4C">
      <w:pPr>
        <w:spacing w:before="0" w:after="0"/>
      </w:pPr>
      <w:r>
        <w:t>In addition, t</w:t>
      </w:r>
      <w:r w:rsidRPr="003C3AD2">
        <w:t xml:space="preserve">he worldwide focus of EIDHR </w:t>
      </w:r>
      <w:r>
        <w:t xml:space="preserve">not only reflects </w:t>
      </w:r>
      <w:r w:rsidRPr="003C3AD2">
        <w:t>the universality o</w:t>
      </w:r>
      <w:r>
        <w:t>f human rights, but also complements</w:t>
      </w:r>
      <w:r w:rsidRPr="003C3AD2">
        <w:t xml:space="preserve"> the increasing </w:t>
      </w:r>
      <w:r>
        <w:t xml:space="preserve">narrowing </w:t>
      </w:r>
      <w:r w:rsidRPr="003C3AD2">
        <w:t xml:space="preserve">of other EU instruments and other development partners on </w:t>
      </w:r>
      <w:r>
        <w:t xml:space="preserve">specific regions and/or </w:t>
      </w:r>
      <w:r w:rsidRPr="003C3AD2">
        <w:t>the least developed countries</w:t>
      </w:r>
      <w:r>
        <w:t xml:space="preserve">. Thus the </w:t>
      </w:r>
      <w:r>
        <w:lastRenderedPageBreak/>
        <w:t xml:space="preserve">EIDHR </w:t>
      </w:r>
      <w:r w:rsidR="00C71A03">
        <w:t xml:space="preserve">– mainly through the CBSS - </w:t>
      </w:r>
      <w:r>
        <w:t xml:space="preserve">is </w:t>
      </w:r>
      <w:r w:rsidRPr="00961793">
        <w:t xml:space="preserve">one of very few </w:t>
      </w:r>
      <w:r w:rsidR="00C71A03">
        <w:t xml:space="preserve">programmes </w:t>
      </w:r>
      <w:r w:rsidRPr="00961793">
        <w:t xml:space="preserve">able to provide support in </w:t>
      </w:r>
      <w:r>
        <w:t xml:space="preserve">graduated countries. </w:t>
      </w:r>
    </w:p>
    <w:p w:rsidR="00216FCA" w:rsidRPr="00375E88" w:rsidRDefault="00C71A03">
      <w:pPr>
        <w:rPr>
          <w:szCs w:val="22"/>
          <w:lang w:eastAsia="en-GB"/>
        </w:rPr>
      </w:pPr>
      <w:r>
        <w:rPr>
          <w:szCs w:val="22"/>
          <w:lang w:eastAsia="en-GB"/>
        </w:rPr>
        <w:t xml:space="preserve">Apart from complementarity with relevant geographic interventions, the </w:t>
      </w:r>
      <w:r w:rsidR="001A1AF2" w:rsidRPr="00375E88">
        <w:rPr>
          <w:szCs w:val="22"/>
          <w:lang w:eastAsia="en-GB"/>
        </w:rPr>
        <w:t xml:space="preserve">EU delegations will </w:t>
      </w:r>
      <w:r>
        <w:rPr>
          <w:szCs w:val="22"/>
          <w:lang w:eastAsia="en-GB"/>
        </w:rPr>
        <w:t xml:space="preserve">also </w:t>
      </w:r>
      <w:r w:rsidR="001A1AF2" w:rsidRPr="00375E88">
        <w:rPr>
          <w:szCs w:val="22"/>
          <w:lang w:eastAsia="en-GB"/>
        </w:rPr>
        <w:t>ensure synergies of the CBSS with other EU programmes, especially with the Civil Society component of the Development Cooperation Instrument (CSO-LA)</w:t>
      </w:r>
      <w:r w:rsidR="00327359">
        <w:rPr>
          <w:szCs w:val="22"/>
          <w:lang w:eastAsia="en-GB"/>
        </w:rPr>
        <w:t>.</w:t>
      </w:r>
      <w:r w:rsidR="001A1AF2" w:rsidRPr="0058277E">
        <w:rPr>
          <w:rStyle w:val="FootnoteReference"/>
          <w:szCs w:val="22"/>
          <w:lang w:eastAsia="en-GB"/>
        </w:rPr>
        <w:footnoteReference w:id="8"/>
      </w:r>
      <w:r w:rsidR="00327359">
        <w:rPr>
          <w:szCs w:val="22"/>
          <w:lang w:eastAsia="en-GB"/>
        </w:rPr>
        <w:t xml:space="preserve"> CSO-LA</w:t>
      </w:r>
      <w:r w:rsidR="001A1AF2" w:rsidRPr="0058277E">
        <w:rPr>
          <w:szCs w:val="22"/>
          <w:lang w:eastAsia="en-GB"/>
        </w:rPr>
        <w:t xml:space="preserve"> offers good opportunities </w:t>
      </w:r>
      <w:r w:rsidR="00327359">
        <w:rPr>
          <w:szCs w:val="22"/>
          <w:lang w:eastAsia="en-GB"/>
        </w:rPr>
        <w:t xml:space="preserve">for concerting effort </w:t>
      </w:r>
      <w:r w:rsidR="001A1AF2" w:rsidRPr="0058277E">
        <w:rPr>
          <w:szCs w:val="22"/>
          <w:lang w:eastAsia="en-GB"/>
        </w:rPr>
        <w:t xml:space="preserve">but also risks </w:t>
      </w:r>
      <w:r w:rsidR="00327359">
        <w:rPr>
          <w:szCs w:val="22"/>
          <w:lang w:eastAsia="en-GB"/>
        </w:rPr>
        <w:t xml:space="preserve">of </w:t>
      </w:r>
      <w:r w:rsidR="001A1AF2" w:rsidRPr="0058277E">
        <w:rPr>
          <w:szCs w:val="22"/>
          <w:lang w:eastAsia="en-GB"/>
        </w:rPr>
        <w:t>overlap</w:t>
      </w:r>
      <w:r w:rsidR="00327359">
        <w:rPr>
          <w:szCs w:val="22"/>
          <w:lang w:eastAsia="en-GB"/>
        </w:rPr>
        <w:t>,</w:t>
      </w:r>
      <w:r w:rsidR="001A1AF2" w:rsidRPr="0058277E">
        <w:rPr>
          <w:szCs w:val="22"/>
          <w:lang w:eastAsia="en-GB"/>
        </w:rPr>
        <w:t xml:space="preserve"> in particular with regard to the </w:t>
      </w:r>
      <w:r w:rsidR="00327359">
        <w:rPr>
          <w:szCs w:val="22"/>
          <w:lang w:eastAsia="en-GB"/>
        </w:rPr>
        <w:t xml:space="preserve">work on </w:t>
      </w:r>
      <w:r w:rsidR="001A1AF2" w:rsidRPr="0058277E">
        <w:rPr>
          <w:szCs w:val="22"/>
          <w:lang w:eastAsia="en-GB"/>
        </w:rPr>
        <w:t>enabling environment of civil society actors</w:t>
      </w:r>
      <w:r w:rsidR="00327359">
        <w:rPr>
          <w:szCs w:val="22"/>
          <w:lang w:eastAsia="en-GB"/>
        </w:rPr>
        <w:t xml:space="preserve"> and</w:t>
      </w:r>
      <w:r w:rsidR="001A1AF2" w:rsidRPr="0058277E">
        <w:rPr>
          <w:szCs w:val="22"/>
          <w:lang w:eastAsia="en-GB"/>
        </w:rPr>
        <w:t xml:space="preserve"> local call for proposals.</w:t>
      </w:r>
      <w:r w:rsidR="00327359">
        <w:rPr>
          <w:szCs w:val="22"/>
          <w:lang w:eastAsia="en-GB"/>
        </w:rPr>
        <w:t xml:space="preserve"> </w:t>
      </w:r>
    </w:p>
    <w:p w:rsidR="00216FCA" w:rsidRPr="00375E88" w:rsidRDefault="001A1AF2">
      <w:pPr>
        <w:shd w:val="clear" w:color="auto" w:fill="FFFFFF"/>
        <w:rPr>
          <w:szCs w:val="22"/>
          <w:lang w:eastAsia="en-GB"/>
        </w:rPr>
      </w:pPr>
      <w:bookmarkStart w:id="29" w:name="DQCNUMB_12"/>
      <w:bookmarkEnd w:id="29"/>
      <w:r w:rsidRPr="00327359">
        <w:rPr>
          <w:szCs w:val="22"/>
          <w:lang w:eastAsia="en-GB"/>
        </w:rPr>
        <w:t>Complementarity with actions funded under the Instrument contributing to Stability and Peace (IsCP)</w:t>
      </w:r>
      <w:r w:rsidRPr="0058277E">
        <w:rPr>
          <w:rStyle w:val="FootnoteReference"/>
          <w:szCs w:val="22"/>
          <w:lang w:eastAsia="en-GB"/>
        </w:rPr>
        <w:footnoteReference w:id="9"/>
      </w:r>
      <w:r w:rsidRPr="0058277E">
        <w:rPr>
          <w:szCs w:val="22"/>
          <w:lang w:eastAsia="en-GB"/>
        </w:rPr>
        <w:t xml:space="preserve"> and in particular Article 4-funded actions aimed at providing support to in-country civil society actors in conflict prevention, peace-building and crisis preparedness </w:t>
      </w:r>
      <w:r w:rsidR="00327359">
        <w:rPr>
          <w:szCs w:val="22"/>
          <w:lang w:eastAsia="en-GB"/>
        </w:rPr>
        <w:t xml:space="preserve">must also </w:t>
      </w:r>
      <w:r w:rsidRPr="0058277E">
        <w:rPr>
          <w:szCs w:val="22"/>
          <w:lang w:eastAsia="en-GB"/>
        </w:rPr>
        <w:t xml:space="preserve">be ensured by EU delegations. </w:t>
      </w:r>
    </w:p>
    <w:p w:rsidR="00216FCA" w:rsidRPr="00100D84" w:rsidRDefault="001A1AF2">
      <w:pPr>
        <w:shd w:val="clear" w:color="auto" w:fill="FFFFFF"/>
        <w:rPr>
          <w:szCs w:val="22"/>
          <w:lang w:eastAsia="en-GB"/>
        </w:rPr>
      </w:pPr>
      <w:r w:rsidRPr="00327359">
        <w:rPr>
          <w:szCs w:val="22"/>
          <w:lang w:eastAsia="en-GB"/>
        </w:rPr>
        <w:t xml:space="preserve">Synergies will also be </w:t>
      </w:r>
      <w:r w:rsidR="00100D84">
        <w:rPr>
          <w:szCs w:val="22"/>
          <w:lang w:eastAsia="en-GB"/>
        </w:rPr>
        <w:t xml:space="preserve">sought </w:t>
      </w:r>
      <w:r w:rsidRPr="00327359">
        <w:rPr>
          <w:szCs w:val="22"/>
          <w:lang w:eastAsia="en-GB"/>
        </w:rPr>
        <w:t xml:space="preserve">between EIDHR-funded actions and EU humanitarian operations, as refugees and other beneficiaries of humanitarian relief are often also victims of human rights violations. </w:t>
      </w:r>
    </w:p>
    <w:p w:rsidR="00216FCA" w:rsidRPr="0058277E" w:rsidRDefault="001A1AF2">
      <w:pPr>
        <w:spacing w:after="0"/>
        <w:rPr>
          <w:szCs w:val="22"/>
          <w:lang w:eastAsia="en-GB"/>
        </w:rPr>
      </w:pPr>
      <w:r w:rsidRPr="00AF4088">
        <w:rPr>
          <w:szCs w:val="22"/>
          <w:lang w:eastAsia="en-GB"/>
        </w:rPr>
        <w:t xml:space="preserve">The Commission services within EU delegations will prepare their </w:t>
      </w:r>
      <w:r w:rsidR="0029755D">
        <w:rPr>
          <w:szCs w:val="22"/>
          <w:lang w:eastAsia="en-GB"/>
        </w:rPr>
        <w:t xml:space="preserve">interventions and </w:t>
      </w:r>
      <w:r w:rsidRPr="00AF4088">
        <w:rPr>
          <w:szCs w:val="22"/>
          <w:lang w:eastAsia="en-GB"/>
        </w:rPr>
        <w:t>calls for proposals based on consultation with civil society organisations, Member States and other donors, ensuring complementarity and synergies with their actions.</w:t>
      </w:r>
    </w:p>
    <w:p w:rsidR="00216FCA" w:rsidRPr="0058277E" w:rsidRDefault="001A1AF2">
      <w:pPr>
        <w:pStyle w:val="Heading2"/>
        <w:numPr>
          <w:ilvl w:val="0"/>
          <w:numId w:val="0"/>
        </w:numPr>
        <w:rPr>
          <w:color w:val="auto"/>
        </w:rPr>
      </w:pPr>
      <w:r w:rsidRPr="0058277E">
        <w:rPr>
          <w:color w:val="auto"/>
        </w:rPr>
        <w:t>3.3</w:t>
      </w:r>
      <w:r w:rsidRPr="0058277E">
        <w:rPr>
          <w:color w:val="auto"/>
        </w:rPr>
        <w:tab/>
        <w:t>Cross-cutting issues</w:t>
      </w:r>
      <w:bookmarkEnd w:id="25"/>
      <w:bookmarkEnd w:id="26"/>
      <w:bookmarkEnd w:id="27"/>
      <w:bookmarkEnd w:id="28"/>
    </w:p>
    <w:p w:rsidR="00385218" w:rsidRPr="005856BD" w:rsidRDefault="00100D84" w:rsidP="00100D84">
      <w:pPr>
        <w:pStyle w:val="Text1"/>
        <w:spacing w:before="0"/>
        <w:ind w:left="0"/>
        <w:rPr>
          <w:color w:val="2A232B"/>
          <w:lang w:eastAsia="da-DK"/>
        </w:rPr>
      </w:pPr>
      <w:bookmarkStart w:id="30" w:name="_Toc391999046"/>
      <w:r>
        <w:rPr>
          <w:color w:val="2A232B"/>
          <w:lang w:eastAsia="da-DK"/>
        </w:rPr>
        <w:t xml:space="preserve">In line with the 2030 Agenda and the motto of leaving no-one behind, particular attention will be given to </w:t>
      </w:r>
      <w:r w:rsidRPr="00720FCA">
        <w:rPr>
          <w:color w:val="2A232B"/>
          <w:lang w:eastAsia="da-DK"/>
        </w:rPr>
        <w:t xml:space="preserve">traditionally </w:t>
      </w:r>
      <w:r w:rsidRPr="00DB6463">
        <w:rPr>
          <w:b/>
          <w:color w:val="2A232B"/>
          <w:lang w:eastAsia="da-DK"/>
        </w:rPr>
        <w:t>excluded and discriminated individuals and groups</w:t>
      </w:r>
      <w:r w:rsidRPr="00720FCA">
        <w:rPr>
          <w:color w:val="2A232B"/>
          <w:lang w:eastAsia="da-DK"/>
        </w:rPr>
        <w:t>, e.g. indigenous peoples, r</w:t>
      </w:r>
      <w:r w:rsidRPr="00720FCA">
        <w:rPr>
          <w:color w:val="443F46"/>
          <w:lang w:eastAsia="da-DK"/>
        </w:rPr>
        <w:t>e</w:t>
      </w:r>
      <w:r w:rsidRPr="00720FCA">
        <w:rPr>
          <w:color w:val="2A232B"/>
          <w:lang w:eastAsia="da-DK"/>
        </w:rPr>
        <w:t>presentatives of minorities</w:t>
      </w:r>
      <w:r w:rsidRPr="00720FCA">
        <w:rPr>
          <w:color w:val="443F46"/>
          <w:lang w:eastAsia="da-DK"/>
        </w:rPr>
        <w:t xml:space="preserve">, </w:t>
      </w:r>
      <w:r w:rsidRPr="00720FCA">
        <w:rPr>
          <w:color w:val="2A232B"/>
          <w:lang w:eastAsia="da-DK"/>
        </w:rPr>
        <w:t>children, persons with disabilities, the elderly, refugees and migrant workers, human rights defenders (including the environ</w:t>
      </w:r>
      <w:r w:rsidR="005A49D1">
        <w:rPr>
          <w:color w:val="2A232B"/>
          <w:lang w:eastAsia="da-DK"/>
        </w:rPr>
        <w:t xml:space="preserve">ment of human rights </w:t>
      </w:r>
      <w:r w:rsidR="005A49D1" w:rsidRPr="005856BD">
        <w:rPr>
          <w:color w:val="2A232B"/>
          <w:lang w:eastAsia="da-DK"/>
        </w:rPr>
        <w:t>defenders)</w:t>
      </w:r>
      <w:r w:rsidR="008902C9" w:rsidRPr="005856BD">
        <w:rPr>
          <w:color w:val="2A232B"/>
          <w:lang w:eastAsia="da-DK"/>
        </w:rPr>
        <w:t xml:space="preserve"> </w:t>
      </w:r>
      <w:r w:rsidR="005A49D1" w:rsidRPr="005856BD">
        <w:rPr>
          <w:color w:val="2A232B"/>
          <w:lang w:eastAsia="da-DK"/>
        </w:rPr>
        <w:t>and</w:t>
      </w:r>
      <w:r w:rsidRPr="005856BD">
        <w:rPr>
          <w:color w:val="2A232B"/>
          <w:lang w:eastAsia="da-DK"/>
        </w:rPr>
        <w:t xml:space="preserve"> LGBTI persons. </w:t>
      </w:r>
    </w:p>
    <w:p w:rsidR="00385218" w:rsidRDefault="000A367B" w:rsidP="00100D84">
      <w:pPr>
        <w:pStyle w:val="Text1"/>
        <w:spacing w:before="0"/>
        <w:ind w:left="0"/>
        <w:rPr>
          <w:color w:val="2A232B"/>
          <w:lang w:eastAsia="da-DK"/>
        </w:rPr>
      </w:pPr>
      <w:r w:rsidRPr="005856BD">
        <w:t>The projects funded under this action</w:t>
      </w:r>
      <w:r w:rsidR="00385218" w:rsidRPr="005856BD">
        <w:t xml:space="preserve"> will </w:t>
      </w:r>
      <w:r w:rsidR="00DD2974" w:rsidRPr="005856BD">
        <w:t xml:space="preserve">contribute to </w:t>
      </w:r>
      <w:r w:rsidR="00DD2974" w:rsidRPr="009F223A">
        <w:rPr>
          <w:b/>
        </w:rPr>
        <w:t>mainstream gender</w:t>
      </w:r>
      <w:r w:rsidR="00DD2974" w:rsidRPr="005856BD">
        <w:t xml:space="preserve"> and </w:t>
      </w:r>
      <w:r w:rsidR="00F616AB" w:rsidRPr="005856BD">
        <w:t>achieve the objectives</w:t>
      </w:r>
      <w:r w:rsidRPr="005856BD">
        <w:t xml:space="preserve"> of </w:t>
      </w:r>
      <w:r w:rsidRPr="009F223A">
        <w:rPr>
          <w:b/>
        </w:rPr>
        <w:t>gender equality</w:t>
      </w:r>
      <w:r w:rsidRPr="005856BD">
        <w:t xml:space="preserve"> and girls</w:t>
      </w:r>
      <w:r w:rsidR="008A7A04" w:rsidRPr="005856BD">
        <w:t>'</w:t>
      </w:r>
      <w:r w:rsidRPr="005856BD">
        <w:t xml:space="preserve"> and women's empowerment in line with the</w:t>
      </w:r>
      <w:r w:rsidR="005856BD" w:rsidRPr="005856BD">
        <w:t xml:space="preserve"> EU</w:t>
      </w:r>
      <w:r w:rsidRPr="005856BD">
        <w:t xml:space="preserve"> Gender Action Plan II</w:t>
      </w:r>
      <w:r w:rsidR="00385218" w:rsidRPr="005856BD">
        <w:t xml:space="preserve">. </w:t>
      </w:r>
      <w:r w:rsidR="00DD2974" w:rsidRPr="005856BD">
        <w:t>This commitment will be reflected in the use of gender sensitive indicators and sex disaggregated data to the extent possible.</w:t>
      </w:r>
      <w:r w:rsidR="008A7A04" w:rsidRPr="005856BD">
        <w:t xml:space="preserve"> </w:t>
      </w:r>
      <w:r w:rsidR="00DD2974" w:rsidRPr="005856BD">
        <w:t>Gender specific activities may also be funded under this action such as trainings and awareness-building activities on women's and girls’ rights and international law standards.</w:t>
      </w:r>
      <w:r w:rsidR="00CC0D43">
        <w:t xml:space="preserve"> The monitoring and evaluation system of projects shall be gender sensitive.</w:t>
      </w:r>
    </w:p>
    <w:p w:rsidR="00100D84" w:rsidRPr="00347B41" w:rsidRDefault="00100D84" w:rsidP="00100D84">
      <w:pPr>
        <w:pStyle w:val="Text1"/>
        <w:spacing w:before="0"/>
        <w:ind w:left="0"/>
      </w:pPr>
      <w:r w:rsidRPr="0049585B">
        <w:rPr>
          <w:color w:val="2A232B"/>
          <w:lang w:eastAsia="da-DK"/>
        </w:rPr>
        <w:t>In line with</w:t>
      </w:r>
      <w:r w:rsidR="0049585B" w:rsidRPr="0049585B">
        <w:rPr>
          <w:color w:val="2A232B"/>
          <w:lang w:eastAsia="da-DK"/>
        </w:rPr>
        <w:t xml:space="preserve"> </w:t>
      </w:r>
      <w:r w:rsidR="0049585B" w:rsidRPr="0049585B">
        <w:t xml:space="preserve">the 2014 </w:t>
      </w:r>
      <w:hyperlink r:id="rId13" w:history="1">
        <w:r w:rsidR="0049585B" w:rsidRPr="0049585B">
          <w:rPr>
            <w:rStyle w:val="Hyperlink"/>
            <w:color w:val="auto"/>
            <w:u w:val="none"/>
          </w:rPr>
          <w:t>Tool-box</w:t>
        </w:r>
      </w:hyperlink>
      <w:r w:rsidR="0049585B" w:rsidRPr="0049585B">
        <w:t xml:space="preserve"> "a Rights-Based Approach, encompassing all human rights,</w:t>
      </w:r>
      <w:r w:rsidR="0049585B" w:rsidRPr="0058277E">
        <w:t xml:space="preserve"> for EU development cooperation"</w:t>
      </w:r>
      <w:r w:rsidR="0049585B">
        <w:rPr>
          <w:rStyle w:val="FootnoteReference"/>
        </w:rPr>
        <w:footnoteReference w:id="10"/>
      </w:r>
      <w:r w:rsidR="0049585B" w:rsidRPr="0058277E">
        <w:t xml:space="preserve"> and the respective </w:t>
      </w:r>
      <w:hyperlink r:id="rId14" w:history="1">
        <w:r w:rsidR="0049585B" w:rsidRPr="00732917">
          <w:rPr>
            <w:rStyle w:val="Hyperlink"/>
            <w:color w:val="auto"/>
            <w:u w:val="none"/>
          </w:rPr>
          <w:t>Council Conclusions</w:t>
        </w:r>
      </w:hyperlink>
      <w:r w:rsidRPr="00720FCA">
        <w:rPr>
          <w:color w:val="2A232B"/>
          <w:lang w:eastAsia="da-DK"/>
        </w:rPr>
        <w:t xml:space="preserve">, </w:t>
      </w:r>
      <w:r>
        <w:t>a</w:t>
      </w:r>
      <w:r w:rsidRPr="00347B41">
        <w:t xml:space="preserve">ll actions shall be designed and implemented following </w:t>
      </w:r>
      <w:r w:rsidRPr="00DB6463">
        <w:rPr>
          <w:b/>
        </w:rPr>
        <w:t>a rights-based approach</w:t>
      </w:r>
      <w:r w:rsidR="005A49D1">
        <w:rPr>
          <w:rStyle w:val="FootnoteReference"/>
        </w:rPr>
        <w:footnoteReference w:id="11"/>
      </w:r>
      <w:r w:rsidRPr="0058277E">
        <w:t>, encompassing all human rights,</w:t>
      </w:r>
      <w:r w:rsidRPr="00347B41">
        <w:t xml:space="preserve"> as detailed in section 1.1.1. of this action document.</w:t>
      </w:r>
    </w:p>
    <w:p w:rsidR="00216FCA" w:rsidRPr="00162726" w:rsidRDefault="001A1AF2">
      <w:pPr>
        <w:pStyle w:val="Text1"/>
        <w:spacing w:before="0"/>
        <w:ind w:left="0"/>
      </w:pPr>
      <w:r w:rsidRPr="00162726">
        <w:t xml:space="preserve">These </w:t>
      </w:r>
      <w:r w:rsidR="00100D84">
        <w:t xml:space="preserve">above </w:t>
      </w:r>
      <w:r w:rsidRPr="00162726">
        <w:t>crosscutting issues may also be the main target of a given action.</w:t>
      </w:r>
    </w:p>
    <w:p w:rsidR="00216FCA" w:rsidRPr="0058277E" w:rsidRDefault="001A1AF2">
      <w:pPr>
        <w:pStyle w:val="Heading1"/>
        <w:numPr>
          <w:ilvl w:val="0"/>
          <w:numId w:val="0"/>
        </w:numPr>
        <w:rPr>
          <w:color w:val="auto"/>
        </w:rPr>
      </w:pPr>
      <w:bookmarkStart w:id="31" w:name="_Toc391022363"/>
      <w:bookmarkStart w:id="32" w:name="_Toc392858011"/>
      <w:bookmarkStart w:id="33" w:name="_Toc391537205"/>
      <w:bookmarkStart w:id="34" w:name="_Toc391999047"/>
      <w:bookmarkEnd w:id="30"/>
      <w:r w:rsidRPr="0058277E">
        <w:rPr>
          <w:color w:val="auto"/>
        </w:rPr>
        <w:lastRenderedPageBreak/>
        <w:t>4</w:t>
      </w:r>
      <w:r w:rsidRPr="0058277E">
        <w:rPr>
          <w:color w:val="auto"/>
        </w:rPr>
        <w:tab/>
        <w:t>Description of the action</w:t>
      </w:r>
      <w:bookmarkEnd w:id="31"/>
      <w:bookmarkEnd w:id="32"/>
      <w:bookmarkEnd w:id="33"/>
      <w:bookmarkEnd w:id="34"/>
    </w:p>
    <w:p w:rsidR="00216FCA" w:rsidRPr="00375E88" w:rsidRDefault="001A1AF2" w:rsidP="000B1E61">
      <w:pPr>
        <w:pStyle w:val="Heading2"/>
        <w:numPr>
          <w:ilvl w:val="0"/>
          <w:numId w:val="0"/>
        </w:numPr>
        <w:rPr>
          <w:color w:val="auto"/>
        </w:rPr>
      </w:pPr>
      <w:bookmarkStart w:id="35" w:name="_Toc392858012"/>
      <w:bookmarkStart w:id="36" w:name="_Toc391537206"/>
      <w:bookmarkStart w:id="37" w:name="_Ref399941567"/>
      <w:bookmarkStart w:id="38" w:name="_Toc391022364"/>
      <w:bookmarkStart w:id="39" w:name="_Toc391999048"/>
      <w:r w:rsidRPr="00375E88">
        <w:rPr>
          <w:color w:val="auto"/>
        </w:rPr>
        <w:t>4.1</w:t>
      </w:r>
      <w:r w:rsidRPr="00375E88">
        <w:rPr>
          <w:color w:val="auto"/>
        </w:rPr>
        <w:tab/>
        <w:t>Objectives</w:t>
      </w:r>
      <w:bookmarkEnd w:id="35"/>
      <w:bookmarkEnd w:id="36"/>
      <w:bookmarkEnd w:id="37"/>
      <w:bookmarkEnd w:id="38"/>
      <w:bookmarkEnd w:id="39"/>
      <w:r w:rsidRPr="00375E88">
        <w:rPr>
          <w:color w:val="auto"/>
        </w:rPr>
        <w:t>/results</w:t>
      </w:r>
    </w:p>
    <w:p w:rsidR="00216FCA" w:rsidRDefault="001A1AF2" w:rsidP="00904716">
      <w:pPr>
        <w:rPr>
          <w:szCs w:val="22"/>
          <w:lang w:eastAsia="en-GB"/>
        </w:rPr>
      </w:pPr>
      <w:r w:rsidRPr="00327359">
        <w:rPr>
          <w:szCs w:val="22"/>
          <w:lang w:eastAsia="en-GB"/>
        </w:rPr>
        <w:t xml:space="preserve">The </w:t>
      </w:r>
      <w:r w:rsidR="00552741" w:rsidRPr="00327359">
        <w:rPr>
          <w:b/>
          <w:szCs w:val="22"/>
          <w:lang w:eastAsia="en-GB"/>
        </w:rPr>
        <w:t xml:space="preserve">overall </w:t>
      </w:r>
      <w:r w:rsidRPr="00327359">
        <w:rPr>
          <w:b/>
          <w:szCs w:val="22"/>
          <w:lang w:eastAsia="en-GB"/>
        </w:rPr>
        <w:t>objective</w:t>
      </w:r>
      <w:r w:rsidRPr="00327359">
        <w:rPr>
          <w:szCs w:val="22"/>
          <w:lang w:eastAsia="en-GB"/>
        </w:rPr>
        <w:t xml:space="preserve"> of this action is to support and strengthen civil society organisations, democracy activists and human rights defenders working on critical human rights and democracy issues in third countries</w:t>
      </w:r>
      <w:r w:rsidR="004C5A05">
        <w:rPr>
          <w:szCs w:val="22"/>
          <w:lang w:eastAsia="en-GB"/>
        </w:rPr>
        <w:t>.</w:t>
      </w:r>
    </w:p>
    <w:p w:rsidR="00734003" w:rsidRDefault="00734003" w:rsidP="00904716">
      <w:pPr>
        <w:spacing w:after="0"/>
        <w:rPr>
          <w:szCs w:val="22"/>
          <w:lang w:eastAsia="en-GB"/>
        </w:rPr>
      </w:pPr>
      <w:r>
        <w:rPr>
          <w:szCs w:val="22"/>
          <w:lang w:eastAsia="en-GB"/>
        </w:rPr>
        <w:t xml:space="preserve">The </w:t>
      </w:r>
      <w:r w:rsidRPr="00A672DA">
        <w:rPr>
          <w:b/>
          <w:szCs w:val="22"/>
          <w:lang w:eastAsia="en-GB"/>
        </w:rPr>
        <w:t>specific objective</w:t>
      </w:r>
      <w:r>
        <w:rPr>
          <w:szCs w:val="22"/>
          <w:lang w:eastAsia="en-GB"/>
        </w:rPr>
        <w:t xml:space="preserve"> is to</w:t>
      </w:r>
      <w:r w:rsidR="004C5A05">
        <w:rPr>
          <w:szCs w:val="22"/>
          <w:lang w:eastAsia="en-GB"/>
        </w:rPr>
        <w:t>:</w:t>
      </w:r>
      <w:r>
        <w:rPr>
          <w:szCs w:val="22"/>
          <w:lang w:eastAsia="en-GB"/>
        </w:rPr>
        <w:t xml:space="preserve"> </w:t>
      </w:r>
      <w:r w:rsidR="00A672DA">
        <w:rPr>
          <w:szCs w:val="22"/>
          <w:lang w:eastAsia="en-GB"/>
        </w:rPr>
        <w:t xml:space="preserve">(as </w:t>
      </w:r>
      <w:r w:rsidR="007475B9">
        <w:rPr>
          <w:szCs w:val="22"/>
          <w:lang w:eastAsia="en-GB"/>
        </w:rPr>
        <w:t xml:space="preserve">further </w:t>
      </w:r>
      <w:r w:rsidR="00A672DA">
        <w:rPr>
          <w:szCs w:val="22"/>
          <w:lang w:eastAsia="en-GB"/>
        </w:rPr>
        <w:t>detailed in section 1.1.3 of this action document)</w:t>
      </w:r>
      <w:r>
        <w:rPr>
          <w:szCs w:val="22"/>
          <w:lang w:eastAsia="en-GB"/>
        </w:rPr>
        <w:t>:</w:t>
      </w:r>
    </w:p>
    <w:p w:rsidR="004C5A05" w:rsidRPr="00BB585B" w:rsidRDefault="00A672DA" w:rsidP="00727745">
      <w:pPr>
        <w:pStyle w:val="ListParagraph1"/>
        <w:numPr>
          <w:ilvl w:val="0"/>
          <w:numId w:val="28"/>
        </w:numPr>
        <w:spacing w:before="120" w:after="120"/>
        <w:jc w:val="both"/>
        <w:rPr>
          <w:rFonts w:ascii="Times New Roman" w:hAnsi="Times New Roman"/>
          <w:i/>
          <w:iCs/>
          <w:color w:val="545454"/>
          <w:sz w:val="24"/>
          <w:szCs w:val="24"/>
          <w:lang w:val="en-US" w:bidi="en-US"/>
        </w:rPr>
      </w:pPr>
      <w:r w:rsidRPr="00BB585B">
        <w:rPr>
          <w:rFonts w:ascii="Times New Roman" w:hAnsi="Times New Roman"/>
          <w:sz w:val="24"/>
          <w:szCs w:val="24"/>
          <w:lang w:eastAsia="en-GB"/>
        </w:rPr>
        <w:t xml:space="preserve">Support </w:t>
      </w:r>
      <w:r w:rsidR="004C5A05" w:rsidRPr="00BB585B">
        <w:rPr>
          <w:rFonts w:ascii="Times New Roman" w:hAnsi="Times New Roman"/>
          <w:sz w:val="24"/>
          <w:szCs w:val="24"/>
          <w:lang w:eastAsia="en-GB"/>
        </w:rPr>
        <w:t xml:space="preserve">human rights defenders and civil society </w:t>
      </w:r>
      <w:r w:rsidR="008039FB" w:rsidRPr="00BB585B">
        <w:rPr>
          <w:rFonts w:ascii="Times New Roman" w:hAnsi="Times New Roman"/>
          <w:sz w:val="24"/>
          <w:szCs w:val="24"/>
          <w:lang w:eastAsia="en-GB"/>
        </w:rPr>
        <w:t>in countering</w:t>
      </w:r>
      <w:r w:rsidR="008039FB" w:rsidRPr="008039FB">
        <w:rPr>
          <w:rFonts w:ascii="Times New Roman" w:hAnsi="Times New Roman"/>
          <w:b/>
          <w:sz w:val="24"/>
          <w:szCs w:val="24"/>
          <w:lang w:eastAsia="en-GB"/>
        </w:rPr>
        <w:t xml:space="preserve"> </w:t>
      </w:r>
      <w:r w:rsidR="004C5A05" w:rsidRPr="00BB585B">
        <w:rPr>
          <w:rFonts w:ascii="Times New Roman" w:hAnsi="Times New Roman"/>
          <w:b/>
          <w:sz w:val="24"/>
          <w:szCs w:val="24"/>
        </w:rPr>
        <w:t>systematic, widespread, and gross human rights violations and attacks against fundamental freedoms.</w:t>
      </w:r>
      <w:r w:rsidR="004C5A05" w:rsidRPr="007F240D">
        <w:rPr>
          <w:rFonts w:ascii="Times New Roman" w:hAnsi="Times New Roman"/>
          <w:sz w:val="24"/>
          <w:szCs w:val="24"/>
        </w:rPr>
        <w:t xml:space="preserve"> </w:t>
      </w:r>
    </w:p>
    <w:p w:rsidR="00970794" w:rsidRPr="00BB585B" w:rsidRDefault="004C5A05" w:rsidP="00361287">
      <w:pPr>
        <w:pStyle w:val="ListParagraph1"/>
        <w:jc w:val="both"/>
        <w:rPr>
          <w:rFonts w:ascii="Times New Roman" w:hAnsi="Times New Roman"/>
          <w:sz w:val="24"/>
          <w:szCs w:val="24"/>
        </w:rPr>
      </w:pPr>
      <w:r w:rsidRPr="00BB585B">
        <w:rPr>
          <w:rFonts w:ascii="Times New Roman" w:hAnsi="Times New Roman"/>
          <w:sz w:val="24"/>
          <w:szCs w:val="24"/>
        </w:rPr>
        <w:t xml:space="preserve">A focused attention shall be given to </w:t>
      </w:r>
      <w:r w:rsidR="00970794" w:rsidRPr="008A1211">
        <w:rPr>
          <w:rFonts w:ascii="Times New Roman" w:hAnsi="Times New Roman"/>
          <w:sz w:val="24"/>
          <w:szCs w:val="24"/>
        </w:rPr>
        <w:t>addressing the shrinking civic</w:t>
      </w:r>
      <w:r w:rsidR="00904716">
        <w:rPr>
          <w:rFonts w:ascii="Times New Roman" w:hAnsi="Times New Roman"/>
          <w:sz w:val="24"/>
          <w:szCs w:val="24"/>
        </w:rPr>
        <w:t xml:space="preserve">, democratic and civil society </w:t>
      </w:r>
      <w:r w:rsidR="00970794" w:rsidRPr="008A1211">
        <w:rPr>
          <w:rFonts w:ascii="Times New Roman" w:hAnsi="Times New Roman"/>
          <w:sz w:val="24"/>
          <w:szCs w:val="24"/>
        </w:rPr>
        <w:t xml:space="preserve">space </w:t>
      </w:r>
      <w:r w:rsidR="00970794">
        <w:rPr>
          <w:rFonts w:ascii="Times New Roman" w:hAnsi="Times New Roman"/>
          <w:sz w:val="24"/>
          <w:szCs w:val="24"/>
        </w:rPr>
        <w:t xml:space="preserve">and </w:t>
      </w:r>
      <w:r w:rsidRPr="00BB585B">
        <w:rPr>
          <w:rFonts w:ascii="Times New Roman" w:hAnsi="Times New Roman"/>
          <w:sz w:val="24"/>
          <w:szCs w:val="24"/>
        </w:rPr>
        <w:t xml:space="preserve">most marginalised, stigmatised and isolated </w:t>
      </w:r>
      <w:r w:rsidR="00970794">
        <w:rPr>
          <w:rFonts w:ascii="Times New Roman" w:hAnsi="Times New Roman"/>
          <w:sz w:val="24"/>
          <w:szCs w:val="24"/>
        </w:rPr>
        <w:t>human rights defenders</w:t>
      </w:r>
      <w:r w:rsidRPr="00BB585B">
        <w:rPr>
          <w:rFonts w:ascii="Times New Roman" w:hAnsi="Times New Roman"/>
          <w:sz w:val="24"/>
          <w:szCs w:val="24"/>
        </w:rPr>
        <w:t xml:space="preserve">, such as LGBTI or indigenous peoples' rights activists, </w:t>
      </w:r>
      <w:r w:rsidR="00970794">
        <w:rPr>
          <w:rFonts w:ascii="Times New Roman" w:hAnsi="Times New Roman"/>
          <w:sz w:val="24"/>
          <w:szCs w:val="24"/>
        </w:rPr>
        <w:t xml:space="preserve">and </w:t>
      </w:r>
      <w:r w:rsidRPr="00BB585B">
        <w:rPr>
          <w:rFonts w:ascii="Times New Roman" w:hAnsi="Times New Roman"/>
          <w:sz w:val="24"/>
          <w:szCs w:val="24"/>
        </w:rPr>
        <w:t xml:space="preserve">organisations working on the most sensitive human rights issues in the country of intervention. </w:t>
      </w:r>
    </w:p>
    <w:p w:rsidR="004C5A05" w:rsidRPr="00BB585B" w:rsidRDefault="004C5A05" w:rsidP="00361287">
      <w:pPr>
        <w:pStyle w:val="ListParagraph1"/>
        <w:jc w:val="both"/>
        <w:rPr>
          <w:rFonts w:ascii="Times New Roman" w:hAnsi="Times New Roman"/>
          <w:sz w:val="24"/>
          <w:szCs w:val="24"/>
          <w:lang w:eastAsia="en-GB"/>
        </w:rPr>
      </w:pPr>
    </w:p>
    <w:p w:rsidR="00393885" w:rsidRPr="00BB585B" w:rsidRDefault="00A672DA" w:rsidP="00361287">
      <w:pPr>
        <w:pStyle w:val="ListParagraph1"/>
        <w:numPr>
          <w:ilvl w:val="0"/>
          <w:numId w:val="28"/>
        </w:numPr>
        <w:jc w:val="both"/>
        <w:rPr>
          <w:rFonts w:ascii="Times New Roman" w:hAnsi="Times New Roman"/>
          <w:sz w:val="24"/>
          <w:szCs w:val="24"/>
          <w:lang w:eastAsia="en-GB"/>
        </w:rPr>
      </w:pPr>
      <w:r w:rsidRPr="00BB585B">
        <w:rPr>
          <w:rFonts w:ascii="Times New Roman" w:hAnsi="Times New Roman"/>
          <w:sz w:val="24"/>
          <w:szCs w:val="24"/>
          <w:lang w:eastAsia="en-GB"/>
        </w:rPr>
        <w:t xml:space="preserve">Support </w:t>
      </w:r>
      <w:r w:rsidR="00E579E7">
        <w:rPr>
          <w:rFonts w:ascii="Times New Roman" w:hAnsi="Times New Roman"/>
          <w:sz w:val="24"/>
          <w:szCs w:val="24"/>
          <w:lang w:eastAsia="en-GB"/>
        </w:rPr>
        <w:t xml:space="preserve">civil society in furthering </w:t>
      </w:r>
      <w:r w:rsidR="004C5A05" w:rsidRPr="00BB585B">
        <w:rPr>
          <w:rFonts w:ascii="Times New Roman" w:hAnsi="Times New Roman"/>
          <w:b/>
          <w:sz w:val="24"/>
          <w:szCs w:val="24"/>
          <w:lang w:eastAsia="en-GB"/>
        </w:rPr>
        <w:t xml:space="preserve">EU </w:t>
      </w:r>
      <w:r w:rsidRPr="00BB585B">
        <w:rPr>
          <w:rFonts w:ascii="Times New Roman" w:hAnsi="Times New Roman"/>
          <w:b/>
          <w:sz w:val="24"/>
          <w:szCs w:val="24"/>
          <w:lang w:eastAsia="en-GB"/>
        </w:rPr>
        <w:t>human rights priorities</w:t>
      </w:r>
      <w:r w:rsidR="00393885" w:rsidRPr="00BB585B">
        <w:rPr>
          <w:rFonts w:ascii="Times New Roman" w:hAnsi="Times New Roman"/>
          <w:sz w:val="24"/>
          <w:szCs w:val="24"/>
          <w:lang w:eastAsia="en-GB"/>
        </w:rPr>
        <w:t xml:space="preserve"> in third countries</w:t>
      </w:r>
    </w:p>
    <w:p w:rsidR="00393885" w:rsidRPr="00BB585B" w:rsidRDefault="00393885" w:rsidP="00361287">
      <w:pPr>
        <w:pStyle w:val="ListParagraph1"/>
        <w:jc w:val="both"/>
        <w:rPr>
          <w:rFonts w:ascii="Times New Roman" w:hAnsi="Times New Roman"/>
          <w:sz w:val="24"/>
          <w:szCs w:val="24"/>
          <w:lang w:eastAsia="en-GB"/>
        </w:rPr>
      </w:pPr>
    </w:p>
    <w:p w:rsidR="004C5A05" w:rsidRPr="00BB585B" w:rsidRDefault="004C5A05" w:rsidP="00361287">
      <w:pPr>
        <w:pStyle w:val="ListParagraph1"/>
        <w:jc w:val="both"/>
        <w:rPr>
          <w:rFonts w:ascii="Times New Roman" w:hAnsi="Times New Roman"/>
          <w:sz w:val="24"/>
          <w:szCs w:val="24"/>
          <w:lang w:eastAsia="en-GB"/>
        </w:rPr>
      </w:pPr>
      <w:r w:rsidRPr="00AE61A3">
        <w:rPr>
          <w:rFonts w:ascii="Times New Roman" w:hAnsi="Times New Roman"/>
          <w:sz w:val="24"/>
          <w:szCs w:val="24"/>
          <w:lang w:eastAsia="en-GB"/>
        </w:rPr>
        <w:t>Th</w:t>
      </w:r>
      <w:r w:rsidR="00675CE8" w:rsidRPr="00361287">
        <w:rPr>
          <w:rFonts w:ascii="Times New Roman" w:hAnsi="Times New Roman"/>
          <w:sz w:val="24"/>
          <w:szCs w:val="24"/>
          <w:lang w:eastAsia="en-GB"/>
        </w:rPr>
        <w:t xml:space="preserve">is objective will tackle </w:t>
      </w:r>
      <w:r w:rsidRPr="00361287">
        <w:rPr>
          <w:rFonts w:ascii="Times New Roman" w:hAnsi="Times New Roman"/>
          <w:sz w:val="24"/>
          <w:szCs w:val="24"/>
          <w:lang w:eastAsia="en-GB"/>
        </w:rPr>
        <w:t>fight against death penalty and torture/ill treatment, fight against discrimination in all its forms with a focus on</w:t>
      </w:r>
      <w:r w:rsidR="00CC0D43">
        <w:rPr>
          <w:rFonts w:ascii="Times New Roman" w:hAnsi="Times New Roman"/>
          <w:sz w:val="24"/>
          <w:szCs w:val="24"/>
          <w:lang w:eastAsia="en-GB"/>
        </w:rPr>
        <w:t xml:space="preserve"> women and</w:t>
      </w:r>
      <w:r w:rsidRPr="00361287">
        <w:rPr>
          <w:rFonts w:ascii="Times New Roman" w:hAnsi="Times New Roman"/>
          <w:sz w:val="24"/>
          <w:szCs w:val="24"/>
          <w:lang w:eastAsia="en-GB"/>
        </w:rPr>
        <w:t xml:space="preserve"> the most vulnerable groups (LGBTI, indigenous peoples, children, migrants</w:t>
      </w:r>
      <w:r w:rsidR="00AE61A3" w:rsidRPr="00361287">
        <w:rPr>
          <w:rFonts w:ascii="Times New Roman" w:hAnsi="Times New Roman"/>
          <w:sz w:val="24"/>
          <w:szCs w:val="24"/>
          <w:lang w:eastAsia="en-GB"/>
        </w:rPr>
        <w:t>/refugees/IDPs, stateless people</w:t>
      </w:r>
      <w:r w:rsidRPr="00361287">
        <w:rPr>
          <w:rFonts w:ascii="Times New Roman" w:hAnsi="Times New Roman"/>
          <w:sz w:val="24"/>
          <w:szCs w:val="24"/>
          <w:lang w:eastAsia="en-GB"/>
        </w:rPr>
        <w:t xml:space="preserve"> and other discriminated groups and minorities), promotion of freedom of religion or belief, </w:t>
      </w:r>
      <w:r w:rsidR="00AE61A3" w:rsidRPr="00361287">
        <w:rPr>
          <w:rFonts w:ascii="Times New Roman" w:hAnsi="Times New Roman"/>
          <w:sz w:val="24"/>
          <w:szCs w:val="24"/>
          <w:lang w:eastAsia="en-GB"/>
        </w:rPr>
        <w:t>economic, social and cultural</w:t>
      </w:r>
      <w:r w:rsidR="00393885" w:rsidRPr="00361287">
        <w:rPr>
          <w:rFonts w:ascii="Times New Roman" w:hAnsi="Times New Roman"/>
          <w:sz w:val="24"/>
          <w:szCs w:val="24"/>
          <w:lang w:eastAsia="en-GB"/>
        </w:rPr>
        <w:t xml:space="preserve"> rights</w:t>
      </w:r>
      <w:r w:rsidR="00AE61A3" w:rsidRPr="00361287">
        <w:rPr>
          <w:rFonts w:ascii="Times New Roman" w:hAnsi="Times New Roman"/>
          <w:sz w:val="24"/>
          <w:szCs w:val="24"/>
          <w:lang w:eastAsia="en-GB"/>
        </w:rPr>
        <w:t xml:space="preserve"> (including</w:t>
      </w:r>
      <w:r w:rsidR="00AE61A3" w:rsidRPr="00AE61A3">
        <w:rPr>
          <w:rFonts w:ascii="Times New Roman" w:hAnsi="Times New Roman"/>
          <w:sz w:val="24"/>
          <w:szCs w:val="24"/>
          <w:lang w:eastAsia="en-GB"/>
        </w:rPr>
        <w:t xml:space="preserve"> </w:t>
      </w:r>
      <w:r w:rsidR="00AE61A3" w:rsidRPr="00361287">
        <w:rPr>
          <w:rFonts w:ascii="Times New Roman" w:hAnsi="Times New Roman"/>
          <w:sz w:val="24"/>
          <w:szCs w:val="24"/>
          <w:lang w:eastAsia="en-GB"/>
        </w:rPr>
        <w:t>the responsibility of business)</w:t>
      </w:r>
      <w:r w:rsidR="00904716" w:rsidRPr="00361287">
        <w:rPr>
          <w:rFonts w:ascii="Times New Roman" w:hAnsi="Times New Roman"/>
          <w:sz w:val="24"/>
          <w:szCs w:val="24"/>
          <w:lang w:eastAsia="en-GB"/>
        </w:rPr>
        <w:t xml:space="preserve">, </w:t>
      </w:r>
      <w:r w:rsidRPr="00361287">
        <w:rPr>
          <w:rFonts w:ascii="Times New Roman" w:hAnsi="Times New Roman"/>
          <w:sz w:val="24"/>
          <w:szCs w:val="24"/>
          <w:lang w:eastAsia="en-GB"/>
        </w:rPr>
        <w:t>fight against impunity and promotion of accountability</w:t>
      </w:r>
      <w:r w:rsidR="00904716" w:rsidRPr="00361287">
        <w:rPr>
          <w:rFonts w:ascii="Times New Roman" w:hAnsi="Times New Roman"/>
          <w:sz w:val="24"/>
          <w:szCs w:val="24"/>
          <w:lang w:eastAsia="en-GB"/>
        </w:rPr>
        <w:t xml:space="preserve">, and </w:t>
      </w:r>
      <w:r w:rsidR="00AE61A3" w:rsidRPr="00361287">
        <w:rPr>
          <w:rFonts w:ascii="Times New Roman" w:hAnsi="Times New Roman"/>
          <w:sz w:val="24"/>
          <w:szCs w:val="24"/>
          <w:lang w:eastAsia="en-GB"/>
        </w:rPr>
        <w:t xml:space="preserve">upholding </w:t>
      </w:r>
      <w:r w:rsidR="00AE61A3" w:rsidRPr="00DB6463">
        <w:rPr>
          <w:rStyle w:val="Bodytext2Bold"/>
          <w:b w:val="0"/>
          <w:sz w:val="24"/>
          <w:szCs w:val="24"/>
          <w:lang w:val="en-US"/>
        </w:rPr>
        <w:t>of international humanitarian law and the responsibility to protect</w:t>
      </w:r>
      <w:r w:rsidR="00904716" w:rsidRPr="00DB6463">
        <w:rPr>
          <w:rFonts w:ascii="Times New Roman" w:hAnsi="Times New Roman"/>
          <w:sz w:val="24"/>
          <w:szCs w:val="24"/>
          <w:lang w:eastAsia="en-GB"/>
        </w:rPr>
        <w:t>.</w:t>
      </w:r>
    </w:p>
    <w:p w:rsidR="004C5A05" w:rsidRPr="00BB585B" w:rsidRDefault="004C5A05" w:rsidP="00361287">
      <w:pPr>
        <w:pStyle w:val="ListParagraph1"/>
        <w:jc w:val="both"/>
        <w:rPr>
          <w:rFonts w:ascii="Times New Roman" w:hAnsi="Times New Roman"/>
          <w:sz w:val="24"/>
          <w:szCs w:val="24"/>
          <w:lang w:eastAsia="en-GB"/>
        </w:rPr>
      </w:pPr>
    </w:p>
    <w:p w:rsidR="00393885" w:rsidRPr="005071E1" w:rsidRDefault="00A672DA" w:rsidP="00361287">
      <w:pPr>
        <w:pStyle w:val="ListParagraph1"/>
        <w:numPr>
          <w:ilvl w:val="0"/>
          <w:numId w:val="28"/>
        </w:numPr>
        <w:jc w:val="both"/>
        <w:rPr>
          <w:rFonts w:ascii="Times New Roman" w:hAnsi="Times New Roman"/>
          <w:sz w:val="24"/>
          <w:szCs w:val="24"/>
          <w:lang w:eastAsia="en-GB"/>
        </w:rPr>
      </w:pPr>
      <w:r w:rsidRPr="005071E1">
        <w:rPr>
          <w:rFonts w:ascii="Times New Roman" w:hAnsi="Times New Roman"/>
          <w:sz w:val="24"/>
          <w:szCs w:val="24"/>
          <w:lang w:eastAsia="en-GB"/>
        </w:rPr>
        <w:t xml:space="preserve">Support </w:t>
      </w:r>
      <w:r w:rsidR="00E579E7" w:rsidRPr="005071E1">
        <w:rPr>
          <w:rFonts w:ascii="Times New Roman" w:hAnsi="Times New Roman"/>
          <w:sz w:val="24"/>
          <w:szCs w:val="24"/>
          <w:lang w:eastAsia="en-GB"/>
        </w:rPr>
        <w:t xml:space="preserve">civil society in strengthening </w:t>
      </w:r>
      <w:r w:rsidRPr="005071E1">
        <w:rPr>
          <w:rFonts w:ascii="Times New Roman" w:hAnsi="Times New Roman"/>
          <w:b/>
          <w:sz w:val="24"/>
          <w:szCs w:val="24"/>
          <w:lang w:eastAsia="en-GB"/>
        </w:rPr>
        <w:t>democracy</w:t>
      </w:r>
      <w:r w:rsidR="00393885" w:rsidRPr="005071E1">
        <w:rPr>
          <w:rFonts w:ascii="Times New Roman" w:hAnsi="Times New Roman"/>
          <w:sz w:val="24"/>
          <w:szCs w:val="24"/>
          <w:lang w:eastAsia="en-GB"/>
        </w:rPr>
        <w:t xml:space="preserve"> in third countries</w:t>
      </w:r>
    </w:p>
    <w:p w:rsidR="00393885" w:rsidRPr="005071E1" w:rsidRDefault="00393885" w:rsidP="00361287">
      <w:pPr>
        <w:pStyle w:val="ListParagraph1"/>
        <w:jc w:val="both"/>
        <w:rPr>
          <w:rFonts w:ascii="Times New Roman" w:hAnsi="Times New Roman"/>
          <w:sz w:val="24"/>
          <w:szCs w:val="24"/>
          <w:lang w:eastAsia="en-GB"/>
        </w:rPr>
      </w:pPr>
    </w:p>
    <w:p w:rsidR="00734003" w:rsidRPr="004C5A05" w:rsidRDefault="00393885" w:rsidP="00361287">
      <w:pPr>
        <w:pStyle w:val="ListParagraph1"/>
        <w:jc w:val="both"/>
        <w:rPr>
          <w:lang w:eastAsia="en-GB"/>
        </w:rPr>
      </w:pPr>
      <w:r w:rsidRPr="005071E1">
        <w:rPr>
          <w:rFonts w:ascii="Times New Roman" w:hAnsi="Times New Roman"/>
          <w:sz w:val="24"/>
          <w:szCs w:val="24"/>
          <w:lang w:eastAsia="en-GB"/>
        </w:rPr>
        <w:t>This objective will include promotion and protection of fundamental freedoms (in particular freedom of expression, freedom of assembly and association), actions aiming at strengthening pluralism in political life and fostering the participation of citizens in decision-making, actions tending to increase accountability, oversight and transparency, and civil society activities related to elections and follow-up to election observation missions</w:t>
      </w:r>
      <w:r w:rsidRPr="005071E1">
        <w:rPr>
          <w:lang w:eastAsia="en-GB"/>
        </w:rPr>
        <w:t>.</w:t>
      </w:r>
    </w:p>
    <w:p w:rsidR="00A672DA" w:rsidRDefault="00A672DA" w:rsidP="00904716">
      <w:pPr>
        <w:spacing w:before="0" w:after="0"/>
        <w:rPr>
          <w:szCs w:val="22"/>
          <w:lang w:eastAsia="en-GB"/>
        </w:rPr>
      </w:pPr>
    </w:p>
    <w:p w:rsidR="00870A86" w:rsidRPr="00AF4088" w:rsidRDefault="00870A86" w:rsidP="00727745">
      <w:pPr>
        <w:spacing w:before="0" w:after="0"/>
        <w:rPr>
          <w:szCs w:val="22"/>
          <w:lang w:eastAsia="en-GB"/>
        </w:rPr>
      </w:pPr>
      <w:r w:rsidRPr="00AF4088">
        <w:rPr>
          <w:szCs w:val="22"/>
          <w:lang w:eastAsia="en-GB"/>
        </w:rPr>
        <w:t xml:space="preserve">The action will aim at achieving the following </w:t>
      </w:r>
      <w:r w:rsidRPr="00AF4088">
        <w:rPr>
          <w:b/>
          <w:szCs w:val="22"/>
          <w:lang w:eastAsia="en-GB"/>
        </w:rPr>
        <w:t>results</w:t>
      </w:r>
      <w:r w:rsidRPr="00AF4088">
        <w:rPr>
          <w:szCs w:val="22"/>
          <w:lang w:eastAsia="en-GB"/>
        </w:rPr>
        <w:t>:</w:t>
      </w:r>
    </w:p>
    <w:p w:rsidR="00656F05" w:rsidRPr="008A1211" w:rsidRDefault="00656F05" w:rsidP="00820B8F">
      <w:pPr>
        <w:pStyle w:val="ListParagraph"/>
        <w:numPr>
          <w:ilvl w:val="0"/>
          <w:numId w:val="31"/>
        </w:numPr>
        <w:spacing w:before="0" w:after="0"/>
        <w:rPr>
          <w:szCs w:val="22"/>
          <w:lang w:eastAsia="en-GB"/>
        </w:rPr>
      </w:pPr>
      <w:r w:rsidRPr="00656F05">
        <w:rPr>
          <w:szCs w:val="22"/>
          <w:lang w:eastAsia="en-GB"/>
        </w:rPr>
        <w:t>An estimate</w:t>
      </w:r>
      <w:r>
        <w:rPr>
          <w:szCs w:val="22"/>
          <w:lang w:eastAsia="en-GB"/>
        </w:rPr>
        <w:t>d</w:t>
      </w:r>
      <w:r w:rsidRPr="00656F05">
        <w:rPr>
          <w:szCs w:val="22"/>
          <w:lang w:eastAsia="en-GB"/>
        </w:rPr>
        <w:t xml:space="preserve"> number of 850 projects targeting the three priority areas detailed </w:t>
      </w:r>
      <w:r>
        <w:rPr>
          <w:szCs w:val="22"/>
          <w:lang w:eastAsia="en-GB"/>
        </w:rPr>
        <w:t xml:space="preserve">above </w:t>
      </w:r>
      <w:r w:rsidRPr="008A1211">
        <w:rPr>
          <w:szCs w:val="22"/>
          <w:lang w:eastAsia="en-GB"/>
        </w:rPr>
        <w:t xml:space="preserve">will be </w:t>
      </w:r>
      <w:r>
        <w:rPr>
          <w:szCs w:val="22"/>
          <w:lang w:eastAsia="en-GB"/>
        </w:rPr>
        <w:t xml:space="preserve">supported worldwide </w:t>
      </w:r>
      <w:r w:rsidRPr="008A1211">
        <w:rPr>
          <w:szCs w:val="22"/>
          <w:lang w:eastAsia="en-GB"/>
        </w:rPr>
        <w:t>over the period 2018-202</w:t>
      </w:r>
      <w:r w:rsidR="006856C2">
        <w:rPr>
          <w:szCs w:val="22"/>
          <w:lang w:eastAsia="en-GB"/>
        </w:rPr>
        <w:t>0</w:t>
      </w:r>
      <w:r w:rsidRPr="008A1211">
        <w:rPr>
          <w:szCs w:val="22"/>
          <w:lang w:eastAsia="en-GB"/>
        </w:rPr>
        <w:t>;</w:t>
      </w:r>
    </w:p>
    <w:p w:rsidR="00870A86" w:rsidRPr="00DF4368" w:rsidRDefault="00870A86" w:rsidP="00361287">
      <w:pPr>
        <w:pStyle w:val="ListParagraph"/>
        <w:numPr>
          <w:ilvl w:val="0"/>
          <w:numId w:val="31"/>
        </w:numPr>
        <w:spacing w:before="0" w:after="0"/>
        <w:rPr>
          <w:szCs w:val="22"/>
          <w:lang w:eastAsia="en-GB"/>
        </w:rPr>
      </w:pPr>
      <w:r w:rsidRPr="00E579E7">
        <w:rPr>
          <w:szCs w:val="22"/>
          <w:lang w:eastAsia="en-GB"/>
        </w:rPr>
        <w:t xml:space="preserve">Capacities of </w:t>
      </w:r>
      <w:r w:rsidR="007A7216" w:rsidRPr="00DF4368">
        <w:rPr>
          <w:szCs w:val="22"/>
          <w:lang w:eastAsia="en-GB"/>
        </w:rPr>
        <w:t>l</w:t>
      </w:r>
      <w:r w:rsidRPr="00DF4368">
        <w:rPr>
          <w:szCs w:val="22"/>
          <w:lang w:eastAsia="en-GB"/>
        </w:rPr>
        <w:t>ocal civil society organisations active in the human rights and democratic governance areas will be strengthened</w:t>
      </w:r>
    </w:p>
    <w:p w:rsidR="003102CA" w:rsidRDefault="007A7216" w:rsidP="00361287">
      <w:pPr>
        <w:pStyle w:val="ListParagraph"/>
        <w:numPr>
          <w:ilvl w:val="0"/>
          <w:numId w:val="31"/>
        </w:numPr>
        <w:spacing w:before="0" w:after="0"/>
        <w:rPr>
          <w:szCs w:val="22"/>
          <w:lang w:eastAsia="en-GB"/>
        </w:rPr>
      </w:pPr>
      <w:r w:rsidRPr="00DF4368">
        <w:rPr>
          <w:szCs w:val="22"/>
          <w:lang w:eastAsia="en-GB"/>
        </w:rPr>
        <w:t xml:space="preserve">Country-specific </w:t>
      </w:r>
      <w:r w:rsidR="003102CA" w:rsidRPr="00DF4368">
        <w:rPr>
          <w:szCs w:val="22"/>
          <w:lang w:eastAsia="en-GB"/>
        </w:rPr>
        <w:t>human rights</w:t>
      </w:r>
      <w:r w:rsidRPr="00DF4368">
        <w:rPr>
          <w:szCs w:val="22"/>
          <w:lang w:eastAsia="en-GB"/>
        </w:rPr>
        <w:t xml:space="preserve"> and democracy</w:t>
      </w:r>
      <w:r w:rsidR="003102CA" w:rsidRPr="00DF4368">
        <w:rPr>
          <w:szCs w:val="22"/>
          <w:lang w:eastAsia="en-GB"/>
        </w:rPr>
        <w:t xml:space="preserve"> </w:t>
      </w:r>
      <w:r w:rsidR="008D2D4C" w:rsidRPr="00DF4368">
        <w:rPr>
          <w:szCs w:val="22"/>
          <w:lang w:eastAsia="en-GB"/>
        </w:rPr>
        <w:t xml:space="preserve">related </w:t>
      </w:r>
      <w:r w:rsidR="003102CA" w:rsidRPr="00DF4368">
        <w:rPr>
          <w:szCs w:val="22"/>
          <w:lang w:eastAsia="en-GB"/>
        </w:rPr>
        <w:t xml:space="preserve">issues will be addressed </w:t>
      </w:r>
      <w:r w:rsidRPr="00DF4368">
        <w:rPr>
          <w:szCs w:val="22"/>
          <w:lang w:eastAsia="en-GB"/>
        </w:rPr>
        <w:t xml:space="preserve">at the local level, </w:t>
      </w:r>
      <w:r w:rsidR="001041E0" w:rsidRPr="007F240D">
        <w:rPr>
          <w:szCs w:val="22"/>
          <w:lang w:eastAsia="en-GB"/>
        </w:rPr>
        <w:t>with a focus on the</w:t>
      </w:r>
      <w:r w:rsidRPr="007F240D">
        <w:rPr>
          <w:szCs w:val="22"/>
          <w:lang w:eastAsia="en-GB"/>
        </w:rPr>
        <w:t xml:space="preserve"> most sensitive </w:t>
      </w:r>
      <w:r w:rsidR="001041E0" w:rsidRPr="007F240D">
        <w:rPr>
          <w:szCs w:val="22"/>
          <w:lang w:eastAsia="en-GB"/>
        </w:rPr>
        <w:t>aspects</w:t>
      </w:r>
      <w:r w:rsidRPr="007F240D">
        <w:rPr>
          <w:szCs w:val="22"/>
          <w:lang w:eastAsia="en-GB"/>
        </w:rPr>
        <w:t xml:space="preserve"> by </w:t>
      </w:r>
      <w:r w:rsidR="003102CA" w:rsidRPr="007F240D">
        <w:rPr>
          <w:szCs w:val="22"/>
          <w:lang w:eastAsia="en-GB"/>
        </w:rPr>
        <w:t xml:space="preserve">making full use of the EIDHR added value in complementarity </w:t>
      </w:r>
      <w:r w:rsidR="001F121A" w:rsidRPr="00656F05">
        <w:rPr>
          <w:szCs w:val="22"/>
          <w:lang w:eastAsia="en-GB"/>
        </w:rPr>
        <w:t>to</w:t>
      </w:r>
      <w:r w:rsidR="003102CA" w:rsidRPr="00656F05">
        <w:rPr>
          <w:szCs w:val="22"/>
          <w:lang w:eastAsia="en-GB"/>
        </w:rPr>
        <w:t xml:space="preserve"> other instruments</w:t>
      </w:r>
    </w:p>
    <w:p w:rsidR="00DF4368" w:rsidRPr="008A1211" w:rsidRDefault="00DF4368" w:rsidP="00361287">
      <w:pPr>
        <w:pStyle w:val="ListParagraph"/>
        <w:numPr>
          <w:ilvl w:val="0"/>
          <w:numId w:val="31"/>
        </w:numPr>
        <w:spacing w:before="0" w:after="0"/>
        <w:rPr>
          <w:szCs w:val="22"/>
          <w:lang w:eastAsia="en-GB"/>
        </w:rPr>
      </w:pPr>
      <w:r w:rsidRPr="008A1211">
        <w:rPr>
          <w:szCs w:val="22"/>
          <w:lang w:eastAsia="en-GB"/>
        </w:rPr>
        <w:t xml:space="preserve">The civic and </w:t>
      </w:r>
      <w:r>
        <w:rPr>
          <w:szCs w:val="22"/>
          <w:lang w:eastAsia="en-GB"/>
        </w:rPr>
        <w:t xml:space="preserve">political </w:t>
      </w:r>
      <w:r w:rsidRPr="008A1211">
        <w:rPr>
          <w:szCs w:val="22"/>
          <w:lang w:eastAsia="en-GB"/>
        </w:rPr>
        <w:t>space in partner countries will become more resilient</w:t>
      </w:r>
    </w:p>
    <w:p w:rsidR="00DF4368" w:rsidRPr="00DF4368" w:rsidRDefault="00DF4368" w:rsidP="00361287">
      <w:pPr>
        <w:pStyle w:val="ListParagraph"/>
        <w:spacing w:before="0" w:after="0"/>
        <w:rPr>
          <w:szCs w:val="22"/>
          <w:lang w:eastAsia="en-GB"/>
        </w:rPr>
      </w:pPr>
    </w:p>
    <w:p w:rsidR="00281FC9" w:rsidRPr="007F240D" w:rsidRDefault="00281FC9" w:rsidP="00361287">
      <w:pPr>
        <w:spacing w:before="0" w:after="0"/>
        <w:rPr>
          <w:lang w:eastAsia="en-GB"/>
        </w:rPr>
      </w:pPr>
      <w:r>
        <w:rPr>
          <w:szCs w:val="22"/>
          <w:lang w:eastAsia="en-GB"/>
        </w:rPr>
        <w:t xml:space="preserve">All actions will be in line </w:t>
      </w:r>
      <w:r w:rsidRPr="00327359">
        <w:rPr>
          <w:szCs w:val="22"/>
          <w:lang w:eastAsia="en-GB"/>
        </w:rPr>
        <w:t xml:space="preserve">with </w:t>
      </w:r>
      <w:r w:rsidRPr="00347D18">
        <w:t>the objectives 1, 2 and 3 of the EIDHR Regulation 2014-2020</w:t>
      </w:r>
      <w:r>
        <w:t xml:space="preserve"> and </w:t>
      </w:r>
      <w:r w:rsidRPr="00347D18">
        <w:t>the EIDHR Multiannual Indicative Programme 2018-2020, with t</w:t>
      </w:r>
      <w:r w:rsidRPr="00347D18">
        <w:rPr>
          <w:szCs w:val="22"/>
          <w:lang w:eastAsia="en-GB"/>
        </w:rPr>
        <w:t xml:space="preserve">he local priorities set </w:t>
      </w:r>
      <w:r w:rsidRPr="00347D18">
        <w:rPr>
          <w:szCs w:val="22"/>
          <w:lang w:eastAsia="en-GB"/>
        </w:rPr>
        <w:lastRenderedPageBreak/>
        <w:t xml:space="preserve">under the </w:t>
      </w:r>
      <w:r w:rsidRPr="0029755D">
        <w:rPr>
          <w:szCs w:val="22"/>
          <w:lang w:eastAsia="en-GB"/>
        </w:rPr>
        <w:t>Human Rights and Democracy Country Strategies,</w:t>
      </w:r>
      <w:r>
        <w:rPr>
          <w:szCs w:val="22"/>
          <w:lang w:eastAsia="en-GB"/>
        </w:rPr>
        <w:t xml:space="preserve"> </w:t>
      </w:r>
      <w:r w:rsidRPr="006412B2">
        <w:rPr>
          <w:lang w:eastAsia="en-GB"/>
        </w:rPr>
        <w:t>with the EU human rights guidelines</w:t>
      </w:r>
      <w:r w:rsidR="00DF4368">
        <w:rPr>
          <w:lang w:eastAsia="en-GB"/>
        </w:rPr>
        <w:t xml:space="preserve">, and in respect of the rights-based approach encompassing all human </w:t>
      </w:r>
      <w:r w:rsidR="00DF4368" w:rsidRPr="00DF4368">
        <w:rPr>
          <w:lang w:eastAsia="en-GB"/>
        </w:rPr>
        <w:t>rights</w:t>
      </w:r>
      <w:r w:rsidR="00E579E7" w:rsidRPr="007F240D">
        <w:rPr>
          <w:lang w:eastAsia="en-GB"/>
        </w:rPr>
        <w:t xml:space="preserve">. </w:t>
      </w:r>
    </w:p>
    <w:p w:rsidR="00281FC9" w:rsidRPr="00BB585B" w:rsidRDefault="00281FC9" w:rsidP="00361287">
      <w:pPr>
        <w:spacing w:before="0" w:after="0"/>
        <w:rPr>
          <w:szCs w:val="22"/>
          <w:lang w:eastAsia="en-GB"/>
        </w:rPr>
      </w:pPr>
    </w:p>
    <w:p w:rsidR="00216FCA" w:rsidRDefault="001A1AF2" w:rsidP="00361287">
      <w:pPr>
        <w:spacing w:before="0" w:after="0"/>
        <w:rPr>
          <w:szCs w:val="22"/>
          <w:lang w:eastAsia="en-GB"/>
        </w:rPr>
      </w:pPr>
      <w:r w:rsidRPr="00BB585B">
        <w:rPr>
          <w:szCs w:val="22"/>
          <w:lang w:eastAsia="en-GB"/>
        </w:rPr>
        <w:t>This programme is relevant for Agenda 2030. It contributes primarily to the progressive achievement of SDG 16: promote peaceful and inclusive societies for sustainable development, provide access to justice for all and build effective, accountable and inclusive institutions at all levels, but also promotes progress towards SDG 5: achieve gender equality and empower all women and girls.</w:t>
      </w:r>
    </w:p>
    <w:p w:rsidR="00393885" w:rsidRDefault="00393885" w:rsidP="00A672DA">
      <w:pPr>
        <w:spacing w:before="0" w:after="0"/>
        <w:rPr>
          <w:szCs w:val="22"/>
          <w:lang w:eastAsia="en-GB"/>
        </w:rPr>
      </w:pPr>
    </w:p>
    <w:p w:rsidR="00216FCA" w:rsidRPr="00630D5E" w:rsidRDefault="001A1AF2" w:rsidP="00C53B11">
      <w:pPr>
        <w:pStyle w:val="Heading2"/>
        <w:numPr>
          <w:ilvl w:val="0"/>
          <w:numId w:val="0"/>
        </w:numPr>
        <w:rPr>
          <w:color w:val="auto"/>
        </w:rPr>
      </w:pPr>
      <w:bookmarkStart w:id="40" w:name="DQCNUMB_19"/>
      <w:bookmarkStart w:id="41" w:name="DQCNUMB_20"/>
      <w:bookmarkEnd w:id="40"/>
      <w:bookmarkEnd w:id="41"/>
      <w:r w:rsidRPr="00630D5E">
        <w:rPr>
          <w:color w:val="auto"/>
        </w:rPr>
        <w:t>4.2</w:t>
      </w:r>
      <w:r w:rsidRPr="00630D5E">
        <w:rPr>
          <w:color w:val="auto"/>
        </w:rPr>
        <w:tab/>
        <w:t>Main activities</w:t>
      </w:r>
    </w:p>
    <w:p w:rsidR="00AF4088" w:rsidRDefault="000B1E61" w:rsidP="00BB585B">
      <w:pPr>
        <w:pStyle w:val="ListParagraph"/>
        <w:numPr>
          <w:ilvl w:val="0"/>
          <w:numId w:val="32"/>
        </w:numPr>
        <w:spacing w:before="0" w:after="0"/>
        <w:ind w:left="709"/>
        <w:rPr>
          <w:szCs w:val="22"/>
          <w:lang w:eastAsia="en-GB"/>
        </w:rPr>
      </w:pPr>
      <w:r w:rsidRPr="007F240D">
        <w:rPr>
          <w:szCs w:val="22"/>
          <w:lang w:eastAsia="en-GB"/>
        </w:rPr>
        <w:t xml:space="preserve">EU delegations will launch and process </w:t>
      </w:r>
      <w:r w:rsidR="0029755D">
        <w:rPr>
          <w:szCs w:val="22"/>
          <w:lang w:eastAsia="en-GB"/>
        </w:rPr>
        <w:t>approximately</w:t>
      </w:r>
      <w:r w:rsidR="00AF4088" w:rsidRPr="007F240D">
        <w:rPr>
          <w:szCs w:val="22"/>
          <w:lang w:eastAsia="en-GB"/>
        </w:rPr>
        <w:t xml:space="preserve"> </w:t>
      </w:r>
      <w:r w:rsidR="008D2D4C" w:rsidRPr="00656F05">
        <w:rPr>
          <w:szCs w:val="22"/>
          <w:lang w:eastAsia="en-GB"/>
        </w:rPr>
        <w:t>300</w:t>
      </w:r>
      <w:r w:rsidR="00AF4088" w:rsidRPr="00656F05">
        <w:rPr>
          <w:szCs w:val="22"/>
          <w:lang w:eastAsia="en-GB"/>
        </w:rPr>
        <w:t xml:space="preserve"> EIDHR CBSS calls for proposals, using to the extent </w:t>
      </w:r>
      <w:r w:rsidR="007F240D" w:rsidRPr="00656F05">
        <w:rPr>
          <w:szCs w:val="22"/>
          <w:lang w:eastAsia="en-GB"/>
        </w:rPr>
        <w:t xml:space="preserve">possible the </w:t>
      </w:r>
      <w:r w:rsidR="00AF4088" w:rsidRPr="00656F05">
        <w:rPr>
          <w:szCs w:val="22"/>
          <w:lang w:eastAsia="en-GB"/>
        </w:rPr>
        <w:t>existing flexibilities of the EIDHR</w:t>
      </w:r>
      <w:r w:rsidR="007F240D" w:rsidRPr="00656F05">
        <w:rPr>
          <w:szCs w:val="22"/>
          <w:lang w:eastAsia="en-GB"/>
        </w:rPr>
        <w:t>,</w:t>
      </w:r>
      <w:r w:rsidR="00AF4088" w:rsidRPr="00656F05">
        <w:rPr>
          <w:szCs w:val="22"/>
          <w:lang w:eastAsia="en-GB"/>
        </w:rPr>
        <w:t xml:space="preserve"> such as pooling of funds to reduce transactions costs;</w:t>
      </w:r>
    </w:p>
    <w:p w:rsidR="00656F05" w:rsidRPr="00656F05" w:rsidRDefault="00656F05" w:rsidP="00BB585B">
      <w:pPr>
        <w:pStyle w:val="ListParagraph"/>
        <w:numPr>
          <w:ilvl w:val="0"/>
          <w:numId w:val="32"/>
        </w:numPr>
        <w:spacing w:before="0" w:after="0"/>
        <w:ind w:left="709"/>
        <w:rPr>
          <w:szCs w:val="22"/>
          <w:lang w:eastAsia="en-GB"/>
        </w:rPr>
      </w:pPr>
      <w:r>
        <w:rPr>
          <w:szCs w:val="22"/>
          <w:lang w:eastAsia="en-GB"/>
        </w:rPr>
        <w:t xml:space="preserve">In situations where calls for proposals are impossible or </w:t>
      </w:r>
      <w:r w:rsidR="0029755D">
        <w:rPr>
          <w:szCs w:val="22"/>
          <w:lang w:eastAsia="en-GB"/>
        </w:rPr>
        <w:t>difficult to organise given the local context</w:t>
      </w:r>
      <w:r>
        <w:rPr>
          <w:szCs w:val="22"/>
          <w:lang w:eastAsia="en-GB"/>
        </w:rPr>
        <w:t>, EU delegations will directly award contracts in support of the objectives of this action</w:t>
      </w:r>
      <w:r w:rsidR="0029755D">
        <w:rPr>
          <w:szCs w:val="22"/>
          <w:lang w:eastAsia="en-GB"/>
        </w:rPr>
        <w:t xml:space="preserve"> in line with EU rules and procedures</w:t>
      </w:r>
      <w:r>
        <w:rPr>
          <w:szCs w:val="22"/>
          <w:lang w:eastAsia="en-GB"/>
        </w:rPr>
        <w:t>.</w:t>
      </w:r>
    </w:p>
    <w:p w:rsidR="008D2D4C" w:rsidRDefault="008D2D4C" w:rsidP="007475B9">
      <w:pPr>
        <w:spacing w:before="0" w:after="0"/>
        <w:rPr>
          <w:szCs w:val="22"/>
          <w:lang w:eastAsia="en-GB"/>
        </w:rPr>
      </w:pPr>
    </w:p>
    <w:p w:rsidR="00216FCA" w:rsidRPr="00BB585B" w:rsidRDefault="00075538">
      <w:pPr>
        <w:spacing w:after="0"/>
        <w:rPr>
          <w:szCs w:val="22"/>
          <w:lang w:eastAsia="en-GB"/>
        </w:rPr>
      </w:pPr>
      <w:r w:rsidRPr="00BB585B">
        <w:rPr>
          <w:szCs w:val="22"/>
          <w:lang w:eastAsia="en-GB"/>
        </w:rPr>
        <w:t xml:space="preserve">While </w:t>
      </w:r>
      <w:r w:rsidR="00656F05" w:rsidRPr="00BB585B">
        <w:rPr>
          <w:szCs w:val="22"/>
          <w:lang w:eastAsia="en-GB"/>
        </w:rPr>
        <w:t xml:space="preserve">the </w:t>
      </w:r>
      <w:r w:rsidRPr="00BB585B">
        <w:rPr>
          <w:szCs w:val="22"/>
          <w:lang w:eastAsia="en-GB"/>
        </w:rPr>
        <w:t>type of activities in support to the above priority areas are to be proposed by local civil society, t</w:t>
      </w:r>
      <w:r w:rsidR="000C4D0E" w:rsidRPr="00BB585B">
        <w:rPr>
          <w:szCs w:val="22"/>
          <w:lang w:eastAsia="en-GB"/>
        </w:rPr>
        <w:t xml:space="preserve">he following </w:t>
      </w:r>
      <w:r w:rsidRPr="00BB585B">
        <w:rPr>
          <w:szCs w:val="22"/>
          <w:lang w:eastAsia="en-GB"/>
        </w:rPr>
        <w:t xml:space="preserve">non-exhaustive list of examples </w:t>
      </w:r>
      <w:r w:rsidR="000C4D0E" w:rsidRPr="00BB585B">
        <w:rPr>
          <w:szCs w:val="22"/>
          <w:lang w:eastAsia="en-GB"/>
        </w:rPr>
        <w:t xml:space="preserve">can be </w:t>
      </w:r>
      <w:r w:rsidRPr="00BB585B">
        <w:rPr>
          <w:szCs w:val="22"/>
          <w:lang w:eastAsia="en-GB"/>
        </w:rPr>
        <w:t>given</w:t>
      </w:r>
      <w:r w:rsidR="001A1AF2" w:rsidRPr="00BB585B">
        <w:rPr>
          <w:szCs w:val="22"/>
          <w:lang w:eastAsia="en-GB"/>
        </w:rPr>
        <w:t>:</w:t>
      </w:r>
    </w:p>
    <w:p w:rsidR="00216FCA" w:rsidRPr="00904716" w:rsidRDefault="001A1AF2" w:rsidP="00361287">
      <w:pPr>
        <w:pStyle w:val="ListParagraph"/>
        <w:numPr>
          <w:ilvl w:val="0"/>
          <w:numId w:val="36"/>
        </w:numPr>
        <w:spacing w:after="0"/>
        <w:rPr>
          <w:szCs w:val="22"/>
          <w:lang w:eastAsia="en-GB"/>
        </w:rPr>
      </w:pPr>
      <w:r w:rsidRPr="00904716">
        <w:rPr>
          <w:szCs w:val="22"/>
          <w:lang w:eastAsia="en-GB"/>
        </w:rPr>
        <w:t>A</w:t>
      </w:r>
      <w:r w:rsidRPr="00BB585B">
        <w:t>dvocacy, lobbying and development of strategies by civil society organisations to push for legal reform, to influence policy-making, or to counter restrictions imposed by States on CSOs</w:t>
      </w:r>
      <w:r w:rsidR="00656F05" w:rsidRPr="00BB585B">
        <w:t xml:space="preserve"> and other non-state actors</w:t>
      </w:r>
      <w:r w:rsidRPr="00BB585B">
        <w:rPr>
          <w:lang w:eastAsia="en-GB"/>
        </w:rPr>
        <w:t>;</w:t>
      </w:r>
    </w:p>
    <w:p w:rsidR="00656F05" w:rsidRPr="00BB585B" w:rsidRDefault="00656F05" w:rsidP="00361287">
      <w:pPr>
        <w:pStyle w:val="ListParagraph"/>
        <w:numPr>
          <w:ilvl w:val="0"/>
          <w:numId w:val="36"/>
        </w:numPr>
        <w:spacing w:after="0"/>
      </w:pPr>
      <w:r w:rsidRPr="00BB585B">
        <w:t>Provision of psychosocial, medical, legal assistance and any other type of support ;</w:t>
      </w:r>
    </w:p>
    <w:p w:rsidR="00656F05" w:rsidRPr="00BB585B" w:rsidRDefault="00656F05" w:rsidP="00361287">
      <w:pPr>
        <w:pStyle w:val="ListParagraph"/>
        <w:numPr>
          <w:ilvl w:val="0"/>
          <w:numId w:val="36"/>
        </w:numPr>
        <w:spacing w:after="0"/>
      </w:pPr>
      <w:r w:rsidRPr="00BB585B">
        <w:t>Facilitating dialogue processes and mediation activities (such as inter-community, inter-faith and inter-cultural dialogues);</w:t>
      </w:r>
    </w:p>
    <w:p w:rsidR="00656F05" w:rsidRPr="00BB585B" w:rsidRDefault="00656F05" w:rsidP="00361287">
      <w:pPr>
        <w:pStyle w:val="ListParagraph"/>
        <w:numPr>
          <w:ilvl w:val="0"/>
          <w:numId w:val="36"/>
        </w:numPr>
        <w:spacing w:after="0"/>
      </w:pPr>
      <w:r w:rsidRPr="00BB585B">
        <w:t>Documenting and reporting on cases of human rights violations;</w:t>
      </w:r>
    </w:p>
    <w:p w:rsidR="00216FCA" w:rsidRPr="00BB585B" w:rsidRDefault="001A1AF2" w:rsidP="00361287">
      <w:pPr>
        <w:pStyle w:val="ListParagraph"/>
        <w:numPr>
          <w:ilvl w:val="0"/>
          <w:numId w:val="36"/>
        </w:numPr>
        <w:spacing w:after="0"/>
      </w:pPr>
      <w:r w:rsidRPr="00904716">
        <w:rPr>
          <w:szCs w:val="22"/>
          <w:lang w:eastAsia="en-GB"/>
        </w:rPr>
        <w:t xml:space="preserve">Promoting the signature, </w:t>
      </w:r>
      <w:r w:rsidRPr="00BB585B">
        <w:t>ratification and the effective implementation of the relevant international and regional human rights instruments;</w:t>
      </w:r>
    </w:p>
    <w:p w:rsidR="001F0864" w:rsidRPr="00BB585B" w:rsidRDefault="001F0864" w:rsidP="00361287">
      <w:pPr>
        <w:pStyle w:val="ListParagraph"/>
        <w:numPr>
          <w:ilvl w:val="0"/>
          <w:numId w:val="36"/>
        </w:numPr>
        <w:spacing w:after="0"/>
      </w:pPr>
      <w:r w:rsidRPr="00BB585B">
        <w:t xml:space="preserve">Monitoring of and reporting on </w:t>
      </w:r>
      <w:r w:rsidRPr="00904716">
        <w:rPr>
          <w:szCs w:val="22"/>
          <w:lang w:eastAsia="en-GB"/>
        </w:rPr>
        <w:t>the implementation of the international human rights instruments that the country has ratified;</w:t>
      </w:r>
    </w:p>
    <w:p w:rsidR="001F0864" w:rsidRPr="00904716" w:rsidRDefault="001F0864" w:rsidP="00361287">
      <w:pPr>
        <w:pStyle w:val="ListParagraph"/>
        <w:numPr>
          <w:ilvl w:val="0"/>
          <w:numId w:val="36"/>
        </w:numPr>
        <w:spacing w:after="0"/>
        <w:rPr>
          <w:szCs w:val="22"/>
        </w:rPr>
      </w:pPr>
      <w:r w:rsidRPr="00904716">
        <w:rPr>
          <w:szCs w:val="22"/>
        </w:rPr>
        <w:t xml:space="preserve">Supporting the collection of appropriate information, including statistical and research data, to enable governments to formulate and implement policies </w:t>
      </w:r>
    </w:p>
    <w:p w:rsidR="00216FCA" w:rsidRPr="00BB585B" w:rsidRDefault="001A1AF2" w:rsidP="00361287">
      <w:pPr>
        <w:pStyle w:val="ListParagraph"/>
        <w:numPr>
          <w:ilvl w:val="0"/>
          <w:numId w:val="36"/>
        </w:numPr>
        <w:spacing w:after="0"/>
      </w:pPr>
      <w:r w:rsidRPr="00BB585B">
        <w:t>Capacity-building through trainings of civil society organisations active in the human rights/democracy field and of human rights defenders;</w:t>
      </w:r>
    </w:p>
    <w:p w:rsidR="00216FCA" w:rsidRPr="00885036" w:rsidRDefault="001A1AF2" w:rsidP="00361287">
      <w:pPr>
        <w:pStyle w:val="ListParagraph"/>
        <w:numPr>
          <w:ilvl w:val="0"/>
          <w:numId w:val="36"/>
        </w:numPr>
        <w:spacing w:after="0"/>
      </w:pPr>
      <w:r w:rsidRPr="00BB585B">
        <w:t xml:space="preserve">Awareness-raising and </w:t>
      </w:r>
      <w:r w:rsidR="001F0864" w:rsidRPr="00904716">
        <w:rPr>
          <w:szCs w:val="22"/>
        </w:rPr>
        <w:t>communication campaigns to inform on specific</w:t>
      </w:r>
      <w:r w:rsidR="006856C2">
        <w:rPr>
          <w:szCs w:val="22"/>
        </w:rPr>
        <w:t xml:space="preserve"> </w:t>
      </w:r>
      <w:r w:rsidR="006856C2" w:rsidRPr="00885036">
        <w:rPr>
          <w:szCs w:val="22"/>
        </w:rPr>
        <w:t>democracy/</w:t>
      </w:r>
      <w:r w:rsidR="001F0864" w:rsidRPr="00885036">
        <w:rPr>
          <w:szCs w:val="22"/>
        </w:rPr>
        <w:t>human rights issues</w:t>
      </w:r>
      <w:r w:rsidRPr="00885036">
        <w:t>;</w:t>
      </w:r>
    </w:p>
    <w:p w:rsidR="001F0864" w:rsidRPr="00885036" w:rsidRDefault="001F0864" w:rsidP="00361287">
      <w:pPr>
        <w:pStyle w:val="ListParagraph"/>
        <w:numPr>
          <w:ilvl w:val="0"/>
          <w:numId w:val="36"/>
        </w:numPr>
        <w:spacing w:after="0"/>
        <w:rPr>
          <w:szCs w:val="22"/>
        </w:rPr>
      </w:pPr>
      <w:r w:rsidRPr="00885036">
        <w:rPr>
          <w:szCs w:val="22"/>
        </w:rPr>
        <w:t>Ensuring access to remedy for victims, accountability and prosecution of perpetrators</w:t>
      </w:r>
      <w:r w:rsidR="00B50810" w:rsidRPr="00885036">
        <w:rPr>
          <w:szCs w:val="22"/>
        </w:rPr>
        <w:t>;</w:t>
      </w:r>
    </w:p>
    <w:p w:rsidR="00904716" w:rsidRPr="0049585B" w:rsidRDefault="00AD312E" w:rsidP="00361287">
      <w:pPr>
        <w:pStyle w:val="ListParagraph"/>
        <w:numPr>
          <w:ilvl w:val="0"/>
          <w:numId w:val="36"/>
        </w:numPr>
        <w:spacing w:after="0"/>
        <w:rPr>
          <w:szCs w:val="22"/>
        </w:rPr>
      </w:pPr>
      <w:r w:rsidRPr="0049585B">
        <w:rPr>
          <w:szCs w:val="22"/>
        </w:rPr>
        <w:t xml:space="preserve">Promoting inclusive and strategic partnerships, networking and cooperation </w:t>
      </w:r>
      <w:r w:rsidR="00B50810" w:rsidRPr="0049585B">
        <w:rPr>
          <w:szCs w:val="22"/>
        </w:rPr>
        <w:t xml:space="preserve">with CSOs and other relevant </w:t>
      </w:r>
      <w:r w:rsidRPr="0049585B">
        <w:rPr>
          <w:szCs w:val="22"/>
        </w:rPr>
        <w:t>stakeholders</w:t>
      </w:r>
      <w:r w:rsidR="00885036" w:rsidRPr="0049585B">
        <w:rPr>
          <w:szCs w:val="22"/>
        </w:rPr>
        <w:t xml:space="preserve"> or among CSOs; </w:t>
      </w:r>
    </w:p>
    <w:p w:rsidR="00885036" w:rsidRPr="005071E1" w:rsidRDefault="00885036" w:rsidP="00885036">
      <w:pPr>
        <w:pStyle w:val="ListParagraph"/>
        <w:numPr>
          <w:ilvl w:val="0"/>
          <w:numId w:val="36"/>
        </w:numPr>
      </w:pPr>
      <w:r w:rsidRPr="005071E1">
        <w:t>Promoting accountability through CSO's activities to monitor and reform the electoral process, including implementation of electoral observers recommendations;</w:t>
      </w:r>
    </w:p>
    <w:p w:rsidR="00885036" w:rsidRPr="005071E1" w:rsidRDefault="00885036" w:rsidP="00885036">
      <w:pPr>
        <w:pStyle w:val="ListParagraph"/>
        <w:numPr>
          <w:ilvl w:val="0"/>
          <w:numId w:val="36"/>
        </w:numPr>
        <w:spacing w:after="0"/>
        <w:rPr>
          <w:szCs w:val="22"/>
        </w:rPr>
      </w:pPr>
      <w:r w:rsidRPr="005071E1">
        <w:t xml:space="preserve">Supporting CSOs and media in promoting accountability and transparency </w:t>
      </w:r>
      <w:r w:rsidR="001F2933" w:rsidRPr="005071E1">
        <w:t xml:space="preserve">at </w:t>
      </w:r>
      <w:r w:rsidRPr="005071E1">
        <w:t>national and local level;</w:t>
      </w:r>
    </w:p>
    <w:p w:rsidR="001F2933" w:rsidRDefault="001F2933" w:rsidP="00361287">
      <w:pPr>
        <w:pStyle w:val="ListParagraph"/>
        <w:numPr>
          <w:ilvl w:val="0"/>
          <w:numId w:val="36"/>
        </w:numPr>
        <w:spacing w:after="0"/>
        <w:rPr>
          <w:szCs w:val="22"/>
        </w:rPr>
      </w:pPr>
      <w:r>
        <w:rPr>
          <w:szCs w:val="22"/>
        </w:rPr>
        <w:t xml:space="preserve">Promoting greater contact and cooperation between civic and political actors, including fostering of structured dialogue mechanisms </w:t>
      </w:r>
    </w:p>
    <w:p w:rsidR="001F2933" w:rsidRDefault="001F2933" w:rsidP="00361287">
      <w:pPr>
        <w:pStyle w:val="ListParagraph"/>
        <w:numPr>
          <w:ilvl w:val="0"/>
          <w:numId w:val="36"/>
        </w:numPr>
        <w:spacing w:after="0"/>
        <w:rPr>
          <w:szCs w:val="22"/>
        </w:rPr>
      </w:pPr>
      <w:r>
        <w:rPr>
          <w:szCs w:val="22"/>
        </w:rPr>
        <w:t>Promoting the inclusion of women, youth, and other marginalised groups into formal and informal decision making structures, including the political party system</w:t>
      </w:r>
    </w:p>
    <w:p w:rsidR="001F2933" w:rsidRPr="001F2933" w:rsidRDefault="001F2933" w:rsidP="00361287">
      <w:pPr>
        <w:pStyle w:val="ListParagraph"/>
        <w:numPr>
          <w:ilvl w:val="0"/>
          <w:numId w:val="36"/>
        </w:numPr>
        <w:spacing w:after="0"/>
        <w:rPr>
          <w:szCs w:val="22"/>
        </w:rPr>
      </w:pPr>
      <w:r>
        <w:rPr>
          <w:szCs w:val="22"/>
        </w:rPr>
        <w:lastRenderedPageBreak/>
        <w:t>Capacity building of civic and political actors to develop responsive policy platforms, adequately representing citizen's interests</w:t>
      </w:r>
    </w:p>
    <w:p w:rsidR="00904716" w:rsidRPr="00885036" w:rsidRDefault="00904716" w:rsidP="00361287">
      <w:pPr>
        <w:pStyle w:val="ListParagraph"/>
        <w:numPr>
          <w:ilvl w:val="0"/>
          <w:numId w:val="36"/>
        </w:numPr>
        <w:spacing w:after="0"/>
        <w:rPr>
          <w:szCs w:val="22"/>
        </w:rPr>
      </w:pPr>
      <w:r w:rsidRPr="00885036">
        <w:t>Sub-granting to local registered and non-registered civil society organisations.</w:t>
      </w:r>
    </w:p>
    <w:p w:rsidR="00D3599D" w:rsidRDefault="00D3599D" w:rsidP="001E6829">
      <w:pPr>
        <w:spacing w:before="0" w:after="0"/>
        <w:rPr>
          <w:szCs w:val="22"/>
        </w:rPr>
      </w:pPr>
    </w:p>
    <w:p w:rsidR="001E6829" w:rsidRDefault="001E6829" w:rsidP="001E6829">
      <w:pPr>
        <w:rPr>
          <w:rFonts w:cs="Calibri"/>
        </w:rPr>
      </w:pPr>
      <w:r w:rsidRPr="001E6829">
        <w:rPr>
          <w:rFonts w:cs="Calibri"/>
        </w:rPr>
        <w:t xml:space="preserve">Activities will be designed and </w:t>
      </w:r>
      <w:r w:rsidR="00DB6463">
        <w:rPr>
          <w:rFonts w:cs="Calibri"/>
        </w:rPr>
        <w:t>implemented following</w:t>
      </w:r>
      <w:r w:rsidRPr="001E6829">
        <w:rPr>
          <w:rFonts w:cs="Calibri"/>
        </w:rPr>
        <w:t xml:space="preserve"> a gender sensitive approach and</w:t>
      </w:r>
      <w:r>
        <w:rPr>
          <w:rFonts w:cs="Calibri"/>
        </w:rPr>
        <w:t xml:space="preserve"> the</w:t>
      </w:r>
      <w:r w:rsidRPr="001E6829">
        <w:rPr>
          <w:rFonts w:cs="Calibri"/>
        </w:rPr>
        <w:t xml:space="preserve"> data collected </w:t>
      </w:r>
      <w:r>
        <w:rPr>
          <w:rFonts w:cs="Calibri"/>
        </w:rPr>
        <w:t xml:space="preserve">during the implementation of each project </w:t>
      </w:r>
      <w:r w:rsidR="00CC0D43">
        <w:rPr>
          <w:rFonts w:cs="Calibri"/>
        </w:rPr>
        <w:t>will be sex-disaggregated (refer to section 3.3. of this action document).</w:t>
      </w:r>
      <w:r w:rsidRPr="001E6829">
        <w:rPr>
          <w:rFonts w:cs="Calibri"/>
        </w:rPr>
        <w:t xml:space="preserve"> </w:t>
      </w:r>
    </w:p>
    <w:p w:rsidR="00552741" w:rsidRDefault="0029755D" w:rsidP="00552741">
      <w:pPr>
        <w:rPr>
          <w:szCs w:val="22"/>
          <w:lang w:eastAsia="en-GB"/>
        </w:rPr>
      </w:pPr>
      <w:r w:rsidRPr="001E6829">
        <w:rPr>
          <w:lang w:eastAsia="en-GB"/>
        </w:rPr>
        <w:t>P</w:t>
      </w:r>
      <w:r w:rsidR="00552741" w:rsidRPr="001E6829">
        <w:rPr>
          <w:lang w:eastAsia="en-GB"/>
        </w:rPr>
        <w:t xml:space="preserve">rojects implemented by CSOs </w:t>
      </w:r>
      <w:r w:rsidRPr="001E6829">
        <w:rPr>
          <w:lang w:eastAsia="en-GB"/>
        </w:rPr>
        <w:t xml:space="preserve">located in another country </w:t>
      </w:r>
      <w:r w:rsidR="00552741" w:rsidRPr="001E6829">
        <w:rPr>
          <w:lang w:eastAsia="en-GB"/>
        </w:rPr>
        <w:t>may also be funded under this action. In this case, the EU delegation concerned will have to justify why this approach is</w:t>
      </w:r>
      <w:r w:rsidR="00552741" w:rsidRPr="00EA2B7F">
        <w:rPr>
          <w:szCs w:val="22"/>
          <w:lang w:eastAsia="en-GB"/>
        </w:rPr>
        <w:t xml:space="preserve"> relevant and </w:t>
      </w:r>
      <w:r w:rsidR="00EA2B7F">
        <w:rPr>
          <w:szCs w:val="22"/>
          <w:lang w:eastAsia="en-GB"/>
        </w:rPr>
        <w:t>Headquarters' endorsement is to be s</w:t>
      </w:r>
      <w:r w:rsidR="006F5210">
        <w:rPr>
          <w:szCs w:val="22"/>
          <w:lang w:eastAsia="en-GB"/>
        </w:rPr>
        <w:t>o</w:t>
      </w:r>
      <w:r w:rsidR="00EA2B7F">
        <w:rPr>
          <w:szCs w:val="22"/>
          <w:lang w:eastAsia="en-GB"/>
        </w:rPr>
        <w:t xml:space="preserve">ught </w:t>
      </w:r>
      <w:r w:rsidR="00552741" w:rsidRPr="00EA2B7F">
        <w:rPr>
          <w:szCs w:val="22"/>
          <w:lang w:eastAsia="en-GB"/>
        </w:rPr>
        <w:t>on a case-by-case basis.</w:t>
      </w:r>
      <w:r w:rsidR="00552741" w:rsidRPr="0058277E">
        <w:rPr>
          <w:szCs w:val="22"/>
          <w:lang w:eastAsia="en-GB"/>
        </w:rPr>
        <w:t xml:space="preserve"> </w:t>
      </w:r>
    </w:p>
    <w:p w:rsidR="00BD6B19" w:rsidRPr="00327359" w:rsidRDefault="00BD6B19" w:rsidP="000B1E61">
      <w:pPr>
        <w:pStyle w:val="Heading2"/>
        <w:numPr>
          <w:ilvl w:val="0"/>
          <w:numId w:val="0"/>
        </w:numPr>
        <w:tabs>
          <w:tab w:val="clear" w:pos="992"/>
          <w:tab w:val="left" w:pos="360"/>
        </w:tabs>
        <w:rPr>
          <w:color w:val="auto"/>
        </w:rPr>
      </w:pPr>
      <w:bookmarkStart w:id="42" w:name="_Toc391999049"/>
      <w:bookmarkStart w:id="43" w:name="_Toc392858013"/>
      <w:bookmarkStart w:id="44" w:name="_Toc391022365"/>
      <w:bookmarkStart w:id="45" w:name="_Toc391537207"/>
      <w:r w:rsidRPr="00375E88">
        <w:rPr>
          <w:color w:val="auto"/>
        </w:rPr>
        <w:t>4.3. Intervention logic</w:t>
      </w:r>
      <w:bookmarkEnd w:id="42"/>
      <w:bookmarkEnd w:id="43"/>
      <w:bookmarkEnd w:id="44"/>
      <w:bookmarkEnd w:id="45"/>
    </w:p>
    <w:p w:rsidR="00BD6B19" w:rsidRPr="00630D5E" w:rsidRDefault="00F544E7" w:rsidP="00BD6B19">
      <w:pPr>
        <w:pStyle w:val="Text1"/>
        <w:ind w:left="0"/>
      </w:pPr>
      <w:r>
        <w:t xml:space="preserve">The intervention logic for this </w:t>
      </w:r>
      <w:r w:rsidR="00BD6B19" w:rsidRPr="00100D84">
        <w:t xml:space="preserve">action </w:t>
      </w:r>
      <w:r>
        <w:t xml:space="preserve">is to allow </w:t>
      </w:r>
      <w:r w:rsidR="00BD6B19" w:rsidRPr="00100D84">
        <w:t xml:space="preserve">the implementation of the EIDHR to be as close as possible to the local human rights and democracy </w:t>
      </w:r>
      <w:r w:rsidR="002964D1" w:rsidRPr="00347D18">
        <w:t>issues and challenges</w:t>
      </w:r>
      <w:r w:rsidR="00BD6B19" w:rsidRPr="00347D18">
        <w:t xml:space="preserve"> </w:t>
      </w:r>
      <w:r w:rsidR="002964D1" w:rsidRPr="00347D18">
        <w:t>faced</w:t>
      </w:r>
      <w:r w:rsidR="00BD6B19" w:rsidRPr="00347D18">
        <w:t xml:space="preserve"> on the field and to respond to </w:t>
      </w:r>
      <w:r w:rsidR="000C4D0E" w:rsidRPr="00347D18">
        <w:t>them</w:t>
      </w:r>
      <w:r w:rsidR="00BD6B19" w:rsidRPr="00347D18">
        <w:t xml:space="preserve"> in the most effective</w:t>
      </w:r>
      <w:r w:rsidR="00630D5E">
        <w:t xml:space="preserve">, efficient and complementary </w:t>
      </w:r>
      <w:r w:rsidR="00BD6B19" w:rsidRPr="00347D18">
        <w:t xml:space="preserve">manner. </w:t>
      </w:r>
      <w:r w:rsidR="000C4D0E" w:rsidRPr="00347D18">
        <w:t>This is why the decision was made to decentrali</w:t>
      </w:r>
      <w:r w:rsidR="00630D5E">
        <w:t>s</w:t>
      </w:r>
      <w:r w:rsidR="000C4D0E" w:rsidRPr="00347D18">
        <w:t xml:space="preserve">e a substantial part of EIDHR funding </w:t>
      </w:r>
      <w:r w:rsidR="00630D5E">
        <w:t>to</w:t>
      </w:r>
      <w:r w:rsidR="000C4D0E" w:rsidRPr="00347D18">
        <w:t xml:space="preserve"> the level of EU Delegations.</w:t>
      </w:r>
    </w:p>
    <w:p w:rsidR="00216FCA" w:rsidRPr="00630D5E" w:rsidRDefault="001A1AF2">
      <w:pPr>
        <w:pStyle w:val="Heading1"/>
        <w:numPr>
          <w:ilvl w:val="0"/>
          <w:numId w:val="0"/>
        </w:numPr>
        <w:rPr>
          <w:color w:val="auto"/>
        </w:rPr>
      </w:pPr>
      <w:bookmarkStart w:id="46" w:name="DQCNUMB_21"/>
      <w:bookmarkStart w:id="47" w:name="_Toc391999050"/>
      <w:bookmarkStart w:id="48" w:name="_Toc391022366"/>
      <w:bookmarkStart w:id="49" w:name="_Toc391537208"/>
      <w:bookmarkStart w:id="50" w:name="_Toc392858014"/>
      <w:bookmarkEnd w:id="46"/>
      <w:r w:rsidRPr="00630D5E">
        <w:rPr>
          <w:color w:val="auto"/>
        </w:rPr>
        <w:t>5</w:t>
      </w:r>
      <w:bookmarkEnd w:id="47"/>
      <w:bookmarkEnd w:id="48"/>
      <w:bookmarkEnd w:id="49"/>
      <w:bookmarkEnd w:id="50"/>
      <w:r w:rsidR="000B1E61">
        <w:rPr>
          <w:color w:val="auto"/>
        </w:rPr>
        <w:t xml:space="preserve">     </w:t>
      </w:r>
      <w:r w:rsidR="008D2D4C">
        <w:rPr>
          <w:color w:val="auto"/>
        </w:rPr>
        <w:t>imp</w:t>
      </w:r>
      <w:r w:rsidR="008D2D4C" w:rsidRPr="00630D5E">
        <w:rPr>
          <w:color w:val="auto"/>
        </w:rPr>
        <w:t>lementation</w:t>
      </w:r>
    </w:p>
    <w:p w:rsidR="00216FCA" w:rsidRPr="00AF4088" w:rsidRDefault="001A1AF2" w:rsidP="000B1E61">
      <w:pPr>
        <w:pStyle w:val="Heading2"/>
        <w:numPr>
          <w:ilvl w:val="0"/>
          <w:numId w:val="0"/>
        </w:numPr>
        <w:rPr>
          <w:color w:val="auto"/>
        </w:rPr>
      </w:pPr>
      <w:bookmarkStart w:id="51" w:name="_Toc391537209"/>
      <w:bookmarkStart w:id="52" w:name="_Toc391022367"/>
      <w:bookmarkStart w:id="53" w:name="_Ref399942547"/>
      <w:bookmarkStart w:id="54" w:name="_Toc391999051"/>
      <w:bookmarkStart w:id="55" w:name="_Toc392858015"/>
      <w:r w:rsidRPr="00AF4088">
        <w:rPr>
          <w:color w:val="auto"/>
        </w:rPr>
        <w:t>5.1</w:t>
      </w:r>
      <w:r w:rsidRPr="00AF4088">
        <w:rPr>
          <w:color w:val="auto"/>
        </w:rPr>
        <w:tab/>
        <w:t>Financing agreement</w:t>
      </w:r>
      <w:bookmarkEnd w:id="51"/>
      <w:bookmarkEnd w:id="52"/>
      <w:bookmarkEnd w:id="53"/>
      <w:bookmarkEnd w:id="54"/>
      <w:bookmarkEnd w:id="55"/>
    </w:p>
    <w:p w:rsidR="00216FCA" w:rsidRPr="0058277E" w:rsidRDefault="001A1AF2">
      <w:pPr>
        <w:rPr>
          <w:szCs w:val="22"/>
          <w:lang w:eastAsia="en-GB"/>
        </w:rPr>
      </w:pPr>
      <w:r w:rsidRPr="00AF4088">
        <w:rPr>
          <w:szCs w:val="22"/>
          <w:lang w:eastAsia="en-GB"/>
        </w:rPr>
        <w:t>In order to implement this action, it is not foreseen to conclude a financing ag</w:t>
      </w:r>
      <w:r w:rsidRPr="00075538">
        <w:rPr>
          <w:szCs w:val="22"/>
          <w:lang w:eastAsia="en-GB"/>
        </w:rPr>
        <w:t>reement with the partner country, referred to in Article 184(2)(b) of Regulation (EU, Euratom) No 966/2012.</w:t>
      </w:r>
    </w:p>
    <w:p w:rsidR="00216FCA" w:rsidRPr="0058277E" w:rsidRDefault="001A1AF2" w:rsidP="000B1E61">
      <w:pPr>
        <w:pStyle w:val="Heading2"/>
        <w:numPr>
          <w:ilvl w:val="0"/>
          <w:numId w:val="0"/>
        </w:numPr>
        <w:rPr>
          <w:color w:val="auto"/>
        </w:rPr>
      </w:pPr>
      <w:bookmarkStart w:id="56" w:name="_Toc391022368"/>
      <w:bookmarkStart w:id="57" w:name="_Toc392858016"/>
      <w:bookmarkStart w:id="58" w:name="_Toc391537210"/>
      <w:r w:rsidRPr="0058277E">
        <w:rPr>
          <w:color w:val="auto"/>
        </w:rPr>
        <w:t>5.2</w:t>
      </w:r>
      <w:r w:rsidRPr="0058277E">
        <w:rPr>
          <w:color w:val="auto"/>
        </w:rPr>
        <w:tab/>
        <w:t>Indicative implementation period</w:t>
      </w:r>
      <w:bookmarkEnd w:id="56"/>
      <w:bookmarkEnd w:id="57"/>
      <w:bookmarkEnd w:id="58"/>
    </w:p>
    <w:p w:rsidR="006F5210" w:rsidRDefault="001A1AF2">
      <w:pPr>
        <w:rPr>
          <w:szCs w:val="22"/>
          <w:lang w:eastAsia="en-GB"/>
        </w:rPr>
      </w:pPr>
      <w:r w:rsidRPr="0058277E">
        <w:rPr>
          <w:szCs w:val="22"/>
          <w:lang w:eastAsia="en-GB"/>
        </w:rPr>
        <w:t>The indicative operational implementation period of this action, during which the acti</w:t>
      </w:r>
      <w:r w:rsidR="000A62D2">
        <w:rPr>
          <w:szCs w:val="22"/>
          <w:lang w:eastAsia="en-GB"/>
        </w:rPr>
        <w:t xml:space="preserve">vities described in </w:t>
      </w:r>
      <w:r w:rsidR="000A62D2" w:rsidRPr="00AE61A3">
        <w:rPr>
          <w:szCs w:val="22"/>
          <w:lang w:eastAsia="en-GB"/>
        </w:rPr>
        <w:t>section 4.1</w:t>
      </w:r>
      <w:r w:rsidRPr="00AE61A3">
        <w:rPr>
          <w:szCs w:val="22"/>
          <w:lang w:eastAsia="en-GB"/>
        </w:rPr>
        <w:t xml:space="preserve"> will be carried out and the corresponding contracts and agreements implemented, is </w:t>
      </w:r>
      <w:r w:rsidR="00C11E46" w:rsidRPr="00361287">
        <w:rPr>
          <w:szCs w:val="22"/>
          <w:lang w:eastAsia="en-GB"/>
        </w:rPr>
        <w:t>90</w:t>
      </w:r>
      <w:r w:rsidRPr="00361287">
        <w:rPr>
          <w:szCs w:val="22"/>
          <w:lang w:eastAsia="en-GB"/>
        </w:rPr>
        <w:t xml:space="preserve"> months</w:t>
      </w:r>
      <w:r w:rsidRPr="00AE61A3">
        <w:rPr>
          <w:szCs w:val="22"/>
          <w:lang w:eastAsia="en-GB"/>
        </w:rPr>
        <w:t xml:space="preserve"> from the date of adoption by the Commission of this Action Document</w:t>
      </w:r>
      <w:r w:rsidR="006F5210" w:rsidRPr="00361287">
        <w:rPr>
          <w:szCs w:val="22"/>
          <w:lang w:eastAsia="en-GB"/>
        </w:rPr>
        <w:t>.</w:t>
      </w:r>
    </w:p>
    <w:p w:rsidR="00216FCA" w:rsidRPr="000A62D2" w:rsidRDefault="008965CD">
      <w:r w:rsidRPr="00720FCA">
        <w:t>Extensions of the implementation period may be agreed by the Commission’s authorising officer responsible by amending this decision and the relevant contracts and agreements</w:t>
      </w:r>
      <w:r>
        <w:t>;</w:t>
      </w:r>
      <w:r w:rsidRPr="003716CC">
        <w:t xml:space="preserve"> such amendments to </w:t>
      </w:r>
      <w:r>
        <w:t xml:space="preserve">this decision constitute </w:t>
      </w:r>
      <w:r w:rsidRPr="003716CC">
        <w:t>technical amendments in the sense of point (i) of Article 2(3)(c) of Regulation (EU) No 236/2014</w:t>
      </w:r>
      <w:r>
        <w:t>.</w:t>
      </w:r>
    </w:p>
    <w:p w:rsidR="00216FCA" w:rsidRPr="00375E88" w:rsidRDefault="001A1AF2" w:rsidP="000A62D2">
      <w:pPr>
        <w:pStyle w:val="Heading2"/>
        <w:numPr>
          <w:ilvl w:val="0"/>
          <w:numId w:val="0"/>
        </w:numPr>
        <w:rPr>
          <w:color w:val="auto"/>
        </w:rPr>
      </w:pPr>
      <w:bookmarkStart w:id="59" w:name="_Toc391999053"/>
      <w:bookmarkStart w:id="60" w:name="_Ref399842680"/>
      <w:bookmarkStart w:id="61" w:name="_Ref399942326"/>
      <w:bookmarkStart w:id="62" w:name="_Toc392858017"/>
      <w:bookmarkStart w:id="63" w:name="_Toc391537211"/>
      <w:bookmarkStart w:id="64" w:name="_Toc391022370"/>
      <w:bookmarkStart w:id="65" w:name="_Ref399942297"/>
      <w:bookmarkStart w:id="66" w:name="_Ref399941529"/>
      <w:r w:rsidRPr="00375E88">
        <w:rPr>
          <w:color w:val="auto"/>
        </w:rPr>
        <w:t>5.3</w:t>
      </w:r>
      <w:r w:rsidRPr="00375E88">
        <w:rPr>
          <w:color w:val="auto"/>
        </w:rPr>
        <w:tab/>
        <w:t>Implementation modalities</w:t>
      </w:r>
      <w:bookmarkStart w:id="67" w:name="_Ref399941359"/>
      <w:bookmarkEnd w:id="59"/>
      <w:bookmarkEnd w:id="60"/>
      <w:bookmarkEnd w:id="61"/>
      <w:bookmarkEnd w:id="62"/>
      <w:bookmarkEnd w:id="63"/>
      <w:bookmarkEnd w:id="64"/>
      <w:bookmarkEnd w:id="65"/>
      <w:bookmarkEnd w:id="66"/>
    </w:p>
    <w:p w:rsidR="00216FCA" w:rsidRPr="00100D84" w:rsidRDefault="001A1AF2" w:rsidP="00C67A4B">
      <w:pPr>
        <w:pStyle w:val="Heading3"/>
        <w:spacing w:after="0"/>
        <w:rPr>
          <w:b/>
        </w:rPr>
      </w:pPr>
      <w:r w:rsidRPr="00327359">
        <w:rPr>
          <w:b/>
        </w:rPr>
        <w:t>5.3.1. Grants: call for proposals (direct management)</w:t>
      </w:r>
      <w:bookmarkEnd w:id="67"/>
    </w:p>
    <w:p w:rsidR="00216FCA" w:rsidRPr="00347D18" w:rsidRDefault="001A1AF2" w:rsidP="00C67A4B">
      <w:pPr>
        <w:pStyle w:val="Text1"/>
        <w:spacing w:after="0"/>
        <w:ind w:left="0"/>
        <w:rPr>
          <w:b/>
        </w:rPr>
      </w:pPr>
      <w:r w:rsidRPr="00100D84">
        <w:t xml:space="preserve">The grants foreseen under this action </w:t>
      </w:r>
      <w:r w:rsidR="001F0864" w:rsidRPr="00347D18">
        <w:t>shall</w:t>
      </w:r>
      <w:r w:rsidRPr="00347D18">
        <w:t xml:space="preserve"> be awarded using the standard EU call for proposals process.</w:t>
      </w:r>
    </w:p>
    <w:p w:rsidR="00216FCA" w:rsidRPr="00630D5E" w:rsidRDefault="001A1AF2">
      <w:pPr>
        <w:pStyle w:val="Heading4"/>
        <w:rPr>
          <w:b/>
        </w:rPr>
      </w:pPr>
      <w:bookmarkStart w:id="68" w:name="DQCNUMB_35"/>
      <w:bookmarkStart w:id="69" w:name="_Ref399941412"/>
      <w:bookmarkEnd w:id="68"/>
      <w:r w:rsidRPr="00630D5E">
        <w:rPr>
          <w:b/>
        </w:rPr>
        <w:t>(a) Objectives of the grants, fields of intervention, priorities and expected results</w:t>
      </w:r>
    </w:p>
    <w:p w:rsidR="00425718" w:rsidRPr="003F3DF2" w:rsidRDefault="00425718">
      <w:pPr>
        <w:pStyle w:val="Text2"/>
        <w:ind w:left="0"/>
      </w:pPr>
      <w:r w:rsidRPr="003F3DF2">
        <w:t>The objective</w:t>
      </w:r>
      <w:r w:rsidR="000A62D2">
        <w:t>s</w:t>
      </w:r>
      <w:r w:rsidRPr="003F3DF2">
        <w:t xml:space="preserve"> of the grants should be in line with the objective indicated in this action </w:t>
      </w:r>
      <w:r w:rsidR="00496766">
        <w:t xml:space="preserve">document </w:t>
      </w:r>
      <w:r w:rsidRPr="003F3DF2">
        <w:t>in section 4.1.</w:t>
      </w:r>
    </w:p>
    <w:p w:rsidR="00216FCA" w:rsidRPr="0058277E" w:rsidRDefault="001A1AF2">
      <w:pPr>
        <w:pStyle w:val="Text2"/>
        <w:ind w:left="0"/>
        <w:rPr>
          <w:bCs/>
        </w:rPr>
      </w:pPr>
      <w:r w:rsidRPr="003F3DF2">
        <w:rPr>
          <w:bCs/>
        </w:rPr>
        <w:t>The detailed specific o</w:t>
      </w:r>
      <w:r w:rsidRPr="003F3DF2">
        <w:t>bjectives, fields of intervention, priorities and expected results</w:t>
      </w:r>
      <w:r w:rsidRPr="008965CD">
        <w:rPr>
          <w:bCs/>
        </w:rPr>
        <w:t xml:space="preserve"> will be defined in the Guidelines for </w:t>
      </w:r>
      <w:r w:rsidR="00466B46" w:rsidRPr="00AF4088">
        <w:rPr>
          <w:bCs/>
        </w:rPr>
        <w:t xml:space="preserve">grant applicants drafted for </w:t>
      </w:r>
      <w:r w:rsidRPr="00AF4088">
        <w:rPr>
          <w:bCs/>
        </w:rPr>
        <w:t>each individual country</w:t>
      </w:r>
      <w:r w:rsidR="00466B46" w:rsidRPr="00AF4088">
        <w:rPr>
          <w:bCs/>
        </w:rPr>
        <w:t>'s</w:t>
      </w:r>
      <w:r w:rsidRPr="00075538">
        <w:rPr>
          <w:bCs/>
        </w:rPr>
        <w:t xml:space="preserve"> call for proposals.</w:t>
      </w:r>
    </w:p>
    <w:p w:rsidR="00216FCA" w:rsidRPr="00A44A2F" w:rsidRDefault="001A1AF2">
      <w:bookmarkStart w:id="70" w:name="DQCNUMB_36"/>
      <w:bookmarkEnd w:id="70"/>
      <w:r w:rsidRPr="0058277E">
        <w:lastRenderedPageBreak/>
        <w:t xml:space="preserve">CBSS implementation should be </w:t>
      </w:r>
      <w:r w:rsidR="00496766">
        <w:t xml:space="preserve">carried out </w:t>
      </w:r>
      <w:r w:rsidRPr="0058277E">
        <w:t xml:space="preserve">using to the extent </w:t>
      </w:r>
      <w:r w:rsidR="00496766">
        <w:t xml:space="preserve">possible </w:t>
      </w:r>
      <w:r w:rsidR="00691F4C">
        <w:t xml:space="preserve">the </w:t>
      </w:r>
      <w:r w:rsidRPr="00691F4C">
        <w:t>existing flexibilit</w:t>
      </w:r>
      <w:r w:rsidR="00691F4C">
        <w:t xml:space="preserve">y provisions </w:t>
      </w:r>
      <w:r w:rsidRPr="00B45E4F">
        <w:t xml:space="preserve">of the EIDHR, such as financial support to third parties (to smaller local CSOs), eligibility </w:t>
      </w:r>
      <w:r w:rsidR="00691F4C" w:rsidRPr="00B45E4F">
        <w:t xml:space="preserve">of </w:t>
      </w:r>
      <w:r w:rsidRPr="00B45E4F">
        <w:t xml:space="preserve">non-registered CSOs and natural persons, confidentiality of projects, pooling of funds, </w:t>
      </w:r>
      <w:r w:rsidRPr="00A44A2F">
        <w:t>direct grants in exceptional and duly justified cases.</w:t>
      </w:r>
    </w:p>
    <w:p w:rsidR="00A7599B" w:rsidRPr="00691F4C" w:rsidRDefault="00A7599B">
      <w:r w:rsidRPr="00A44A2F">
        <w:t>EU</w:t>
      </w:r>
      <w:r w:rsidRPr="006D7161">
        <w:t xml:space="preserve"> Delegations can </w:t>
      </w:r>
      <w:r w:rsidR="00095C3E" w:rsidRPr="006D7161">
        <w:t>launch</w:t>
      </w:r>
      <w:r w:rsidRPr="00904716">
        <w:t xml:space="preserve"> calls for proposals by pooling </w:t>
      </w:r>
      <w:r w:rsidR="00095C3E" w:rsidRPr="00904716">
        <w:t xml:space="preserve">annual </w:t>
      </w:r>
      <w:r w:rsidRPr="00904716">
        <w:t>allocations</w:t>
      </w:r>
      <w:r w:rsidR="00095C3E" w:rsidRPr="00361287">
        <w:t>. P</w:t>
      </w:r>
      <w:r w:rsidR="00095C3E" w:rsidRPr="00B45E4F">
        <w:t xml:space="preserve">ooling of funds is authorised before the adoption of the relevant financing decision under the condition that a </w:t>
      </w:r>
      <w:r w:rsidR="00095C3E" w:rsidRPr="00361287">
        <w:rPr>
          <w:u w:val="single"/>
        </w:rPr>
        <w:t>suspensive clause</w:t>
      </w:r>
      <w:r w:rsidR="00095C3E" w:rsidRPr="00B45E4F">
        <w:t xml:space="preserve"> is included in the Guidelines for grant applicants of the call for proposals. </w:t>
      </w:r>
      <w:r w:rsidR="00095C3E" w:rsidRPr="00A44A2F">
        <w:t>In such case, no prior authorisation from headquarters is required.</w:t>
      </w:r>
      <w:r w:rsidR="00095C3E">
        <w:t xml:space="preserve"> </w:t>
      </w:r>
      <w:r>
        <w:t xml:space="preserve"> </w:t>
      </w:r>
    </w:p>
    <w:p w:rsidR="00216FCA" w:rsidRPr="0058277E" w:rsidRDefault="001A1AF2">
      <w:pPr>
        <w:pStyle w:val="Heading4"/>
        <w:rPr>
          <w:b/>
        </w:rPr>
      </w:pPr>
      <w:bookmarkStart w:id="71" w:name="DQCNUMB_37"/>
      <w:bookmarkEnd w:id="71"/>
      <w:r w:rsidRPr="0058277E">
        <w:rPr>
          <w:b/>
        </w:rPr>
        <w:t>(b) Eligibility conditions</w:t>
      </w:r>
    </w:p>
    <w:p w:rsidR="00425718" w:rsidRPr="004603AE" w:rsidRDefault="00425718" w:rsidP="00425718">
      <w:pPr>
        <w:pStyle w:val="Heading4"/>
        <w:numPr>
          <w:ilvl w:val="3"/>
          <w:numId w:val="0"/>
        </w:numPr>
        <w:rPr>
          <w:bCs w:val="0"/>
        </w:rPr>
      </w:pPr>
      <w:bookmarkStart w:id="72" w:name="DQCNUMB_38"/>
      <w:bookmarkEnd w:id="72"/>
      <w:r w:rsidRPr="0058277E">
        <w:rPr>
          <w:bCs w:val="0"/>
        </w:rPr>
        <w:t xml:space="preserve">The eligibility criteria for applicants are </w:t>
      </w:r>
      <w:r w:rsidRPr="004603AE">
        <w:rPr>
          <w:bCs w:val="0"/>
        </w:rPr>
        <w:t>defined in the Article 11.2 of Regulation (EU) No 236/2014 on common rules and procedures for the implementation of the Union's instruments for financing external action (CIR)</w:t>
      </w:r>
      <w:r w:rsidR="002436B5" w:rsidRPr="0058277E">
        <w:rPr>
          <w:rStyle w:val="FootnoteReference"/>
        </w:rPr>
        <w:footnoteReference w:id="12"/>
      </w:r>
      <w:r w:rsidRPr="004603AE">
        <w:rPr>
          <w:bCs w:val="0"/>
        </w:rPr>
        <w:t>.</w:t>
      </w:r>
    </w:p>
    <w:p w:rsidR="00CC6765" w:rsidRDefault="001A1AF2">
      <w:pPr>
        <w:pStyle w:val="Default"/>
        <w:jc w:val="both"/>
        <w:rPr>
          <w:color w:val="auto"/>
          <w:sz w:val="22"/>
          <w:szCs w:val="22"/>
        </w:rPr>
      </w:pPr>
      <w:r w:rsidRPr="0058277E">
        <w:rPr>
          <w:color w:val="auto"/>
        </w:rPr>
        <w:t>The applicants will be primarily civil society organisations</w:t>
      </w:r>
      <w:r w:rsidR="00CC6765">
        <w:rPr>
          <w:color w:val="auto"/>
        </w:rPr>
        <w:t xml:space="preserve"> (as defined in the Art. 11.2 of CIR)</w:t>
      </w:r>
      <w:r w:rsidRPr="0058277E">
        <w:rPr>
          <w:color w:val="auto"/>
        </w:rPr>
        <w:t xml:space="preserve"> with no geographical requirements set a priori. Given the nature of the objectives, however, the actions’ focus will preferably be on in-country civil society organisations</w:t>
      </w:r>
      <w:r w:rsidR="004603AE">
        <w:rPr>
          <w:color w:val="auto"/>
          <w:sz w:val="22"/>
          <w:szCs w:val="22"/>
        </w:rPr>
        <w:t>.</w:t>
      </w:r>
      <w:r w:rsidRPr="004603AE">
        <w:rPr>
          <w:color w:val="auto"/>
          <w:sz w:val="22"/>
          <w:szCs w:val="22"/>
        </w:rPr>
        <w:t xml:space="preserve"> </w:t>
      </w:r>
    </w:p>
    <w:p w:rsidR="00CC6765" w:rsidRDefault="00CC6765">
      <w:pPr>
        <w:pStyle w:val="Default"/>
        <w:jc w:val="both"/>
        <w:rPr>
          <w:color w:val="auto"/>
          <w:sz w:val="22"/>
          <w:szCs w:val="22"/>
        </w:rPr>
      </w:pPr>
    </w:p>
    <w:p w:rsidR="00216FCA" w:rsidRPr="0058277E" w:rsidRDefault="00BB60EF">
      <w:pPr>
        <w:pStyle w:val="Default"/>
        <w:jc w:val="both"/>
        <w:rPr>
          <w:color w:val="auto"/>
          <w:sz w:val="22"/>
          <w:szCs w:val="22"/>
        </w:rPr>
      </w:pPr>
      <w:r w:rsidRPr="001F121A">
        <w:rPr>
          <w:color w:val="auto"/>
        </w:rPr>
        <w:t>In addition, p</w:t>
      </w:r>
      <w:r w:rsidR="00CC6765" w:rsidRPr="001F121A">
        <w:rPr>
          <w:color w:val="auto"/>
        </w:rPr>
        <w:t>ublic</w:t>
      </w:r>
      <w:r w:rsidRPr="001F121A">
        <w:rPr>
          <w:color w:val="auto"/>
        </w:rPr>
        <w:t xml:space="preserve">-sector non-profit </w:t>
      </w:r>
      <w:r w:rsidR="001F121A" w:rsidRPr="001F121A">
        <w:rPr>
          <w:color w:val="auto"/>
        </w:rPr>
        <w:t xml:space="preserve">agencies, institutions and organisations (including in particular National Human Rights Institutions), international inter-governmental organisation and </w:t>
      </w:r>
      <w:r w:rsidRPr="001F121A">
        <w:rPr>
          <w:color w:val="auto"/>
        </w:rPr>
        <w:t>n</w:t>
      </w:r>
      <w:r w:rsidR="001A1AF2" w:rsidRPr="001F121A">
        <w:rPr>
          <w:color w:val="auto"/>
        </w:rPr>
        <w:t>ational parliamentary bodies</w:t>
      </w:r>
      <w:r w:rsidR="00466B46" w:rsidRPr="001F121A">
        <w:rPr>
          <w:color w:val="auto"/>
        </w:rPr>
        <w:t xml:space="preserve"> </w:t>
      </w:r>
      <w:r w:rsidR="001A1AF2" w:rsidRPr="001F121A">
        <w:rPr>
          <w:color w:val="auto"/>
        </w:rPr>
        <w:t xml:space="preserve">will be judged eligible when </w:t>
      </w:r>
      <w:r w:rsidR="001F121A">
        <w:rPr>
          <w:color w:val="auto"/>
        </w:rPr>
        <w:t xml:space="preserve">this is </w:t>
      </w:r>
      <w:r w:rsidR="001A1AF2" w:rsidRPr="001F121A">
        <w:rPr>
          <w:color w:val="auto"/>
        </w:rPr>
        <w:t>necessary to achieve the objectives of the EIDHR.</w:t>
      </w:r>
    </w:p>
    <w:p w:rsidR="00216FCA" w:rsidRDefault="001A1AF2">
      <w:r w:rsidRPr="0058277E">
        <w:t>Natural persons</w:t>
      </w:r>
      <w:r w:rsidR="002436B5">
        <w:t xml:space="preserve"> and</w:t>
      </w:r>
      <w:r w:rsidRPr="0058277E">
        <w:t xml:space="preserve"> entities </w:t>
      </w:r>
      <w:r w:rsidRPr="00B45E4F">
        <w:t>without legal personality are eligible for funding under the CBSS</w:t>
      </w:r>
      <w:r w:rsidR="002436B5" w:rsidRPr="00B45E4F">
        <w:t xml:space="preserve"> in exceptional and duly justified cases,</w:t>
      </w:r>
      <w:r w:rsidRPr="00B45E4F">
        <w:t xml:space="preserve"> when this is necessary to achieve the objectives of the instrument</w:t>
      </w:r>
      <w:r w:rsidR="002436B5" w:rsidRPr="00A44A2F">
        <w:t>.</w:t>
      </w:r>
    </w:p>
    <w:p w:rsidR="00AE61A3" w:rsidRPr="00B45E4F" w:rsidRDefault="00AE61A3" w:rsidP="00AE61A3">
      <w:pPr>
        <w:autoSpaceDE w:val="0"/>
        <w:autoSpaceDN w:val="0"/>
        <w:adjustRightInd w:val="0"/>
        <w:spacing w:before="0" w:after="0"/>
        <w:rPr>
          <w:rFonts w:eastAsiaTheme="minorHAnsi"/>
        </w:rPr>
      </w:pPr>
      <w:r w:rsidRPr="006E2222">
        <w:rPr>
          <w:rFonts w:eastAsiaTheme="minorHAnsi"/>
        </w:rPr>
        <w:t xml:space="preserve">The indicative maximum duration of grants (its implementation period) </w:t>
      </w:r>
      <w:r>
        <w:rPr>
          <w:rFonts w:eastAsiaTheme="minorHAnsi"/>
        </w:rPr>
        <w:t xml:space="preserve">will be </w:t>
      </w:r>
      <w:r w:rsidRPr="006E2222">
        <w:rPr>
          <w:rFonts w:eastAsiaTheme="minorHAnsi"/>
        </w:rPr>
        <w:t>36 months.</w:t>
      </w:r>
      <w:r w:rsidRPr="00B45E4F">
        <w:rPr>
          <w:rFonts w:eastAsiaTheme="minorHAnsi"/>
        </w:rPr>
        <w:t xml:space="preserve"> </w:t>
      </w:r>
    </w:p>
    <w:p w:rsidR="00AE61A3" w:rsidRPr="00630D5E" w:rsidRDefault="00AE61A3" w:rsidP="00AE61A3">
      <w:pPr>
        <w:pStyle w:val="Text2"/>
        <w:ind w:left="0"/>
      </w:pPr>
      <w:r w:rsidRPr="006E2222">
        <w:t>Grants awarded under the CBSS scheme are not expected to fall below EUR 60 000, except in duly justified cases</w:t>
      </w:r>
      <w:r w:rsidRPr="00B45E4F">
        <w:rPr>
          <w:rStyle w:val="CommentReference"/>
          <w:sz w:val="24"/>
        </w:rPr>
        <w:t>.</w:t>
      </w:r>
    </w:p>
    <w:p w:rsidR="00216FCA" w:rsidRPr="00630D5E" w:rsidRDefault="001A1AF2">
      <w:pPr>
        <w:pStyle w:val="Heading4"/>
        <w:rPr>
          <w:b/>
        </w:rPr>
      </w:pPr>
      <w:bookmarkStart w:id="73" w:name="DQCNUMB_39"/>
      <w:bookmarkEnd w:id="73"/>
      <w:r w:rsidRPr="00630D5E">
        <w:rPr>
          <w:b/>
        </w:rPr>
        <w:t>(c) Essential selection and award criteria</w:t>
      </w:r>
    </w:p>
    <w:p w:rsidR="00216FCA" w:rsidRPr="003F3DF2" w:rsidRDefault="001A1AF2">
      <w:pPr>
        <w:pStyle w:val="Text2"/>
        <w:ind w:left="0"/>
      </w:pPr>
      <w:r w:rsidRPr="003F3DF2">
        <w:t>The essential selection criteria are financial and operational capacity of the applicant.</w:t>
      </w:r>
    </w:p>
    <w:p w:rsidR="00216FCA" w:rsidRPr="00AF4088" w:rsidRDefault="001A1AF2">
      <w:pPr>
        <w:pStyle w:val="Text2"/>
        <w:ind w:left="0"/>
        <w:rPr>
          <w:highlight w:val="green"/>
        </w:rPr>
      </w:pPr>
      <w:r w:rsidRPr="00AF7378">
        <w:t>The essential award criteria are relevance of the proposed action to the objectives of the call; design, effectiveness, feasibility, sustainability and cost-effectiveness of the action.</w:t>
      </w:r>
    </w:p>
    <w:p w:rsidR="00216FCA" w:rsidRPr="00075538" w:rsidRDefault="001A1AF2">
      <w:pPr>
        <w:pStyle w:val="Heading4"/>
        <w:rPr>
          <w:b/>
        </w:rPr>
      </w:pPr>
      <w:bookmarkStart w:id="74" w:name="DQCNUMB_40"/>
      <w:bookmarkStart w:id="75" w:name="DQCNUMB_41"/>
      <w:bookmarkEnd w:id="74"/>
      <w:bookmarkEnd w:id="75"/>
      <w:r w:rsidRPr="00AF4088">
        <w:rPr>
          <w:b/>
        </w:rPr>
        <w:t>(d) Maximum rate of co-financing</w:t>
      </w:r>
    </w:p>
    <w:p w:rsidR="00D32264" w:rsidRPr="007C3758" w:rsidRDefault="00D32264" w:rsidP="00D32264">
      <w:pPr>
        <w:pStyle w:val="Text2"/>
        <w:spacing w:after="60"/>
        <w:ind w:left="0"/>
      </w:pPr>
      <w:r w:rsidRPr="006E0294">
        <w:t>The maximum possible rate of co-financing for grants under this action is 95%.</w:t>
      </w:r>
      <w:r w:rsidRPr="007C3758">
        <w:t xml:space="preserve"> </w:t>
      </w:r>
    </w:p>
    <w:p w:rsidR="00216FCA" w:rsidRPr="0058277E" w:rsidRDefault="001A1AF2">
      <w:pPr>
        <w:pStyle w:val="Text2"/>
        <w:ind w:left="0"/>
      </w:pPr>
      <w:bookmarkStart w:id="76" w:name="DQCNUMB_42"/>
      <w:bookmarkEnd w:id="76"/>
      <w:r w:rsidRPr="007C3758">
        <w:t>In accordance with Articles 192 of Regulation (EU, Euratom) No 966/2012, if full funding is essential for the action to be carried out, the maximum possible rate of co-financing may be increased up to 100 %. The essentiality of full funding</w:t>
      </w:r>
      <w:r w:rsidRPr="0058277E">
        <w:t xml:space="preserve"> will be justified by the Commission’s authorising officer responsible in the award decision, in respect of the principles of equal treatment and sound financial management.</w:t>
      </w:r>
    </w:p>
    <w:p w:rsidR="00216FCA" w:rsidRPr="0058277E" w:rsidRDefault="001A1AF2">
      <w:pPr>
        <w:pStyle w:val="Heading4"/>
        <w:rPr>
          <w:b/>
        </w:rPr>
      </w:pPr>
      <w:bookmarkStart w:id="77" w:name="DQCNUMB_43"/>
      <w:bookmarkEnd w:id="77"/>
      <w:r w:rsidRPr="0058277E">
        <w:rPr>
          <w:b/>
        </w:rPr>
        <w:t>(e) Indicative timing to launch the call</w:t>
      </w:r>
      <w:r w:rsidR="00A27282" w:rsidRPr="0058277E">
        <w:rPr>
          <w:b/>
        </w:rPr>
        <w:t>s</w:t>
      </w:r>
      <w:r w:rsidRPr="0058277E">
        <w:rPr>
          <w:b/>
        </w:rPr>
        <w:t>.</w:t>
      </w:r>
    </w:p>
    <w:p w:rsidR="00A27282" w:rsidRDefault="00A27282">
      <w:pPr>
        <w:pStyle w:val="Text1"/>
        <w:ind w:left="0"/>
      </w:pPr>
      <w:r w:rsidRPr="0058277E">
        <w:t xml:space="preserve">The timing of each call for proposals is to be decided by the EU delegation concerned. Attention should be paid to the deadline for contracting </w:t>
      </w:r>
      <w:r w:rsidR="00043F6D" w:rsidRPr="0058277E">
        <w:t xml:space="preserve">the EIDHR CBSS funds </w:t>
      </w:r>
      <w:r w:rsidRPr="0058277E">
        <w:t>(N+1).</w:t>
      </w:r>
    </w:p>
    <w:p w:rsidR="00A045D3" w:rsidRPr="00A045D3" w:rsidRDefault="00A045D3">
      <w:pPr>
        <w:pStyle w:val="Text1"/>
        <w:ind w:left="0"/>
      </w:pPr>
    </w:p>
    <w:p w:rsidR="00216FCA" w:rsidRPr="00D31E0E" w:rsidRDefault="001A1AF2">
      <w:pPr>
        <w:pStyle w:val="Heading3"/>
        <w:rPr>
          <w:b/>
        </w:rPr>
      </w:pPr>
      <w:r w:rsidRPr="00727745">
        <w:rPr>
          <w:b/>
        </w:rPr>
        <w:t>5.3.2 Grant: direct award (direct management)</w:t>
      </w:r>
      <w:bookmarkEnd w:id="69"/>
    </w:p>
    <w:p w:rsidR="00216FCA" w:rsidRPr="00AE61A3" w:rsidRDefault="001A1AF2">
      <w:pPr>
        <w:numPr>
          <w:ilvl w:val="0"/>
          <w:numId w:val="23"/>
        </w:numPr>
        <w:ind w:left="336" w:hanging="336"/>
        <w:rPr>
          <w:b/>
          <w:bCs/>
        </w:rPr>
      </w:pPr>
      <w:r w:rsidRPr="00820B8F">
        <w:rPr>
          <w:b/>
          <w:bCs/>
        </w:rPr>
        <w:t>Objectives of the grants, fields of intervention, priorities and expected resu</w:t>
      </w:r>
      <w:r w:rsidRPr="00AE61A3">
        <w:rPr>
          <w:b/>
          <w:bCs/>
        </w:rPr>
        <w:t>lts</w:t>
      </w:r>
    </w:p>
    <w:p w:rsidR="000A62D2" w:rsidRPr="00361287" w:rsidRDefault="000A62D2" w:rsidP="000A62D2">
      <w:r w:rsidRPr="00361287">
        <w:t>See in sections 4.1 and 5.3.1. above.</w:t>
      </w:r>
    </w:p>
    <w:p w:rsidR="00216FCA" w:rsidRPr="00361287" w:rsidRDefault="001A1AF2">
      <w:pPr>
        <w:numPr>
          <w:ilvl w:val="0"/>
          <w:numId w:val="23"/>
        </w:numPr>
        <w:ind w:left="336" w:hanging="336"/>
        <w:rPr>
          <w:b/>
          <w:bCs/>
        </w:rPr>
      </w:pPr>
      <w:r w:rsidRPr="00361287">
        <w:rPr>
          <w:b/>
          <w:bCs/>
        </w:rPr>
        <w:t>Justification of a direct award</w:t>
      </w:r>
    </w:p>
    <w:p w:rsidR="004247DC" w:rsidRDefault="001A1AF2" w:rsidP="00361287">
      <w:r w:rsidRPr="00361287">
        <w:t xml:space="preserve">Under the responsibility of the authorising officer by delegation, the recourse </w:t>
      </w:r>
      <w:r w:rsidR="00FE20C8" w:rsidRPr="00361287">
        <w:t xml:space="preserve">to a direct award </w:t>
      </w:r>
      <w:r w:rsidRPr="00361287">
        <w:t xml:space="preserve">without a call for proposals may be justified because beneficiaries are in one of the </w:t>
      </w:r>
      <w:r w:rsidRPr="00DB6463">
        <w:t>circumstances listed in Article 190 of the Rules of Application (RAP)</w:t>
      </w:r>
      <w:r w:rsidRPr="00DB6463">
        <w:rPr>
          <w:vertAlign w:val="superscript"/>
        </w:rPr>
        <w:footnoteReference w:id="13"/>
      </w:r>
      <w:r w:rsidR="00DB6463">
        <w:t>, which states the following:</w:t>
      </w:r>
      <w:r w:rsidR="00727745" w:rsidRPr="00361287" w:rsidDel="00727745">
        <w:t xml:space="preserve"> </w:t>
      </w:r>
    </w:p>
    <w:p w:rsidR="00DB6463" w:rsidRDefault="00DB6463" w:rsidP="00DB6463">
      <w:pPr>
        <w:spacing w:before="100" w:beforeAutospacing="1" w:after="100" w:afterAutospacing="1"/>
        <w:rPr>
          <w:i/>
          <w:iCs/>
          <w:color w:val="000000"/>
        </w:rPr>
      </w:pPr>
      <w:r>
        <w:rPr>
          <w:i/>
          <w:iCs/>
          <w:color w:val="000000"/>
        </w:rPr>
        <w:t>1. Grants may be awarded without a call for proposals only in the following cases:</w:t>
      </w:r>
    </w:p>
    <w:p w:rsidR="00DB6463" w:rsidRDefault="00DB6463" w:rsidP="00DB6463">
      <w:pPr>
        <w:pStyle w:val="19"/>
        <w:rPr>
          <w:rFonts w:eastAsia="Calibri"/>
          <w:i/>
          <w:iCs/>
          <w:color w:val="000000"/>
        </w:rPr>
      </w:pPr>
      <w:r>
        <w:rPr>
          <w:rFonts w:eastAsia="Calibri"/>
          <w:i/>
          <w:iCs/>
          <w:color w:val="000000"/>
        </w:rPr>
        <w:t xml:space="preserve">(a) for the purposes of humanitarian aid and civil protection operations or for crisis management aid within the meaning of paragraph 2; </w:t>
      </w:r>
    </w:p>
    <w:p w:rsidR="00DB6463" w:rsidRDefault="00DB6463" w:rsidP="00DB6463">
      <w:pPr>
        <w:pStyle w:val="19"/>
        <w:rPr>
          <w:rFonts w:eastAsia="Calibri"/>
          <w:i/>
          <w:iCs/>
          <w:color w:val="000000"/>
        </w:rPr>
      </w:pPr>
      <w:r>
        <w:rPr>
          <w:rFonts w:eastAsia="Calibri"/>
          <w:i/>
          <w:iCs/>
          <w:color w:val="000000"/>
        </w:rPr>
        <w:t xml:space="preserve">(b) in other exceptional and duly substantiated emergencies; </w:t>
      </w:r>
    </w:p>
    <w:p w:rsidR="00DB6463" w:rsidRDefault="00DB6463" w:rsidP="00DB6463">
      <w:pPr>
        <w:pStyle w:val="19"/>
        <w:rPr>
          <w:rFonts w:eastAsia="Calibri"/>
          <w:i/>
          <w:iCs/>
          <w:color w:val="000000"/>
        </w:rPr>
      </w:pPr>
      <w:r>
        <w:rPr>
          <w:rFonts w:eastAsia="Calibri"/>
          <w:i/>
          <w:iCs/>
          <w:color w:val="000000"/>
        </w:rPr>
        <w:t xml:space="preserve">(c) to bodies with a de jure or de facto monopoly, duly substantiated in the award decision; </w:t>
      </w:r>
    </w:p>
    <w:p w:rsidR="00DB6463" w:rsidRDefault="00DB6463" w:rsidP="00DB6463">
      <w:pPr>
        <w:pStyle w:val="19"/>
        <w:rPr>
          <w:rFonts w:eastAsia="Calibri"/>
          <w:i/>
          <w:iCs/>
          <w:color w:val="000000"/>
        </w:rPr>
      </w:pPr>
      <w:r>
        <w:rPr>
          <w:rFonts w:eastAsia="Calibri"/>
          <w:i/>
          <w:iCs/>
          <w:color w:val="000000"/>
        </w:rPr>
        <w:t>(d) to bodies identified by a basic act, within the meaning of Article 54 of the Financial Regulation, as beneficiaries of a grant or to bodies designated by the Member States, under their responsibility, where those Member States are identified by a basic act as beneficiaries of a grant;</w:t>
      </w:r>
    </w:p>
    <w:p w:rsidR="00DB6463" w:rsidRDefault="00DB6463" w:rsidP="00DB6463">
      <w:pPr>
        <w:pStyle w:val="19"/>
        <w:rPr>
          <w:rFonts w:eastAsia="Calibri"/>
          <w:i/>
          <w:iCs/>
          <w:color w:val="000000"/>
        </w:rPr>
      </w:pPr>
      <w:r>
        <w:rPr>
          <w:rFonts w:eastAsia="Calibri"/>
          <w:i/>
          <w:iCs/>
          <w:color w:val="000000"/>
        </w:rPr>
        <w:t xml:space="preserve">(e) in the case of research and technological development, to bodies identified in the work programme referred to in Article 128 of the Financial Regulation, where the basic act expressly provides for that possibility, and on condition that the project does not fall under the scope of a call for proposals; </w:t>
      </w:r>
    </w:p>
    <w:p w:rsidR="00DB6463" w:rsidRDefault="00DB6463" w:rsidP="00DB6463">
      <w:pPr>
        <w:pStyle w:val="19"/>
        <w:rPr>
          <w:rFonts w:eastAsia="Calibri"/>
          <w:i/>
          <w:iCs/>
          <w:color w:val="000000"/>
        </w:rPr>
      </w:pPr>
      <w:r>
        <w:rPr>
          <w:rFonts w:eastAsia="Calibri"/>
          <w:i/>
          <w:iCs/>
          <w:color w:val="000000"/>
        </w:rPr>
        <w:t xml:space="preserve">(f) for actions with specific characteristics that require a particular type of body on account of its technical competence, its high degree of specialisation or its administrative power, on condition that the actions concerned do not fall within the scope of a call for proposals. </w:t>
      </w:r>
    </w:p>
    <w:p w:rsidR="00DB6463" w:rsidRDefault="00DB6463" w:rsidP="00DB6463">
      <w:pPr>
        <w:pStyle w:val="19"/>
        <w:rPr>
          <w:rFonts w:eastAsia="Calibri"/>
          <w:i/>
          <w:iCs/>
          <w:color w:val="000000"/>
        </w:rPr>
      </w:pPr>
      <w:r>
        <w:rPr>
          <w:rFonts w:eastAsia="Calibri"/>
          <w:i/>
          <w:iCs/>
          <w:color w:val="000000"/>
        </w:rPr>
        <w:t xml:space="preserve">The cases referred to in point (f) of the first subparagraph shall be duly substantiated in the award decision. </w:t>
      </w:r>
    </w:p>
    <w:p w:rsidR="00DB6463" w:rsidRDefault="00DB6463" w:rsidP="00DB6463">
      <w:pPr>
        <w:spacing w:before="100" w:beforeAutospacing="1" w:after="100" w:afterAutospacing="1"/>
        <w:rPr>
          <w:rFonts w:eastAsiaTheme="minorHAnsi"/>
          <w:i/>
          <w:iCs/>
          <w:color w:val="000000"/>
        </w:rPr>
      </w:pPr>
      <w:r>
        <w:rPr>
          <w:i/>
          <w:iCs/>
          <w:color w:val="000000"/>
        </w:rPr>
        <w:t>2. Crisis situations in third countries shall be understood as situations of immediate or imminent danger threatening to escalate into armed conflict or to destabilise the country. Crisis situations shall also be understood as situations caused by natural disasters, manmade crisis such as wars and other conflicts or extraordinary circumstances having comparable effects related inter alia to climate change, environmental degradation, privation of access to energy and natural resources or extreme poverty.</w:t>
      </w:r>
    </w:p>
    <w:p w:rsidR="00062A60" w:rsidRPr="00AE61A3" w:rsidRDefault="00062A60" w:rsidP="00062A60">
      <w:pPr>
        <w:numPr>
          <w:ilvl w:val="0"/>
          <w:numId w:val="23"/>
        </w:numPr>
        <w:ind w:left="336" w:hanging="336"/>
        <w:rPr>
          <w:b/>
          <w:bCs/>
        </w:rPr>
      </w:pPr>
      <w:r w:rsidRPr="00AE61A3">
        <w:rPr>
          <w:b/>
          <w:bCs/>
        </w:rPr>
        <w:t>Eligibility conditions</w:t>
      </w:r>
    </w:p>
    <w:p w:rsidR="003C1692" w:rsidRPr="00361287" w:rsidRDefault="003C1692" w:rsidP="003C1692">
      <w:pPr>
        <w:pStyle w:val="Heading4"/>
        <w:numPr>
          <w:ilvl w:val="3"/>
          <w:numId w:val="0"/>
        </w:numPr>
        <w:rPr>
          <w:bCs w:val="0"/>
        </w:rPr>
      </w:pPr>
      <w:r w:rsidRPr="00AE61A3">
        <w:rPr>
          <w:bCs w:val="0"/>
        </w:rPr>
        <w:lastRenderedPageBreak/>
        <w:t>The eligibility criteria for applicants are defined in the Article 11.2 of Regulation (EU) No 236/2014 on comm</w:t>
      </w:r>
      <w:r w:rsidRPr="00361287">
        <w:rPr>
          <w:bCs w:val="0"/>
        </w:rPr>
        <w:t>on rules and procedures for the implementation of the Union's instruments for financing external action (CIR)</w:t>
      </w:r>
      <w:r w:rsidRPr="00361287">
        <w:rPr>
          <w:rStyle w:val="FootnoteReference"/>
        </w:rPr>
        <w:footnoteReference w:id="14"/>
      </w:r>
      <w:r w:rsidRPr="00361287">
        <w:rPr>
          <w:bCs w:val="0"/>
        </w:rPr>
        <w:t>.</w:t>
      </w:r>
    </w:p>
    <w:p w:rsidR="003C1692" w:rsidRPr="00361287" w:rsidRDefault="003C1692" w:rsidP="003C1692">
      <w:pPr>
        <w:pStyle w:val="Default"/>
        <w:jc w:val="both"/>
        <w:rPr>
          <w:color w:val="auto"/>
          <w:sz w:val="22"/>
          <w:szCs w:val="22"/>
        </w:rPr>
      </w:pPr>
      <w:r w:rsidRPr="00361287">
        <w:rPr>
          <w:color w:val="auto"/>
        </w:rPr>
        <w:t>The applicants will be primarily civil society organisations (as defined in the Art. 11.2 of CIR) with no geographical requirements set a priori. Given the nature of the objectives, however, the actions’ focus will preferably be on in-country civil society organisations</w:t>
      </w:r>
      <w:r w:rsidRPr="00361287">
        <w:rPr>
          <w:color w:val="auto"/>
          <w:sz w:val="22"/>
          <w:szCs w:val="22"/>
        </w:rPr>
        <w:t xml:space="preserve">. </w:t>
      </w:r>
    </w:p>
    <w:p w:rsidR="003C1692" w:rsidRPr="00361287" w:rsidRDefault="003C1692" w:rsidP="003C1692">
      <w:pPr>
        <w:pStyle w:val="Default"/>
        <w:jc w:val="both"/>
        <w:rPr>
          <w:color w:val="auto"/>
          <w:sz w:val="22"/>
          <w:szCs w:val="22"/>
        </w:rPr>
      </w:pPr>
    </w:p>
    <w:p w:rsidR="003C1692" w:rsidRPr="00F90715" w:rsidRDefault="003C1692" w:rsidP="003C1692">
      <w:pPr>
        <w:pStyle w:val="Default"/>
        <w:jc w:val="both"/>
        <w:rPr>
          <w:color w:val="auto"/>
          <w:sz w:val="22"/>
          <w:szCs w:val="22"/>
        </w:rPr>
      </w:pPr>
      <w:r w:rsidRPr="00361287">
        <w:rPr>
          <w:color w:val="auto"/>
        </w:rPr>
        <w:t xml:space="preserve">In addition, public-sector non-profit agencies, institutions and organisations (including </w:t>
      </w:r>
      <w:r w:rsidR="00AE61A3">
        <w:rPr>
          <w:color w:val="auto"/>
        </w:rPr>
        <w:t xml:space="preserve">the </w:t>
      </w:r>
      <w:r w:rsidRPr="00AE61A3">
        <w:rPr>
          <w:color w:val="auto"/>
        </w:rPr>
        <w:t xml:space="preserve"> National Human Rights </w:t>
      </w:r>
      <w:r w:rsidRPr="00361287">
        <w:rPr>
          <w:color w:val="auto"/>
        </w:rPr>
        <w:t>Institutions), international inter-governmental organisation and national parliamentary bodies will be judged eligible when this is necessary to achieve the objectives of the EIDHR.</w:t>
      </w:r>
      <w:r w:rsidR="00F90715">
        <w:rPr>
          <w:color w:val="auto"/>
        </w:rPr>
        <w:t xml:space="preserve"> </w:t>
      </w:r>
    </w:p>
    <w:p w:rsidR="003C1692" w:rsidRDefault="003C1692" w:rsidP="003C1692">
      <w:r w:rsidRPr="00361287">
        <w:t>Natural persons and entities without legal personality are eligible for funding under the CBSS in exceptional and duly justified cases, when this is necessary to achieve the objectives of the instrument.</w:t>
      </w:r>
    </w:p>
    <w:p w:rsidR="00AE61A3" w:rsidRPr="00B45E4F" w:rsidRDefault="00AE61A3" w:rsidP="00AE61A3">
      <w:pPr>
        <w:autoSpaceDE w:val="0"/>
        <w:autoSpaceDN w:val="0"/>
        <w:adjustRightInd w:val="0"/>
        <w:spacing w:before="0" w:after="0"/>
        <w:rPr>
          <w:rFonts w:eastAsiaTheme="minorHAnsi"/>
        </w:rPr>
      </w:pPr>
      <w:r w:rsidRPr="006E2222">
        <w:rPr>
          <w:rFonts w:eastAsiaTheme="minorHAnsi"/>
        </w:rPr>
        <w:t xml:space="preserve">The indicative maximum duration of grants (its implementation period) </w:t>
      </w:r>
      <w:r>
        <w:rPr>
          <w:rFonts w:eastAsiaTheme="minorHAnsi"/>
        </w:rPr>
        <w:t xml:space="preserve">will be </w:t>
      </w:r>
      <w:r w:rsidRPr="006E2222">
        <w:rPr>
          <w:rFonts w:eastAsiaTheme="minorHAnsi"/>
        </w:rPr>
        <w:t>36 months.</w:t>
      </w:r>
      <w:r w:rsidRPr="00B45E4F">
        <w:rPr>
          <w:rFonts w:eastAsiaTheme="minorHAnsi"/>
        </w:rPr>
        <w:t xml:space="preserve"> </w:t>
      </w:r>
    </w:p>
    <w:p w:rsidR="00AE61A3" w:rsidRPr="00630D5E" w:rsidRDefault="00AE61A3" w:rsidP="00AE61A3">
      <w:pPr>
        <w:pStyle w:val="Text2"/>
        <w:ind w:left="0"/>
      </w:pPr>
      <w:r w:rsidRPr="006E2222">
        <w:t>Grants awarded under the CBSS scheme are not expected to fall below EUR 60 000, except in duly justified cases</w:t>
      </w:r>
      <w:r w:rsidRPr="00B45E4F">
        <w:rPr>
          <w:rStyle w:val="CommentReference"/>
          <w:sz w:val="24"/>
        </w:rPr>
        <w:t>.</w:t>
      </w:r>
    </w:p>
    <w:p w:rsidR="00C67A4B" w:rsidRPr="00F90715" w:rsidRDefault="00062A60" w:rsidP="00C67A4B">
      <w:pPr>
        <w:pStyle w:val="Heading4"/>
        <w:rPr>
          <w:b/>
        </w:rPr>
      </w:pPr>
      <w:r w:rsidRPr="006140ED">
        <w:rPr>
          <w:b/>
        </w:rPr>
        <w:t>d</w:t>
      </w:r>
      <w:r w:rsidR="00C67A4B" w:rsidRPr="00F90715">
        <w:rPr>
          <w:b/>
        </w:rPr>
        <w:t>) Essential selection and award criteria</w:t>
      </w:r>
    </w:p>
    <w:p w:rsidR="00C67A4B" w:rsidRPr="00361287" w:rsidRDefault="00C67A4B" w:rsidP="00C67A4B">
      <w:pPr>
        <w:pStyle w:val="Text2"/>
        <w:ind w:left="0"/>
      </w:pPr>
      <w:r w:rsidRPr="00361287">
        <w:t>The essential selection criteria are financial and operational capacity of the applicant.</w:t>
      </w:r>
    </w:p>
    <w:p w:rsidR="00C67A4B" w:rsidRPr="00361287" w:rsidRDefault="00C67A4B" w:rsidP="00C67A4B">
      <w:pPr>
        <w:pStyle w:val="Text2"/>
        <w:ind w:left="0"/>
      </w:pPr>
      <w:r w:rsidRPr="00361287">
        <w:t xml:space="preserve">The essential award criteria are </w:t>
      </w:r>
      <w:r w:rsidR="00D63406" w:rsidRPr="00361287">
        <w:t xml:space="preserve">the </w:t>
      </w:r>
      <w:r w:rsidRPr="00361287">
        <w:t xml:space="preserve">relevance of the proposed action to the objectives </w:t>
      </w:r>
      <w:r w:rsidR="00D63406" w:rsidRPr="00361287">
        <w:t>of the EIDHR</w:t>
      </w:r>
      <w:r w:rsidRPr="00361287">
        <w:t>; design, effectiveness, feasibility, sustainability and cost-effectiveness of the action.</w:t>
      </w:r>
      <w:r w:rsidR="00D63406" w:rsidRPr="00361287">
        <w:t xml:space="preserve"> </w:t>
      </w:r>
    </w:p>
    <w:p w:rsidR="00216FCA" w:rsidRPr="00361287" w:rsidRDefault="001A1AF2">
      <w:pPr>
        <w:rPr>
          <w:b/>
        </w:rPr>
      </w:pPr>
      <w:r w:rsidRPr="00361287">
        <w:rPr>
          <w:b/>
        </w:rPr>
        <w:t>(d) Maximum rate of co-financing</w:t>
      </w:r>
    </w:p>
    <w:p w:rsidR="00D31E0E" w:rsidRPr="007C3758" w:rsidRDefault="006E0294" w:rsidP="00D31E0E">
      <w:pPr>
        <w:pStyle w:val="Text2"/>
        <w:spacing w:after="60"/>
        <w:ind w:left="0"/>
      </w:pPr>
      <w:r w:rsidRPr="006E0294">
        <w:t xml:space="preserve">The </w:t>
      </w:r>
      <w:r w:rsidR="00D31E0E" w:rsidRPr="006E0294">
        <w:t xml:space="preserve">maximum possible rate of co-financing for grants under this action </w:t>
      </w:r>
      <w:r w:rsidRPr="006E0294">
        <w:t xml:space="preserve">is </w:t>
      </w:r>
      <w:r w:rsidR="00D31E0E" w:rsidRPr="006E0294">
        <w:t>95%.</w:t>
      </w:r>
      <w:r w:rsidR="00D31E0E" w:rsidRPr="007C3758">
        <w:t xml:space="preserve"> </w:t>
      </w:r>
    </w:p>
    <w:p w:rsidR="00D31E0E" w:rsidRDefault="00D31E0E">
      <w:pPr>
        <w:rPr>
          <w:highlight w:val="yellow"/>
        </w:rPr>
      </w:pPr>
      <w:r w:rsidRPr="007C3758">
        <w:t>In accordance with Articles 192 of Regulation (EU, Euratom) No 966/2012, if full funding is essential for the action to be carried out, the maximum possible rate of co-financing may be increased up to 100 %. The essentiality of full funding</w:t>
      </w:r>
      <w:r w:rsidRPr="0058277E">
        <w:t xml:space="preserve"> will be justified by the Commission’s authorising officer responsible in the award decision, in respect of the principles of equal treatment and sound financial management</w:t>
      </w:r>
      <w:r w:rsidRPr="00D31E0E" w:rsidDel="00D31E0E">
        <w:rPr>
          <w:highlight w:val="yellow"/>
        </w:rPr>
        <w:t xml:space="preserve"> </w:t>
      </w:r>
    </w:p>
    <w:p w:rsidR="00216FCA" w:rsidRPr="00AE61A3" w:rsidRDefault="001A1AF2">
      <w:pPr>
        <w:rPr>
          <w:b/>
        </w:rPr>
      </w:pPr>
      <w:r w:rsidRPr="00D31E0E">
        <w:rPr>
          <w:b/>
        </w:rPr>
        <w:t>(e) Indicative trimester to contact the potential direct grant b</w:t>
      </w:r>
      <w:r w:rsidRPr="00820B8F">
        <w:rPr>
          <w:b/>
        </w:rPr>
        <w:t>eneficiary</w:t>
      </w:r>
    </w:p>
    <w:p w:rsidR="00A27282" w:rsidRDefault="00A27282" w:rsidP="00C67A4B">
      <w:pPr>
        <w:spacing w:after="0"/>
      </w:pPr>
      <w:r w:rsidRPr="00AE61A3">
        <w:t>Attention should be paid to the deadline for contracting (N+1).</w:t>
      </w:r>
    </w:p>
    <w:p w:rsidR="009D2B5C" w:rsidRPr="00AE61A3" w:rsidRDefault="009D2B5C" w:rsidP="00C67A4B">
      <w:pPr>
        <w:spacing w:after="0"/>
      </w:pPr>
    </w:p>
    <w:p w:rsidR="00216FCA" w:rsidRPr="00361287" w:rsidRDefault="001A1AF2">
      <w:pPr>
        <w:pStyle w:val="Heading3"/>
        <w:rPr>
          <w:b/>
        </w:rPr>
      </w:pPr>
      <w:r w:rsidRPr="00361287">
        <w:rPr>
          <w:b/>
        </w:rPr>
        <w:t>5.3.</w:t>
      </w:r>
      <w:r w:rsidR="00272FBF" w:rsidRPr="00361287">
        <w:rPr>
          <w:b/>
        </w:rPr>
        <w:t>3</w:t>
      </w:r>
      <w:r w:rsidRPr="00361287">
        <w:rPr>
          <w:b/>
        </w:rPr>
        <w:t xml:space="preserve"> Procurement (direct management) – Support Measures</w:t>
      </w:r>
    </w:p>
    <w:p w:rsidR="00216FCA" w:rsidRPr="00361287" w:rsidRDefault="001A1AF2">
      <w:pPr>
        <w:rPr>
          <w:szCs w:val="22"/>
          <w:lang w:eastAsia="en-GB"/>
        </w:rPr>
      </w:pPr>
      <w:r w:rsidRPr="00361287">
        <w:rPr>
          <w:szCs w:val="22"/>
          <w:lang w:eastAsia="en-GB"/>
        </w:rPr>
        <w:t xml:space="preserve">The Commission, through </w:t>
      </w:r>
      <w:r w:rsidR="0004638F" w:rsidRPr="00361287">
        <w:rPr>
          <w:szCs w:val="22"/>
          <w:lang w:eastAsia="en-GB"/>
        </w:rPr>
        <w:t xml:space="preserve">the </w:t>
      </w:r>
      <w:r w:rsidRPr="00361287">
        <w:rPr>
          <w:szCs w:val="22"/>
          <w:lang w:eastAsia="en-GB"/>
        </w:rPr>
        <w:t>EU delegations, will be able to spend up to 10 % of the respective annual operational country allocation on support measures accompanying the implementation of EIDHR country-based support schemes to cover</w:t>
      </w:r>
      <w:r w:rsidR="009C0F65" w:rsidRPr="00361287">
        <w:rPr>
          <w:szCs w:val="22"/>
          <w:lang w:eastAsia="en-GB"/>
        </w:rPr>
        <w:t>,</w:t>
      </w:r>
      <w:r w:rsidRPr="00361287">
        <w:rPr>
          <w:szCs w:val="22"/>
          <w:lang w:eastAsia="en-GB"/>
        </w:rPr>
        <w:t xml:space="preserve"> </w:t>
      </w:r>
      <w:r w:rsidR="006F782E" w:rsidRPr="00361287">
        <w:rPr>
          <w:i/>
          <w:szCs w:val="22"/>
          <w:lang w:eastAsia="en-GB"/>
        </w:rPr>
        <w:t>i</w:t>
      </w:r>
      <w:r w:rsidR="009C0F65" w:rsidRPr="00361287">
        <w:rPr>
          <w:i/>
          <w:szCs w:val="22"/>
          <w:lang w:eastAsia="en-GB"/>
        </w:rPr>
        <w:t>nter alia,</w:t>
      </w:r>
      <w:r w:rsidR="006F782E" w:rsidRPr="00361287">
        <w:rPr>
          <w:szCs w:val="22"/>
          <w:lang w:eastAsia="en-GB"/>
        </w:rPr>
        <w:t xml:space="preserve"> </w:t>
      </w:r>
      <w:r w:rsidRPr="00361287">
        <w:rPr>
          <w:szCs w:val="22"/>
          <w:lang w:eastAsia="en-GB"/>
        </w:rPr>
        <w:t xml:space="preserve">information sessions on calls for proposals, </w:t>
      </w:r>
      <w:r w:rsidR="00E7291C" w:rsidRPr="00361287">
        <w:rPr>
          <w:szCs w:val="22"/>
          <w:lang w:eastAsia="en-GB"/>
        </w:rPr>
        <w:t xml:space="preserve">meetings with CSOs active in human rights, </w:t>
      </w:r>
      <w:r w:rsidRPr="00361287">
        <w:rPr>
          <w:szCs w:val="22"/>
          <w:lang w:eastAsia="en-GB"/>
        </w:rPr>
        <w:t xml:space="preserve">mapping </w:t>
      </w:r>
      <w:r w:rsidR="00E7291C" w:rsidRPr="00361287">
        <w:rPr>
          <w:szCs w:val="22"/>
          <w:lang w:eastAsia="en-GB"/>
        </w:rPr>
        <w:t>of CSOs</w:t>
      </w:r>
      <w:r w:rsidRPr="00361287">
        <w:rPr>
          <w:szCs w:val="22"/>
          <w:lang w:eastAsia="en-GB"/>
        </w:rPr>
        <w:t xml:space="preserve">, </w:t>
      </w:r>
      <w:r w:rsidR="00E7291C" w:rsidRPr="00361287">
        <w:rPr>
          <w:szCs w:val="22"/>
          <w:lang w:eastAsia="en-GB"/>
        </w:rPr>
        <w:t xml:space="preserve">outreach and awareness raising activities, studies, </w:t>
      </w:r>
      <w:r w:rsidRPr="00361287">
        <w:rPr>
          <w:szCs w:val="22"/>
          <w:lang w:eastAsia="en-GB"/>
        </w:rPr>
        <w:t>seminar</w:t>
      </w:r>
      <w:r w:rsidR="00E7291C" w:rsidRPr="00361287">
        <w:rPr>
          <w:szCs w:val="22"/>
          <w:lang w:eastAsia="en-GB"/>
        </w:rPr>
        <w:t>s, trainings (including on Right-</w:t>
      </w:r>
      <w:r w:rsidRPr="00361287">
        <w:rPr>
          <w:szCs w:val="22"/>
          <w:lang w:eastAsia="en-GB"/>
        </w:rPr>
        <w:t>Based Approach to Development</w:t>
      </w:r>
      <w:r w:rsidR="00E7291C" w:rsidRPr="00361287">
        <w:rPr>
          <w:szCs w:val="22"/>
          <w:lang w:eastAsia="en-GB"/>
        </w:rPr>
        <w:t>)</w:t>
      </w:r>
      <w:r w:rsidRPr="00361287">
        <w:rPr>
          <w:szCs w:val="22"/>
          <w:lang w:eastAsia="en-GB"/>
        </w:rPr>
        <w:t xml:space="preserve">, evaluations, audits, publications, visibility of projects, exchanges of best practices, actions to ensure the sustainability of projects and other administrative and technical assistance expenditure to contribute to the sound management of </w:t>
      </w:r>
      <w:r w:rsidRPr="00361287">
        <w:rPr>
          <w:szCs w:val="22"/>
          <w:lang w:eastAsia="en-GB"/>
        </w:rPr>
        <w:lastRenderedPageBreak/>
        <w:t xml:space="preserve">the programme, </w:t>
      </w:r>
      <w:r w:rsidRPr="00361287">
        <w:t>the achievement of its objectives and expected results and to the measurement, analysis and reporting on its impact</w:t>
      </w:r>
      <w:r w:rsidRPr="00361287">
        <w:rPr>
          <w:szCs w:val="22"/>
          <w:lang w:eastAsia="en-GB"/>
        </w:rPr>
        <w:t>. This 10% can also be used to support the advocacy by Human Rights activists or defenders including their capacity to attend and provide input to meetings out of the country as well as to support non-EIDHR human right related activities.</w:t>
      </w:r>
    </w:p>
    <w:p w:rsidR="00216FCA" w:rsidRDefault="001A1AF2">
      <w:pPr>
        <w:rPr>
          <w:szCs w:val="22"/>
          <w:lang w:eastAsia="en-GB"/>
        </w:rPr>
      </w:pPr>
      <w:bookmarkStart w:id="78" w:name="DQCNUMB_44"/>
      <w:bookmarkEnd w:id="78"/>
      <w:r w:rsidRPr="00361287">
        <w:rPr>
          <w:szCs w:val="22"/>
          <w:lang w:eastAsia="en-GB"/>
        </w:rPr>
        <w:t xml:space="preserve">The EU delegations </w:t>
      </w:r>
      <w:r w:rsidR="009C0F65" w:rsidRPr="00361287">
        <w:rPr>
          <w:szCs w:val="22"/>
          <w:lang w:eastAsia="en-GB"/>
        </w:rPr>
        <w:t>c</w:t>
      </w:r>
      <w:r w:rsidRPr="00361287">
        <w:rPr>
          <w:szCs w:val="22"/>
          <w:lang w:eastAsia="en-GB"/>
        </w:rPr>
        <w:t xml:space="preserve">ould also use part of </w:t>
      </w:r>
      <w:r w:rsidR="009C0F65" w:rsidRPr="00361287">
        <w:rPr>
          <w:szCs w:val="22"/>
          <w:lang w:eastAsia="en-GB"/>
        </w:rPr>
        <w:t xml:space="preserve">the </w:t>
      </w:r>
      <w:r w:rsidRPr="00361287">
        <w:rPr>
          <w:szCs w:val="22"/>
          <w:lang w:eastAsia="en-GB"/>
        </w:rPr>
        <w:t xml:space="preserve">Support Measures </w:t>
      </w:r>
      <w:r w:rsidR="009C0F65" w:rsidRPr="00361287">
        <w:rPr>
          <w:szCs w:val="22"/>
          <w:lang w:eastAsia="en-GB"/>
        </w:rPr>
        <w:t xml:space="preserve">allocation </w:t>
      </w:r>
      <w:r w:rsidRPr="00361287">
        <w:rPr>
          <w:szCs w:val="22"/>
          <w:lang w:eastAsia="en-GB"/>
        </w:rPr>
        <w:t xml:space="preserve">to support the beneficiaries of the local calls for proposals </w:t>
      </w:r>
      <w:r w:rsidR="00567182">
        <w:rPr>
          <w:szCs w:val="22"/>
          <w:lang w:eastAsia="en-GB"/>
        </w:rPr>
        <w:t xml:space="preserve">or to </w:t>
      </w:r>
      <w:r w:rsidRPr="00567182">
        <w:rPr>
          <w:szCs w:val="22"/>
          <w:lang w:eastAsia="en-GB"/>
        </w:rPr>
        <w:t>increase visibility of the instrument.</w:t>
      </w:r>
    </w:p>
    <w:p w:rsidR="00F90715" w:rsidRDefault="009D2B5C" w:rsidP="009D2B5C">
      <w:r w:rsidRPr="009D2B5C">
        <w:t>Attention should be paid to the deadline for contracting (N+1).</w:t>
      </w:r>
      <w:bookmarkStart w:id="79" w:name="_Ref399842648"/>
      <w:bookmarkStart w:id="80" w:name="_Toc391537215"/>
      <w:bookmarkStart w:id="81" w:name="_Toc392858022"/>
      <w:bookmarkStart w:id="82" w:name="_Toc391022372"/>
      <w:bookmarkStart w:id="83" w:name="_Ref399942073"/>
      <w:bookmarkStart w:id="84" w:name="_Ref399942000"/>
    </w:p>
    <w:p w:rsidR="009D2B5C" w:rsidRPr="009D2B5C" w:rsidRDefault="009D2B5C" w:rsidP="009D2B5C">
      <w:pPr>
        <w:rPr>
          <w:szCs w:val="22"/>
          <w:lang w:eastAsia="en-GB"/>
        </w:rPr>
      </w:pPr>
    </w:p>
    <w:p w:rsidR="00216FCA" w:rsidRPr="0058277E" w:rsidRDefault="001A1AF2">
      <w:pPr>
        <w:pStyle w:val="Heading2"/>
        <w:numPr>
          <w:ilvl w:val="0"/>
          <w:numId w:val="0"/>
        </w:numPr>
        <w:ind w:left="992" w:hanging="850"/>
        <w:rPr>
          <w:color w:val="auto"/>
        </w:rPr>
      </w:pPr>
      <w:r w:rsidRPr="0058277E">
        <w:rPr>
          <w:color w:val="auto"/>
        </w:rPr>
        <w:t>5.4</w:t>
      </w:r>
      <w:r w:rsidRPr="0058277E">
        <w:rPr>
          <w:color w:val="auto"/>
        </w:rPr>
        <w:tab/>
        <w:t>Scope of geographical eligibility for procurement and grants</w:t>
      </w:r>
      <w:bookmarkEnd w:id="79"/>
      <w:bookmarkEnd w:id="80"/>
      <w:bookmarkEnd w:id="81"/>
      <w:bookmarkEnd w:id="82"/>
      <w:bookmarkEnd w:id="83"/>
      <w:bookmarkEnd w:id="84"/>
    </w:p>
    <w:p w:rsidR="00216FCA" w:rsidRPr="0058277E" w:rsidRDefault="001A1AF2">
      <w:pPr>
        <w:rPr>
          <w:szCs w:val="22"/>
          <w:lang w:eastAsia="en-GB"/>
        </w:rPr>
      </w:pPr>
      <w:r w:rsidRPr="0058277E">
        <w:rPr>
          <w:szCs w:val="22"/>
          <w:lang w:eastAsia="en-GB"/>
        </w:rPr>
        <w:t>The geographical eligibility in terms of place of establishment for participating in procurement and grant award procedures and in terms of origin of supplies purchased as established in the basic act shall apply.</w:t>
      </w:r>
    </w:p>
    <w:p w:rsidR="00216FCA" w:rsidRPr="0058277E" w:rsidRDefault="001A1AF2">
      <w:pPr>
        <w:pStyle w:val="Heading2"/>
        <w:numPr>
          <w:ilvl w:val="0"/>
          <w:numId w:val="0"/>
        </w:numPr>
        <w:ind w:left="992" w:hanging="850"/>
        <w:rPr>
          <w:color w:val="auto"/>
        </w:rPr>
      </w:pPr>
      <w:r w:rsidRPr="0058277E">
        <w:rPr>
          <w:color w:val="auto"/>
        </w:rPr>
        <w:t>5.5</w:t>
      </w:r>
      <w:r w:rsidRPr="0058277E">
        <w:rPr>
          <w:color w:val="auto"/>
        </w:rPr>
        <w:tab/>
        <w:t>Indicative budget</w:t>
      </w:r>
    </w:p>
    <w:p w:rsidR="00905606" w:rsidRPr="000E7F15" w:rsidRDefault="00905606" w:rsidP="00905606">
      <w:pPr>
        <w:rPr>
          <w:szCs w:val="22"/>
          <w:lang w:eastAsia="en-GB"/>
        </w:rPr>
      </w:pPr>
    </w:p>
    <w:tbl>
      <w:tblPr>
        <w:tblW w:w="96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7"/>
        <w:gridCol w:w="2007"/>
        <w:gridCol w:w="2007"/>
      </w:tblGrid>
      <w:tr w:rsidR="00612909" w:rsidRPr="00AC3360" w:rsidTr="00612909">
        <w:trPr>
          <w:jc w:val="center"/>
        </w:trPr>
        <w:tc>
          <w:tcPr>
            <w:tcW w:w="5677" w:type="dxa"/>
            <w:shd w:val="clear" w:color="auto" w:fill="auto"/>
          </w:tcPr>
          <w:p w:rsidR="00612909" w:rsidRPr="00AC3360" w:rsidRDefault="00612909">
            <w:pPr>
              <w:spacing w:before="60" w:after="60"/>
              <w:jc w:val="center"/>
              <w:rPr>
                <w:b/>
                <w:szCs w:val="22"/>
                <w:lang w:eastAsia="en-GB"/>
              </w:rPr>
            </w:pPr>
            <w:r w:rsidRPr="00AC3360">
              <w:rPr>
                <w:b/>
                <w:szCs w:val="22"/>
                <w:lang w:eastAsia="en-GB"/>
              </w:rPr>
              <w:t>Module</w:t>
            </w:r>
          </w:p>
        </w:tc>
        <w:tc>
          <w:tcPr>
            <w:tcW w:w="2007" w:type="dxa"/>
            <w:shd w:val="clear" w:color="auto" w:fill="auto"/>
          </w:tcPr>
          <w:p w:rsidR="00612909" w:rsidRPr="00AC3360" w:rsidRDefault="00612909">
            <w:pPr>
              <w:spacing w:before="60" w:after="60"/>
              <w:jc w:val="center"/>
              <w:rPr>
                <w:b/>
                <w:szCs w:val="22"/>
                <w:lang w:eastAsia="en-GB"/>
              </w:rPr>
            </w:pPr>
            <w:r w:rsidRPr="00AC3360">
              <w:rPr>
                <w:b/>
                <w:szCs w:val="22"/>
                <w:lang w:eastAsia="en-GB"/>
              </w:rPr>
              <w:t>Amount in EUR thousands</w:t>
            </w:r>
          </w:p>
        </w:tc>
        <w:tc>
          <w:tcPr>
            <w:tcW w:w="2007" w:type="dxa"/>
          </w:tcPr>
          <w:p w:rsidR="00612909" w:rsidRPr="00AC3360" w:rsidRDefault="00612909" w:rsidP="00612909">
            <w:pPr>
              <w:spacing w:before="60" w:after="60"/>
              <w:jc w:val="center"/>
              <w:rPr>
                <w:b/>
                <w:szCs w:val="22"/>
                <w:lang w:eastAsia="en-GB"/>
              </w:rPr>
            </w:pPr>
            <w:r w:rsidRPr="00AC3360">
              <w:rPr>
                <w:b/>
              </w:rPr>
              <w:t>Indicative third party contribution, in EUR</w:t>
            </w:r>
          </w:p>
        </w:tc>
      </w:tr>
      <w:tr w:rsidR="00612909" w:rsidRPr="00AC3360" w:rsidTr="00612909">
        <w:trPr>
          <w:jc w:val="center"/>
        </w:trPr>
        <w:tc>
          <w:tcPr>
            <w:tcW w:w="5677" w:type="dxa"/>
            <w:shd w:val="clear" w:color="auto" w:fill="auto"/>
          </w:tcPr>
          <w:p w:rsidR="00612909" w:rsidRPr="00AC3360" w:rsidRDefault="00612909" w:rsidP="0029755D">
            <w:pPr>
              <w:spacing w:before="60" w:after="60"/>
              <w:rPr>
                <w:szCs w:val="22"/>
                <w:lang w:eastAsia="en-GB"/>
              </w:rPr>
            </w:pPr>
            <w:r w:rsidRPr="00AC3360">
              <w:rPr>
                <w:szCs w:val="22"/>
                <w:lang w:eastAsia="en-GB"/>
              </w:rPr>
              <w:t>4.3.1. – Grants</w:t>
            </w:r>
          </w:p>
        </w:tc>
        <w:tc>
          <w:tcPr>
            <w:tcW w:w="2007" w:type="dxa"/>
            <w:shd w:val="clear" w:color="auto" w:fill="auto"/>
          </w:tcPr>
          <w:p w:rsidR="00612909" w:rsidRPr="00AC3360" w:rsidRDefault="00AC3360" w:rsidP="005005EA">
            <w:pPr>
              <w:spacing w:before="60" w:after="60"/>
              <w:jc w:val="right"/>
              <w:rPr>
                <w:szCs w:val="22"/>
                <w:lang w:eastAsia="en-GB"/>
              </w:rPr>
            </w:pPr>
            <w:r w:rsidRPr="00AC3360">
              <w:rPr>
                <w:szCs w:val="22"/>
                <w:lang w:eastAsia="en-GB"/>
              </w:rPr>
              <w:t>243,621,000</w:t>
            </w:r>
          </w:p>
        </w:tc>
        <w:tc>
          <w:tcPr>
            <w:tcW w:w="2007" w:type="dxa"/>
          </w:tcPr>
          <w:p w:rsidR="00612909" w:rsidRPr="00AC3360" w:rsidRDefault="00AC079A" w:rsidP="000E7F15">
            <w:pPr>
              <w:spacing w:before="60" w:after="60"/>
              <w:jc w:val="right"/>
              <w:rPr>
                <w:szCs w:val="22"/>
                <w:lang w:eastAsia="en-GB"/>
              </w:rPr>
            </w:pPr>
            <w:r>
              <w:rPr>
                <w:szCs w:val="22"/>
                <w:lang w:eastAsia="en-GB"/>
              </w:rPr>
              <w:t>t</w:t>
            </w:r>
            <w:r w:rsidR="00AC3360" w:rsidRPr="00AC3360">
              <w:rPr>
                <w:szCs w:val="22"/>
                <w:lang w:eastAsia="en-GB"/>
              </w:rPr>
              <w:t>bd</w:t>
            </w:r>
          </w:p>
        </w:tc>
      </w:tr>
      <w:tr w:rsidR="00612909" w:rsidRPr="00AC3360" w:rsidTr="00612909">
        <w:trPr>
          <w:jc w:val="center"/>
        </w:trPr>
        <w:tc>
          <w:tcPr>
            <w:tcW w:w="5677" w:type="dxa"/>
            <w:shd w:val="clear" w:color="auto" w:fill="auto"/>
          </w:tcPr>
          <w:p w:rsidR="00612909" w:rsidRPr="00AC3360" w:rsidRDefault="00612909" w:rsidP="0029755D">
            <w:pPr>
              <w:spacing w:before="60" w:after="60"/>
              <w:rPr>
                <w:szCs w:val="22"/>
                <w:lang w:eastAsia="en-GB"/>
              </w:rPr>
            </w:pPr>
            <w:r w:rsidRPr="00AC3360">
              <w:rPr>
                <w:szCs w:val="22"/>
                <w:lang w:eastAsia="en-GB"/>
              </w:rPr>
              <w:t>4.3.2. – Procurement</w:t>
            </w:r>
          </w:p>
        </w:tc>
        <w:tc>
          <w:tcPr>
            <w:tcW w:w="2007" w:type="dxa"/>
            <w:shd w:val="clear" w:color="auto" w:fill="auto"/>
          </w:tcPr>
          <w:p w:rsidR="00612909" w:rsidRPr="00AC3360" w:rsidRDefault="00AC3360" w:rsidP="00361287">
            <w:pPr>
              <w:spacing w:before="60" w:after="60"/>
              <w:jc w:val="right"/>
              <w:rPr>
                <w:szCs w:val="22"/>
                <w:lang w:eastAsia="en-GB"/>
              </w:rPr>
            </w:pPr>
            <w:r w:rsidRPr="00AC3360">
              <w:rPr>
                <w:szCs w:val="22"/>
                <w:lang w:eastAsia="en-GB"/>
              </w:rPr>
              <w:t>27,069,000</w:t>
            </w:r>
          </w:p>
        </w:tc>
        <w:tc>
          <w:tcPr>
            <w:tcW w:w="2007" w:type="dxa"/>
          </w:tcPr>
          <w:p w:rsidR="00612909" w:rsidRPr="00AC3360" w:rsidRDefault="00612909" w:rsidP="00361287">
            <w:pPr>
              <w:spacing w:before="60" w:after="60"/>
              <w:jc w:val="right"/>
              <w:rPr>
                <w:szCs w:val="22"/>
                <w:lang w:eastAsia="en-GB"/>
              </w:rPr>
            </w:pPr>
          </w:p>
        </w:tc>
      </w:tr>
      <w:tr w:rsidR="00612909" w:rsidRPr="00AC3360" w:rsidTr="00612909">
        <w:trPr>
          <w:jc w:val="center"/>
        </w:trPr>
        <w:tc>
          <w:tcPr>
            <w:tcW w:w="5677" w:type="dxa"/>
            <w:shd w:val="clear" w:color="auto" w:fill="auto"/>
          </w:tcPr>
          <w:p w:rsidR="00612909" w:rsidRPr="00AC3360" w:rsidRDefault="00612909">
            <w:pPr>
              <w:spacing w:before="60" w:after="60"/>
              <w:rPr>
                <w:b/>
                <w:szCs w:val="22"/>
                <w:lang w:eastAsia="en-GB"/>
              </w:rPr>
            </w:pPr>
            <w:r w:rsidRPr="00AC3360">
              <w:rPr>
                <w:b/>
                <w:szCs w:val="22"/>
                <w:lang w:eastAsia="en-GB"/>
              </w:rPr>
              <w:t>Total</w:t>
            </w:r>
          </w:p>
        </w:tc>
        <w:tc>
          <w:tcPr>
            <w:tcW w:w="2007" w:type="dxa"/>
            <w:shd w:val="clear" w:color="auto" w:fill="auto"/>
          </w:tcPr>
          <w:p w:rsidR="00612909" w:rsidRPr="00AC3360" w:rsidRDefault="00AC3360" w:rsidP="00F01893">
            <w:pPr>
              <w:spacing w:before="60" w:after="60"/>
              <w:jc w:val="right"/>
              <w:rPr>
                <w:b/>
                <w:szCs w:val="22"/>
                <w:lang w:eastAsia="en-GB"/>
              </w:rPr>
            </w:pPr>
            <w:r w:rsidRPr="00AC3360">
              <w:rPr>
                <w:b/>
                <w:szCs w:val="22"/>
                <w:lang w:eastAsia="en-GB"/>
              </w:rPr>
              <w:t>270,690,000</w:t>
            </w:r>
          </w:p>
        </w:tc>
        <w:tc>
          <w:tcPr>
            <w:tcW w:w="2007" w:type="dxa"/>
          </w:tcPr>
          <w:p w:rsidR="00612909" w:rsidRPr="00AC3360" w:rsidRDefault="00AC079A">
            <w:pPr>
              <w:spacing w:before="60" w:after="60"/>
              <w:jc w:val="right"/>
              <w:rPr>
                <w:szCs w:val="22"/>
                <w:lang w:eastAsia="en-GB"/>
              </w:rPr>
            </w:pPr>
            <w:r>
              <w:rPr>
                <w:szCs w:val="22"/>
                <w:lang w:eastAsia="en-GB"/>
              </w:rPr>
              <w:t>t</w:t>
            </w:r>
            <w:r w:rsidR="00AC3360" w:rsidRPr="00AC3360">
              <w:rPr>
                <w:szCs w:val="22"/>
                <w:lang w:eastAsia="en-GB"/>
              </w:rPr>
              <w:t xml:space="preserve">bd </w:t>
            </w:r>
          </w:p>
        </w:tc>
      </w:tr>
    </w:tbl>
    <w:p w:rsidR="00C67A4B" w:rsidRPr="00AC3360" w:rsidRDefault="00C67A4B">
      <w:pPr>
        <w:rPr>
          <w:szCs w:val="22"/>
          <w:lang w:eastAsia="en-GB"/>
        </w:rPr>
      </w:pPr>
      <w:bookmarkStart w:id="85" w:name="DQCNUMB_48"/>
      <w:bookmarkEnd w:id="85"/>
    </w:p>
    <w:p w:rsidR="00216FCA" w:rsidRDefault="001A1AF2" w:rsidP="001E4F93">
      <w:pPr>
        <w:rPr>
          <w:szCs w:val="22"/>
          <w:lang w:eastAsia="en-GB"/>
        </w:rPr>
      </w:pPr>
      <w:r w:rsidRPr="00AC3360">
        <w:rPr>
          <w:szCs w:val="22"/>
          <w:lang w:eastAsia="en-GB"/>
        </w:rPr>
        <w:t xml:space="preserve">The indicative list of countries and allocations </w:t>
      </w:r>
      <w:r w:rsidR="00767E34" w:rsidRPr="00AC3360">
        <w:rPr>
          <w:szCs w:val="22"/>
          <w:lang w:eastAsia="en-GB"/>
        </w:rPr>
        <w:t xml:space="preserve">per country </w:t>
      </w:r>
      <w:r w:rsidRPr="00AC3360">
        <w:rPr>
          <w:szCs w:val="22"/>
          <w:lang w:eastAsia="en-GB"/>
        </w:rPr>
        <w:t xml:space="preserve">for the </w:t>
      </w:r>
      <w:r w:rsidR="002C7984" w:rsidRPr="00AC3360">
        <w:rPr>
          <w:szCs w:val="22"/>
          <w:lang w:eastAsia="en-GB"/>
        </w:rPr>
        <w:t>period 2018-20</w:t>
      </w:r>
      <w:r w:rsidR="00043F6D" w:rsidRPr="00AC3360">
        <w:rPr>
          <w:szCs w:val="22"/>
          <w:lang w:eastAsia="en-GB"/>
        </w:rPr>
        <w:t>20</w:t>
      </w:r>
      <w:r w:rsidR="002C7984" w:rsidRPr="00AC3360">
        <w:rPr>
          <w:szCs w:val="22"/>
          <w:lang w:eastAsia="en-GB"/>
        </w:rPr>
        <w:t xml:space="preserve"> </w:t>
      </w:r>
      <w:r w:rsidRPr="00AC3360">
        <w:rPr>
          <w:szCs w:val="22"/>
          <w:lang w:eastAsia="en-GB"/>
        </w:rPr>
        <w:t xml:space="preserve">are in the </w:t>
      </w:r>
      <w:r w:rsidR="005F0CEF" w:rsidRPr="00AC3360">
        <w:rPr>
          <w:szCs w:val="22"/>
          <w:lang w:eastAsia="en-GB"/>
        </w:rPr>
        <w:t>A</w:t>
      </w:r>
      <w:r w:rsidRPr="00AC3360">
        <w:rPr>
          <w:szCs w:val="22"/>
          <w:lang w:eastAsia="en-GB"/>
        </w:rPr>
        <w:t>nnex of this Action Document. This list can be adapted pending the results of call</w:t>
      </w:r>
      <w:r w:rsidR="005F0CEF" w:rsidRPr="00AC3360">
        <w:rPr>
          <w:szCs w:val="22"/>
          <w:lang w:eastAsia="en-GB"/>
        </w:rPr>
        <w:t>s</w:t>
      </w:r>
      <w:r w:rsidRPr="00AC3360">
        <w:rPr>
          <w:szCs w:val="22"/>
          <w:lang w:eastAsia="en-GB"/>
        </w:rPr>
        <w:t xml:space="preserve"> of proposa</w:t>
      </w:r>
      <w:r w:rsidR="005F0CEF" w:rsidRPr="00AC3360">
        <w:rPr>
          <w:szCs w:val="22"/>
          <w:lang w:eastAsia="en-GB"/>
        </w:rPr>
        <w:t>ls or the evolution</w:t>
      </w:r>
      <w:r w:rsidR="005F0CEF">
        <w:rPr>
          <w:szCs w:val="22"/>
          <w:lang w:eastAsia="en-GB"/>
        </w:rPr>
        <w:t xml:space="preserve"> of country</w:t>
      </w:r>
      <w:r w:rsidRPr="00361287">
        <w:rPr>
          <w:szCs w:val="22"/>
          <w:lang w:eastAsia="en-GB"/>
        </w:rPr>
        <w:t xml:space="preserve"> situations. </w:t>
      </w:r>
      <w:r w:rsidR="001E4F93" w:rsidRPr="00361287">
        <w:rPr>
          <w:sz w:val="23"/>
          <w:szCs w:val="23"/>
        </w:rPr>
        <w:t xml:space="preserve">Any remaining balance from one country allocation </w:t>
      </w:r>
      <w:r w:rsidRPr="00361287">
        <w:rPr>
          <w:szCs w:val="22"/>
          <w:lang w:eastAsia="en-GB"/>
        </w:rPr>
        <w:t>may be reallocated to another country, preferably within the same region.</w:t>
      </w:r>
    </w:p>
    <w:p w:rsidR="00767E34" w:rsidRPr="003F3DF2" w:rsidRDefault="00767E34"/>
    <w:p w:rsidR="00216FCA" w:rsidRPr="008965CD" w:rsidRDefault="001A1AF2">
      <w:pPr>
        <w:pStyle w:val="Heading2"/>
        <w:numPr>
          <w:ilvl w:val="0"/>
          <w:numId w:val="0"/>
        </w:numPr>
        <w:ind w:left="992" w:hanging="850"/>
        <w:rPr>
          <w:color w:val="auto"/>
        </w:rPr>
      </w:pPr>
      <w:bookmarkStart w:id="86" w:name="_Toc392858024"/>
      <w:r w:rsidRPr="003F3DF2">
        <w:rPr>
          <w:color w:val="auto"/>
        </w:rPr>
        <w:t>5.6</w:t>
      </w:r>
      <w:r w:rsidRPr="003F3DF2">
        <w:rPr>
          <w:color w:val="auto"/>
        </w:rPr>
        <w:tab/>
        <w:t>Organisational set-up and responsibilities</w:t>
      </w:r>
      <w:bookmarkEnd w:id="86"/>
    </w:p>
    <w:p w:rsidR="00216FCA" w:rsidRPr="00BB585B" w:rsidRDefault="001A1AF2">
      <w:bookmarkStart w:id="87" w:name="_Toc391999076"/>
      <w:r w:rsidRPr="00BB585B">
        <w:t xml:space="preserve">The CBSS </w:t>
      </w:r>
      <w:r w:rsidR="00D83903" w:rsidRPr="00BB585B">
        <w:t xml:space="preserve">is </w:t>
      </w:r>
      <w:r w:rsidRPr="00BB585B">
        <w:t xml:space="preserve">managed at country level by the European Commission through EU delegations. </w:t>
      </w:r>
      <w:r w:rsidR="00D83903" w:rsidRPr="00BB585B">
        <w:t>E</w:t>
      </w:r>
      <w:r w:rsidRPr="00BB585B">
        <w:t xml:space="preserve">ach EU delegation is responsible to manage the EIDHR allocations </w:t>
      </w:r>
      <w:r w:rsidR="00D83903" w:rsidRPr="00BB585B">
        <w:t>r</w:t>
      </w:r>
      <w:r w:rsidRPr="00BB585B">
        <w:t xml:space="preserve">eceived </w:t>
      </w:r>
      <w:r w:rsidR="00D83903" w:rsidRPr="00BB585B">
        <w:t>for the relevant country</w:t>
      </w:r>
      <w:r w:rsidRPr="00BB585B">
        <w:t xml:space="preserve">, identify the most appropriate objectives and priority issues for its use, in line with </w:t>
      </w:r>
      <w:r w:rsidR="005005EA" w:rsidRPr="00BB585B">
        <w:t xml:space="preserve">this action document, </w:t>
      </w:r>
      <w:r w:rsidRPr="00BB585B">
        <w:t>the EIDHR regulation, EIDHR multiannual indicative programme</w:t>
      </w:r>
      <w:r w:rsidR="00F37D8F" w:rsidRPr="00BB585B">
        <w:t xml:space="preserve"> 2018-2020</w:t>
      </w:r>
      <w:r w:rsidRPr="00BB585B">
        <w:t xml:space="preserve">, </w:t>
      </w:r>
      <w:r w:rsidR="00D83903" w:rsidRPr="00BB585B">
        <w:t xml:space="preserve">and as far as possible, </w:t>
      </w:r>
      <w:r w:rsidRPr="00BB585B">
        <w:t xml:space="preserve">with its </w:t>
      </w:r>
      <w:r w:rsidRPr="00BB585B">
        <w:rPr>
          <w:szCs w:val="22"/>
          <w:lang w:eastAsia="en-GB"/>
        </w:rPr>
        <w:t xml:space="preserve">Human Rights and Democracy Country Strategy. It shall draft the guidelines for grant applicants, </w:t>
      </w:r>
      <w:r w:rsidR="005005EA" w:rsidRPr="00BB585B">
        <w:t xml:space="preserve">manage </w:t>
      </w:r>
      <w:r w:rsidRPr="00BB585B">
        <w:t xml:space="preserve">EIDHR CBSS calls for proposals, contract </w:t>
      </w:r>
      <w:r w:rsidR="00D83903" w:rsidRPr="00BB585B">
        <w:t xml:space="preserve">and monitor </w:t>
      </w:r>
      <w:r w:rsidRPr="00BB585B">
        <w:t>the selected projects.</w:t>
      </w:r>
    </w:p>
    <w:p w:rsidR="00331AE1" w:rsidRPr="00BB585B" w:rsidRDefault="001A1AF2" w:rsidP="00DF22C9">
      <w:pPr>
        <w:spacing w:after="0"/>
      </w:pPr>
      <w:r w:rsidRPr="00BB585B">
        <w:t>Even though the management of CBSS is decentrali</w:t>
      </w:r>
      <w:r w:rsidR="00D83903" w:rsidRPr="00BB585B">
        <w:t>s</w:t>
      </w:r>
      <w:r w:rsidRPr="00BB585B">
        <w:t xml:space="preserve">ed, </w:t>
      </w:r>
      <w:r w:rsidR="003309DD" w:rsidRPr="00BB585B">
        <w:t xml:space="preserve">the </w:t>
      </w:r>
      <w:r w:rsidR="005005EA" w:rsidRPr="00BB585B">
        <w:t>H</w:t>
      </w:r>
      <w:r w:rsidR="00F37D8F" w:rsidRPr="00BB585B">
        <w:t>eadquarters</w:t>
      </w:r>
      <w:r w:rsidR="001031D5">
        <w:t xml:space="preserve"> </w:t>
      </w:r>
      <w:r w:rsidR="00F37D8F" w:rsidRPr="00BB585B">
        <w:t>play</w:t>
      </w:r>
      <w:r w:rsidRPr="00BB585B">
        <w:t xml:space="preserve"> an im</w:t>
      </w:r>
      <w:r w:rsidR="00F37D8F" w:rsidRPr="00BB585B">
        <w:t xml:space="preserve">portant role in the process, being </w:t>
      </w:r>
      <w:r w:rsidRPr="00BB585B">
        <w:t xml:space="preserve">responsible for the </w:t>
      </w:r>
      <w:r w:rsidR="00D83903" w:rsidRPr="00BB585B">
        <w:t xml:space="preserve">overall management of </w:t>
      </w:r>
      <w:r w:rsidR="00F37D8F" w:rsidRPr="00BB585B">
        <w:t xml:space="preserve">the </w:t>
      </w:r>
      <w:r w:rsidRPr="00BB585B">
        <w:t>EIDHR</w:t>
      </w:r>
      <w:r w:rsidR="00F37D8F" w:rsidRPr="00BB585B">
        <w:t xml:space="preserve">. </w:t>
      </w:r>
      <w:r w:rsidR="003309DD" w:rsidRPr="00BB585B">
        <w:t xml:space="preserve">The </w:t>
      </w:r>
      <w:r w:rsidR="005005EA" w:rsidRPr="00BB585B">
        <w:t xml:space="preserve">Headquarters </w:t>
      </w:r>
      <w:r w:rsidRPr="00BB585B">
        <w:t>ensure</w:t>
      </w:r>
      <w:r w:rsidR="005005EA" w:rsidRPr="00BB585B">
        <w:t>s</w:t>
      </w:r>
      <w:r w:rsidRPr="00BB585B">
        <w:t xml:space="preserve"> that the implementation of the CBSS is in line with the strategy and the objectives of the EIDHR</w:t>
      </w:r>
      <w:r w:rsidR="00331AE1" w:rsidRPr="00BB585B">
        <w:t xml:space="preserve"> and this action document</w:t>
      </w:r>
      <w:r w:rsidR="00DF22C9" w:rsidRPr="00BB585B">
        <w:t xml:space="preserve">. To this end, </w:t>
      </w:r>
      <w:r w:rsidR="00D83903" w:rsidRPr="00BB585B">
        <w:t xml:space="preserve">EU </w:t>
      </w:r>
      <w:r w:rsidR="00F712E8" w:rsidRPr="00BB585B">
        <w:t>d</w:t>
      </w:r>
      <w:r w:rsidR="00D83903" w:rsidRPr="00BB585B">
        <w:t>elegations</w:t>
      </w:r>
      <w:r w:rsidRPr="00BB585B">
        <w:t xml:space="preserve"> </w:t>
      </w:r>
      <w:r w:rsidR="00DF22C9" w:rsidRPr="00BB585B">
        <w:t xml:space="preserve">shall </w:t>
      </w:r>
      <w:r w:rsidRPr="00BB585B">
        <w:t xml:space="preserve">consult </w:t>
      </w:r>
      <w:r w:rsidR="00D83903" w:rsidRPr="00BB585B">
        <w:t xml:space="preserve">the </w:t>
      </w:r>
      <w:r w:rsidR="005005EA" w:rsidRPr="00BB585B">
        <w:t>EC Headquarters</w:t>
      </w:r>
      <w:r w:rsidR="00331AE1" w:rsidRPr="00BB585B">
        <w:t>:</w:t>
      </w:r>
    </w:p>
    <w:p w:rsidR="00331AE1" w:rsidRPr="00F90715" w:rsidRDefault="001A1AF2" w:rsidP="00BB585B">
      <w:pPr>
        <w:pStyle w:val="ListParagraph"/>
        <w:numPr>
          <w:ilvl w:val="0"/>
          <w:numId w:val="33"/>
        </w:numPr>
        <w:spacing w:after="0"/>
      </w:pPr>
      <w:r w:rsidRPr="00F90715">
        <w:lastRenderedPageBreak/>
        <w:t xml:space="preserve">on the </w:t>
      </w:r>
      <w:r w:rsidR="00D83903" w:rsidRPr="00F90715">
        <w:t>CBSS annual priorities</w:t>
      </w:r>
    </w:p>
    <w:p w:rsidR="00331AE1" w:rsidRPr="00361287" w:rsidRDefault="00DF22C9" w:rsidP="00BB585B">
      <w:pPr>
        <w:pStyle w:val="ListParagraph"/>
        <w:numPr>
          <w:ilvl w:val="0"/>
          <w:numId w:val="33"/>
        </w:numPr>
        <w:spacing w:after="0"/>
      </w:pPr>
      <w:r w:rsidRPr="00361287">
        <w:t>draft</w:t>
      </w:r>
      <w:r w:rsidR="001A1AF2" w:rsidRPr="00361287">
        <w:t xml:space="preserve"> guidelines for applicants before their publication</w:t>
      </w:r>
      <w:r w:rsidR="00D83903" w:rsidRPr="00361287">
        <w:t xml:space="preserve"> </w:t>
      </w:r>
    </w:p>
    <w:p w:rsidR="00331AE1" w:rsidRPr="00361287" w:rsidRDefault="00D83903" w:rsidP="00BB585B">
      <w:pPr>
        <w:pStyle w:val="ListParagraph"/>
        <w:numPr>
          <w:ilvl w:val="0"/>
          <w:numId w:val="33"/>
        </w:numPr>
        <w:spacing w:after="0"/>
      </w:pPr>
      <w:r w:rsidRPr="00361287">
        <w:t>intended direct awards of grants</w:t>
      </w:r>
      <w:r w:rsidR="00DF22C9" w:rsidRPr="00361287">
        <w:t xml:space="preserve"> as further detailed in section 5.3.2</w:t>
      </w:r>
      <w:r w:rsidR="001A1AF2" w:rsidRPr="00361287">
        <w:t>.</w:t>
      </w:r>
    </w:p>
    <w:p w:rsidR="00331AE1" w:rsidRPr="00361287" w:rsidRDefault="00331AE1" w:rsidP="00BB585B">
      <w:pPr>
        <w:pStyle w:val="ListParagraph"/>
        <w:numPr>
          <w:ilvl w:val="0"/>
          <w:numId w:val="33"/>
        </w:numPr>
        <w:spacing w:after="0"/>
      </w:pPr>
      <w:r w:rsidRPr="00361287">
        <w:t>decision to fund regional projects</w:t>
      </w:r>
    </w:p>
    <w:p w:rsidR="003309DD" w:rsidRPr="00BB585B" w:rsidRDefault="003309DD" w:rsidP="00331AE1">
      <w:pPr>
        <w:spacing w:after="0"/>
      </w:pPr>
      <w:r w:rsidRPr="00BB585B">
        <w:t xml:space="preserve">The </w:t>
      </w:r>
      <w:r w:rsidR="00331AE1" w:rsidRPr="00BB585B">
        <w:t xml:space="preserve">Headquarters </w:t>
      </w:r>
      <w:r w:rsidR="00DF22C9" w:rsidRPr="00BB585B">
        <w:t xml:space="preserve">also </w:t>
      </w:r>
      <w:r w:rsidR="004D638D" w:rsidRPr="00BB585B">
        <w:t>provides other ad hoc assistance to the EU Delegations as needed.</w:t>
      </w:r>
      <w:r w:rsidR="00DF22C9" w:rsidRPr="00BB585B">
        <w:t xml:space="preserve"> </w:t>
      </w:r>
    </w:p>
    <w:p w:rsidR="00D83903" w:rsidRPr="00C13291" w:rsidRDefault="00D83903" w:rsidP="00331AE1">
      <w:pPr>
        <w:spacing w:after="0"/>
      </w:pPr>
      <w:r w:rsidRPr="00BB585B">
        <w:t>DG DEVCO holds</w:t>
      </w:r>
      <w:r w:rsidR="00DF22C9" w:rsidRPr="00BB585B">
        <w:t xml:space="preserve"> </w:t>
      </w:r>
      <w:r w:rsidRPr="00BB585B">
        <w:t>the responsibility for the reallocation of unused funds at the end of each budget year.</w:t>
      </w:r>
      <w:r w:rsidRPr="00C13291">
        <w:t xml:space="preserve"> </w:t>
      </w:r>
    </w:p>
    <w:p w:rsidR="00216FCA" w:rsidRDefault="001A1AF2">
      <w:r w:rsidRPr="00BB585B">
        <w:t xml:space="preserve">Exceptionally, </w:t>
      </w:r>
      <w:r w:rsidR="00D83903" w:rsidRPr="00BB585B">
        <w:t xml:space="preserve">and after the agreement/at the request of the relevant EU Delegation, </w:t>
      </w:r>
      <w:r w:rsidRPr="00BB585B">
        <w:t xml:space="preserve">some </w:t>
      </w:r>
      <w:r w:rsidR="00D83903" w:rsidRPr="00BB585B">
        <w:t xml:space="preserve">CBSS </w:t>
      </w:r>
      <w:r w:rsidRPr="00BB585B">
        <w:t xml:space="preserve">calls for proposals </w:t>
      </w:r>
      <w:r w:rsidR="004D638D" w:rsidRPr="00BB585B">
        <w:t xml:space="preserve">may </w:t>
      </w:r>
      <w:r w:rsidRPr="00BB585B">
        <w:t xml:space="preserve">be launched and managed by </w:t>
      </w:r>
      <w:r w:rsidR="00D83903" w:rsidRPr="00BB585B">
        <w:t xml:space="preserve">the </w:t>
      </w:r>
      <w:r w:rsidRPr="00BB585B">
        <w:t>Headquarters.</w:t>
      </w:r>
    </w:p>
    <w:p w:rsidR="00216FCA" w:rsidRPr="00347D18" w:rsidRDefault="001A1AF2">
      <w:pPr>
        <w:pStyle w:val="Heading2"/>
        <w:numPr>
          <w:ilvl w:val="0"/>
          <w:numId w:val="0"/>
        </w:numPr>
        <w:ind w:left="992" w:hanging="850"/>
        <w:rPr>
          <w:color w:val="auto"/>
        </w:rPr>
      </w:pPr>
      <w:bookmarkStart w:id="88" w:name="_Toc391537217"/>
      <w:bookmarkStart w:id="89" w:name="_Toc391022374"/>
      <w:bookmarkStart w:id="90" w:name="_Toc392858025"/>
      <w:r w:rsidRPr="00347D18">
        <w:rPr>
          <w:color w:val="auto"/>
        </w:rPr>
        <w:t>5.7</w:t>
      </w:r>
      <w:r w:rsidRPr="00347D18">
        <w:rPr>
          <w:color w:val="auto"/>
        </w:rPr>
        <w:tab/>
        <w:t>Performance monitoring</w:t>
      </w:r>
      <w:bookmarkEnd w:id="88"/>
      <w:bookmarkEnd w:id="89"/>
      <w:r w:rsidRPr="00347D18">
        <w:rPr>
          <w:color w:val="auto"/>
        </w:rPr>
        <w:t xml:space="preserve"> and reporting</w:t>
      </w:r>
      <w:bookmarkEnd w:id="87"/>
      <w:bookmarkEnd w:id="90"/>
    </w:p>
    <w:p w:rsidR="00216FCA" w:rsidRPr="00D63406" w:rsidRDefault="001A1AF2">
      <w:pPr>
        <w:spacing w:line="280" w:lineRule="atLeast"/>
        <w:rPr>
          <w:snapToGrid w:val="0"/>
        </w:rPr>
      </w:pPr>
      <w:bookmarkStart w:id="91" w:name="_Toc391999078"/>
      <w:bookmarkStart w:id="92" w:name="_Toc391992328"/>
      <w:bookmarkStart w:id="93" w:name="_Toc391999080"/>
      <w:r w:rsidRPr="00630D5E">
        <w:rPr>
          <w:snapToGrid w:val="0"/>
        </w:rPr>
        <w:t xml:space="preserve">The day-to-day </w:t>
      </w:r>
      <w:r w:rsidRPr="00441AC0">
        <w:rPr>
          <w:snapToGrid w:val="0"/>
        </w:rPr>
        <w:t xml:space="preserve">technical and financial monitoring of the implementation of the projects </w:t>
      </w:r>
      <w:r w:rsidR="00425718" w:rsidRPr="00441AC0">
        <w:rPr>
          <w:snapToGrid w:val="0"/>
        </w:rPr>
        <w:t>resulting from the calls for proposals</w:t>
      </w:r>
      <w:r w:rsidR="001031D5" w:rsidRPr="00441AC0">
        <w:rPr>
          <w:snapToGrid w:val="0"/>
        </w:rPr>
        <w:t xml:space="preserve"> or direct awards</w:t>
      </w:r>
      <w:r w:rsidR="00425718" w:rsidRPr="00441AC0">
        <w:rPr>
          <w:snapToGrid w:val="0"/>
        </w:rPr>
        <w:t xml:space="preserve"> </w:t>
      </w:r>
      <w:r w:rsidRPr="00441AC0">
        <w:rPr>
          <w:snapToGrid w:val="0"/>
        </w:rPr>
        <w:t>will be a continuous process and part of the implementing partner’s</w:t>
      </w:r>
      <w:r w:rsidRPr="003F3DF2">
        <w:rPr>
          <w:snapToGrid w:val="0"/>
        </w:rPr>
        <w:t xml:space="preserve"> responsibilities. To this aim, the implementing partner shall establish a permanent internal, technical and financial monitoring system for the action and elaborate regular progress reports (not less than annual</w:t>
      </w:r>
      <w:r w:rsidRPr="00AF7378">
        <w:t xml:space="preserve">) and final reports. </w:t>
      </w:r>
      <w:bookmarkEnd w:id="91"/>
      <w:bookmarkEnd w:id="92"/>
      <w:r w:rsidRPr="00AF4088">
        <w:rPr>
          <w:snapToGrid w:val="0"/>
        </w:rPr>
        <w:t xml:space="preserve">Every report shall provide an accurate account of implementation of the action, difficulties encountered, changes introduced, as well as the degree of achievement of its results (outputs and direct outcomes) as measured by corresponding indicators, using as reference the logframe matrix (for project modality) or the list of result indicators (for budget support). </w:t>
      </w:r>
      <w:r w:rsidR="00CC0D43">
        <w:rPr>
          <w:snapToGrid w:val="0"/>
        </w:rPr>
        <w:t xml:space="preserve">It should also reflect how the action contributed to gender equality. </w:t>
      </w:r>
      <w:r w:rsidRPr="00AF4088">
        <w:rPr>
          <w:snapToGrid w:val="0"/>
        </w:rPr>
        <w:t>The report shall be laid out in such a way as to allow monitoring of the means envisaged and employed and of the budget details for the action.</w:t>
      </w:r>
      <w:r w:rsidRPr="007C3758">
        <w:t xml:space="preserve"> </w:t>
      </w:r>
      <w:r w:rsidRPr="007C3758">
        <w:rPr>
          <w:snapToGrid w:val="0"/>
        </w:rPr>
        <w:t>The final report, narrative and financial, will cover the entire period of the action implementation.</w:t>
      </w:r>
    </w:p>
    <w:p w:rsidR="00216FCA" w:rsidRPr="0004638F" w:rsidRDefault="001A1AF2">
      <w:pPr>
        <w:spacing w:line="280" w:lineRule="atLeast"/>
        <w:rPr>
          <w:iCs/>
          <w:snapToGrid w:val="0"/>
        </w:rPr>
      </w:pPr>
      <w:bookmarkStart w:id="94" w:name="_Toc391999079"/>
      <w:bookmarkStart w:id="95" w:name="_Toc391992329"/>
      <w:r w:rsidRPr="00D63406">
        <w:rPr>
          <w:iCs/>
          <w:snapToGrid w:val="0"/>
        </w:rPr>
        <w:t>The Commission may undertake additional project monitoring visits both through its own staff and through independent consultants recruited directly by the Commission for inde</w:t>
      </w:r>
      <w:r w:rsidRPr="00946C15">
        <w:rPr>
          <w:iCs/>
          <w:snapToGrid w:val="0"/>
        </w:rPr>
        <w:t>pendent monitoring reviews (or recruited by the responsible agent contracted by the Commission for implementing such reviews).</w:t>
      </w:r>
      <w:bookmarkEnd w:id="94"/>
      <w:bookmarkEnd w:id="95"/>
      <w:r w:rsidRPr="00946C15">
        <w:rPr>
          <w:iCs/>
          <w:snapToGrid w:val="0"/>
        </w:rPr>
        <w:t xml:space="preserve"> </w:t>
      </w:r>
    </w:p>
    <w:p w:rsidR="00216FCA" w:rsidRPr="009C0F65" w:rsidRDefault="001A1AF2">
      <w:pPr>
        <w:pStyle w:val="Heading2"/>
        <w:numPr>
          <w:ilvl w:val="0"/>
          <w:numId w:val="0"/>
        </w:numPr>
        <w:ind w:left="992" w:hanging="850"/>
        <w:rPr>
          <w:color w:val="auto"/>
        </w:rPr>
      </w:pPr>
      <w:bookmarkStart w:id="96" w:name="DQCNUMB_50"/>
      <w:bookmarkStart w:id="97" w:name="_Ref399942520"/>
      <w:bookmarkStart w:id="98" w:name="_Toc392858026"/>
      <w:bookmarkStart w:id="99" w:name="_Toc391537218"/>
      <w:bookmarkStart w:id="100" w:name="_Toc391022375"/>
      <w:bookmarkEnd w:id="96"/>
      <w:r w:rsidRPr="0004638F">
        <w:rPr>
          <w:color w:val="auto"/>
        </w:rPr>
        <w:t>5.8</w:t>
      </w:r>
      <w:r w:rsidRPr="0004638F">
        <w:rPr>
          <w:color w:val="auto"/>
        </w:rPr>
        <w:tab/>
        <w:t>Evaluation</w:t>
      </w:r>
      <w:bookmarkEnd w:id="93"/>
      <w:bookmarkEnd w:id="97"/>
      <w:bookmarkEnd w:id="98"/>
      <w:r w:rsidRPr="0004638F">
        <w:rPr>
          <w:color w:val="auto"/>
        </w:rPr>
        <w:t xml:space="preserve"> </w:t>
      </w:r>
      <w:bookmarkEnd w:id="99"/>
      <w:bookmarkEnd w:id="100"/>
    </w:p>
    <w:p w:rsidR="00D521C7" w:rsidRPr="00361287" w:rsidRDefault="00D521C7" w:rsidP="00D67EDD">
      <w:r w:rsidRPr="00361287">
        <w:t xml:space="preserve">Having regard to the nature of the action, an evaluation will not be carried out for this action </w:t>
      </w:r>
      <w:r w:rsidR="0093423E" w:rsidRPr="00361287">
        <w:t>as a whole</w:t>
      </w:r>
      <w:r w:rsidRPr="00361287">
        <w:t xml:space="preserve">. </w:t>
      </w:r>
    </w:p>
    <w:p w:rsidR="00500CBD" w:rsidRPr="00361287" w:rsidRDefault="00D521C7" w:rsidP="00D67EDD">
      <w:r w:rsidRPr="00361287">
        <w:t xml:space="preserve">However, the </w:t>
      </w:r>
      <w:r w:rsidR="00361287" w:rsidRPr="00361287">
        <w:t xml:space="preserve">individual </w:t>
      </w:r>
      <w:r w:rsidRPr="00361287">
        <w:t>action components, i.e. projects implemented under CBSS</w:t>
      </w:r>
      <w:r w:rsidR="000E5457" w:rsidRPr="00361287">
        <w:t xml:space="preserve"> by EU d</w:t>
      </w:r>
      <w:r w:rsidRPr="00361287">
        <w:t>elegations, will undergo evaluations</w:t>
      </w:r>
      <w:r w:rsidR="000E5457" w:rsidRPr="00361287">
        <w:t xml:space="preserve"> </w:t>
      </w:r>
      <w:r w:rsidR="00361287" w:rsidRPr="00361287">
        <w:rPr>
          <w:snapToGrid w:val="0"/>
        </w:rPr>
        <w:t>via independent consultants</w:t>
      </w:r>
      <w:r w:rsidR="00361287" w:rsidRPr="00361287">
        <w:t xml:space="preserve"> </w:t>
      </w:r>
      <w:r w:rsidR="000E5457" w:rsidRPr="00361287">
        <w:t>as deemed necessary by the EU d</w:t>
      </w:r>
      <w:r w:rsidRPr="00361287">
        <w:t>elegations in charge</w:t>
      </w:r>
      <w:r w:rsidR="00500CBD" w:rsidRPr="00361287">
        <w:t xml:space="preserve"> </w:t>
      </w:r>
      <w:r w:rsidRPr="00361287">
        <w:t xml:space="preserve">(be it evaluations by the implementing partner or contracted by the </w:t>
      </w:r>
      <w:r w:rsidR="000E5457" w:rsidRPr="00361287">
        <w:t>EU delegation</w:t>
      </w:r>
      <w:r w:rsidRPr="00361287">
        <w:t xml:space="preserve">). </w:t>
      </w:r>
    </w:p>
    <w:p w:rsidR="00361287" w:rsidRPr="00361287" w:rsidRDefault="00361287" w:rsidP="00361287">
      <w:pPr>
        <w:rPr>
          <w:snapToGrid w:val="0"/>
        </w:rPr>
      </w:pPr>
      <w:r w:rsidRPr="00361287">
        <w:t>In case a mid-term evaluation is foreseen: It will be carried out for problem solving and learning purposes, in particular with respect to</w:t>
      </w:r>
      <w:r w:rsidRPr="00361287">
        <w:rPr>
          <w:snapToGrid w:val="0"/>
        </w:rPr>
        <w:t xml:space="preserve"> finalisation of the project. </w:t>
      </w:r>
    </w:p>
    <w:p w:rsidR="00361287" w:rsidRPr="00361287" w:rsidRDefault="00361287" w:rsidP="00361287">
      <w:pPr>
        <w:rPr>
          <w:snapToGrid w:val="0"/>
        </w:rPr>
      </w:pPr>
      <w:r w:rsidRPr="00361287">
        <w:t xml:space="preserve">In case </w:t>
      </w:r>
      <w:r w:rsidRPr="00361287">
        <w:rPr>
          <w:snapToGrid w:val="0"/>
        </w:rPr>
        <w:t>a final or ex-post evaluation is</w:t>
      </w:r>
      <w:r w:rsidRPr="00361287">
        <w:t xml:space="preserve"> foreseen: It will be carried out for accountability and learning purposes at various levels (including for policy revision), taking into account in particular the future calls for proposals under the CBSS action. </w:t>
      </w:r>
    </w:p>
    <w:p w:rsidR="00361287" w:rsidRPr="00361287" w:rsidRDefault="00361287" w:rsidP="00361287">
      <w:r w:rsidRPr="00361287">
        <w:t>In case an evaluation is not foreseen, the Commission may, during implementation, decide to undertake such an evaluation for duly justified reasons either on its own decision or on the initiative of the partner.</w:t>
      </w:r>
    </w:p>
    <w:p w:rsidR="00361287" w:rsidRPr="00361287" w:rsidRDefault="00361287" w:rsidP="00361287">
      <w:pPr>
        <w:spacing w:line="280" w:lineRule="atLeast"/>
        <w:rPr>
          <w:snapToGrid w:val="0"/>
        </w:rPr>
      </w:pPr>
      <w:r w:rsidRPr="00361287">
        <w:rPr>
          <w:snapToGrid w:val="0"/>
        </w:rPr>
        <w:t xml:space="preserve">The evaluation reports shall be shared with the partner country and other key stakeholders. The implementing partner and the Commission shall analyse the conclusions and </w:t>
      </w:r>
      <w:r w:rsidRPr="00361287">
        <w:rPr>
          <w:snapToGrid w:val="0"/>
        </w:rPr>
        <w:lastRenderedPageBreak/>
        <w:t xml:space="preserve">recommendations of the evaluations and, where appropriate, in agreement with the partner country, jointly decide on the follow-up actions to be taken and any adjustments necessary, including, if indicated, the reorientation of the project. </w:t>
      </w:r>
    </w:p>
    <w:p w:rsidR="00361287" w:rsidRDefault="00361287" w:rsidP="00361287">
      <w:pPr>
        <w:spacing w:line="280" w:lineRule="atLeast"/>
        <w:rPr>
          <w:snapToGrid w:val="0"/>
        </w:rPr>
      </w:pPr>
      <w:r w:rsidRPr="00361287">
        <w:rPr>
          <w:snapToGrid w:val="0"/>
          <w:color w:val="000000"/>
        </w:rPr>
        <w:t>The financing of the evaluation shall be covered by another measure constituting a financing decision.</w:t>
      </w:r>
    </w:p>
    <w:p w:rsidR="00216FCA" w:rsidRPr="00375E88" w:rsidRDefault="001A1AF2">
      <w:pPr>
        <w:pStyle w:val="Heading2"/>
        <w:numPr>
          <w:ilvl w:val="0"/>
          <w:numId w:val="0"/>
        </w:numPr>
        <w:ind w:left="992" w:hanging="850"/>
        <w:rPr>
          <w:color w:val="auto"/>
        </w:rPr>
      </w:pPr>
      <w:bookmarkStart w:id="101" w:name="_Toc391999081"/>
      <w:bookmarkStart w:id="102" w:name="_Toc392858027"/>
      <w:bookmarkStart w:id="103" w:name="_Ref399942528"/>
      <w:r w:rsidRPr="00375E88">
        <w:rPr>
          <w:color w:val="auto"/>
        </w:rPr>
        <w:t>5.9</w:t>
      </w:r>
      <w:r w:rsidRPr="00375E88">
        <w:rPr>
          <w:color w:val="auto"/>
        </w:rPr>
        <w:tab/>
        <w:t>Audit</w:t>
      </w:r>
      <w:bookmarkEnd w:id="101"/>
      <w:bookmarkEnd w:id="102"/>
      <w:bookmarkEnd w:id="103"/>
    </w:p>
    <w:p w:rsidR="00216FCA" w:rsidRPr="00347D18" w:rsidRDefault="001A1AF2">
      <w:r w:rsidRPr="00327359">
        <w:t>Without prejudice to the obligations applicable to contracts concluded for the implementation of this action, the Commissio</w:t>
      </w:r>
      <w:r w:rsidRPr="00100D84">
        <w:t>n may, on the basis of a risk assessment, contract independent audits or expenditure verification assignments for one or several contracts or agreements.</w:t>
      </w:r>
    </w:p>
    <w:p w:rsidR="00216FCA" w:rsidRPr="00630D5E" w:rsidRDefault="001A1AF2">
      <w:r w:rsidRPr="00347D18">
        <w:t>The financing of the audits shall be covered by another measure constituting a financing decision.</w:t>
      </w:r>
    </w:p>
    <w:p w:rsidR="00216FCA" w:rsidRPr="003F3DF2" w:rsidRDefault="001A1AF2">
      <w:pPr>
        <w:pStyle w:val="Heading2"/>
        <w:numPr>
          <w:ilvl w:val="0"/>
          <w:numId w:val="0"/>
        </w:numPr>
        <w:ind w:left="992" w:hanging="850"/>
        <w:rPr>
          <w:color w:val="auto"/>
        </w:rPr>
      </w:pPr>
      <w:bookmarkStart w:id="104" w:name="_Ref399942534"/>
      <w:bookmarkStart w:id="105" w:name="_Toc391999082"/>
      <w:bookmarkStart w:id="106" w:name="_Toc392858028"/>
      <w:bookmarkStart w:id="107" w:name="_Toc391022376"/>
      <w:bookmarkStart w:id="108" w:name="_Toc391537219"/>
      <w:r w:rsidRPr="00630D5E">
        <w:rPr>
          <w:color w:val="auto"/>
        </w:rPr>
        <w:t>5.1</w:t>
      </w:r>
      <w:r w:rsidRPr="003F3DF2">
        <w:rPr>
          <w:color w:val="auto"/>
        </w:rPr>
        <w:t>0</w:t>
      </w:r>
      <w:r w:rsidRPr="003F3DF2">
        <w:rPr>
          <w:color w:val="auto"/>
        </w:rPr>
        <w:tab/>
        <w:t>Communication and visibility</w:t>
      </w:r>
      <w:bookmarkEnd w:id="104"/>
      <w:bookmarkEnd w:id="105"/>
      <w:bookmarkEnd w:id="106"/>
      <w:bookmarkEnd w:id="107"/>
      <w:bookmarkEnd w:id="108"/>
    </w:p>
    <w:p w:rsidR="00216FCA" w:rsidRPr="00AF4088" w:rsidRDefault="001A1AF2">
      <w:pPr>
        <w:pStyle w:val="Text1"/>
        <w:ind w:left="0"/>
      </w:pPr>
      <w:r w:rsidRPr="00AF7378">
        <w:t xml:space="preserve">Communication and visibility of the EU is a legal obligation for all external actions funded by the EU. </w:t>
      </w:r>
    </w:p>
    <w:p w:rsidR="00216FCA" w:rsidRPr="0058277E" w:rsidRDefault="001A1AF2">
      <w:pPr>
        <w:pStyle w:val="Text1"/>
        <w:ind w:left="0"/>
      </w:pPr>
      <w:r w:rsidRPr="00AF4088">
        <w:t>This action shall contain communication and visibility measures which shall be based on a specific Communication and Vis</w:t>
      </w:r>
      <w:r w:rsidRPr="007C3758">
        <w:t xml:space="preserve">ibility Plan of the Action, to be elaborated at the start of implementation and supported with the budget indicated in section </w:t>
      </w:r>
      <w:r w:rsidR="00043F6D" w:rsidRPr="0058277E">
        <w:t>5</w:t>
      </w:r>
      <w:r w:rsidRPr="0058277E">
        <w:t xml:space="preserve"> above.</w:t>
      </w:r>
    </w:p>
    <w:p w:rsidR="00216FCA" w:rsidRPr="0058277E" w:rsidRDefault="001A1AF2">
      <w:pPr>
        <w:pStyle w:val="Text1"/>
        <w:ind w:left="0"/>
      </w:pPr>
      <w:r w:rsidRPr="0058277E">
        <w:t xml:space="preserve">In terms of legal obligations on communication and visibility, the measures shall be implemented by the Commission, the partner country, contractors, grant beneficiaries and/or entrusted entities. Appropriate contractual obligations shall be included in, respectively, the financing agreement, procurement and grant contracts, and delegation agreements. </w:t>
      </w:r>
    </w:p>
    <w:p w:rsidR="00216FCA" w:rsidRDefault="001A1AF2">
      <w:pPr>
        <w:pStyle w:val="Text1"/>
        <w:ind w:left="0"/>
      </w:pPr>
      <w:r w:rsidRPr="0058277E">
        <w:t>The Communication and Visibility Manual for European Union External Action shall be used to establish the Communication and Visibility Plan of the Action and the appropriate contractual obligations.</w:t>
      </w:r>
    </w:p>
    <w:p w:rsidR="00162726" w:rsidRPr="00361287" w:rsidRDefault="00162726" w:rsidP="00162726">
      <w:pPr>
        <w:rPr>
          <w:b/>
          <w:color w:val="000000"/>
        </w:rPr>
      </w:pPr>
      <w:r w:rsidRPr="00361287">
        <w:rPr>
          <w:b/>
          <w:color w:val="000000"/>
        </w:rPr>
        <w:t xml:space="preserve">The visibility requirements of some of the projects financed under this Action Document </w:t>
      </w:r>
      <w:r w:rsidRPr="00361287">
        <w:rPr>
          <w:b/>
          <w:bCs/>
          <w:color w:val="000000"/>
        </w:rPr>
        <w:t>will be removed or limited due to the total or partial confidentiality of the Action</w:t>
      </w:r>
      <w:r w:rsidRPr="00361287">
        <w:rPr>
          <w:b/>
          <w:color w:val="000000"/>
        </w:rPr>
        <w:t>, and the beneficiaries may not be requested to submit a communication plan. The beneficiaries will comply with the rules on visibility to the best possible extent.</w:t>
      </w:r>
    </w:p>
    <w:p w:rsidR="00AE5F51" w:rsidRPr="000C0F68" w:rsidRDefault="001A1AF2" w:rsidP="00A43CBF">
      <w:pPr>
        <w:jc w:val="center"/>
        <w:rPr>
          <w:b/>
          <w:u w:val="single"/>
        </w:rPr>
      </w:pPr>
      <w:r w:rsidRPr="006448D9">
        <w:rPr>
          <w:szCs w:val="22"/>
          <w:lang w:eastAsia="en-GB"/>
        </w:rPr>
        <w:br w:type="page"/>
      </w:r>
      <w:r w:rsidR="00233509" w:rsidRPr="000C0F68">
        <w:rPr>
          <w:b/>
          <w:u w:val="single"/>
        </w:rPr>
        <w:lastRenderedPageBreak/>
        <w:t>A</w:t>
      </w:r>
      <w:r w:rsidR="005235CD" w:rsidRPr="000C0F68">
        <w:rPr>
          <w:b/>
          <w:u w:val="single"/>
        </w:rPr>
        <w:t>PPENDIX</w:t>
      </w:r>
      <w:r w:rsidR="00233509" w:rsidRPr="000C0F68">
        <w:rPr>
          <w:b/>
          <w:u w:val="single"/>
        </w:rPr>
        <w:t>:</w:t>
      </w:r>
    </w:p>
    <w:p w:rsidR="00233509" w:rsidRDefault="00233509" w:rsidP="00AE5F51">
      <w:pPr>
        <w:jc w:val="center"/>
        <w:rPr>
          <w:b/>
          <w:u w:val="single"/>
        </w:rPr>
      </w:pPr>
      <w:r w:rsidRPr="000C0F68">
        <w:rPr>
          <w:b/>
          <w:u w:val="single"/>
        </w:rPr>
        <w:t xml:space="preserve">Indicative EIDHR country allocations 2018, 2019, 2020 </w:t>
      </w:r>
    </w:p>
    <w:p w:rsidR="008952D3" w:rsidRDefault="008952D3"/>
    <w:tbl>
      <w:tblPr>
        <w:tblW w:w="8720" w:type="dxa"/>
        <w:tblInd w:w="93" w:type="dxa"/>
        <w:tblLook w:val="04A0" w:firstRow="1" w:lastRow="0" w:firstColumn="1" w:lastColumn="0" w:noHBand="0" w:noVBand="1"/>
      </w:tblPr>
      <w:tblGrid>
        <w:gridCol w:w="2400"/>
        <w:gridCol w:w="1580"/>
        <w:gridCol w:w="1580"/>
        <w:gridCol w:w="1580"/>
        <w:gridCol w:w="1580"/>
      </w:tblGrid>
      <w:tr w:rsidR="00AA0819" w:rsidRPr="00AA0819" w:rsidTr="00AA0819">
        <w:trPr>
          <w:trHeight w:val="870"/>
        </w:trPr>
        <w:tc>
          <w:tcPr>
            <w:tcW w:w="2400" w:type="dxa"/>
            <w:tcBorders>
              <w:top w:val="single" w:sz="4" w:space="0" w:color="auto"/>
              <w:left w:val="single" w:sz="4" w:space="0" w:color="auto"/>
              <w:bottom w:val="single" w:sz="4" w:space="0" w:color="auto"/>
              <w:right w:val="single" w:sz="4" w:space="0" w:color="auto"/>
            </w:tcBorders>
            <w:shd w:val="clear" w:color="000000" w:fill="FABF8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Country</w:t>
            </w:r>
          </w:p>
        </w:tc>
        <w:tc>
          <w:tcPr>
            <w:tcW w:w="1580" w:type="dxa"/>
            <w:tcBorders>
              <w:top w:val="single" w:sz="4" w:space="0" w:color="auto"/>
              <w:left w:val="nil"/>
              <w:bottom w:val="single" w:sz="4" w:space="0" w:color="auto"/>
              <w:right w:val="single" w:sz="4" w:space="0" w:color="auto"/>
            </w:tcBorders>
            <w:shd w:val="clear" w:color="000000" w:fill="C4D79B"/>
            <w:vAlign w:val="center"/>
            <w:hideMark/>
          </w:tcPr>
          <w:p w:rsidR="00AA0819" w:rsidRPr="00AA0819" w:rsidRDefault="00AA0819" w:rsidP="00AA0819">
            <w:pPr>
              <w:spacing w:before="0" w:after="0"/>
              <w:jc w:val="center"/>
              <w:rPr>
                <w:rFonts w:ascii="Arial" w:hAnsi="Arial" w:cs="Arial"/>
                <w:b/>
                <w:bCs/>
                <w:i/>
                <w:iCs/>
                <w:sz w:val="20"/>
                <w:szCs w:val="20"/>
                <w:lang w:eastAsia="en-GB"/>
              </w:rPr>
            </w:pPr>
            <w:r w:rsidRPr="00AA0819">
              <w:rPr>
                <w:rFonts w:ascii="Arial" w:hAnsi="Arial" w:cs="Arial"/>
                <w:b/>
                <w:bCs/>
                <w:i/>
                <w:iCs/>
                <w:sz w:val="20"/>
                <w:szCs w:val="20"/>
                <w:lang w:eastAsia="en-GB"/>
              </w:rPr>
              <w:t>Proposed allocation 2018</w:t>
            </w:r>
          </w:p>
        </w:tc>
        <w:tc>
          <w:tcPr>
            <w:tcW w:w="1580" w:type="dxa"/>
            <w:tcBorders>
              <w:top w:val="single" w:sz="4" w:space="0" w:color="auto"/>
              <w:left w:val="nil"/>
              <w:bottom w:val="single" w:sz="4" w:space="0" w:color="auto"/>
              <w:right w:val="single" w:sz="4" w:space="0" w:color="auto"/>
            </w:tcBorders>
            <w:shd w:val="clear" w:color="000000" w:fill="C4D79B"/>
            <w:vAlign w:val="center"/>
            <w:hideMark/>
          </w:tcPr>
          <w:p w:rsidR="00AA0819" w:rsidRPr="00AA0819" w:rsidRDefault="00AA0819" w:rsidP="00AA0819">
            <w:pPr>
              <w:spacing w:before="0" w:after="0"/>
              <w:jc w:val="center"/>
              <w:rPr>
                <w:rFonts w:ascii="Arial" w:hAnsi="Arial" w:cs="Arial"/>
                <w:b/>
                <w:bCs/>
                <w:i/>
                <w:iCs/>
                <w:sz w:val="20"/>
                <w:szCs w:val="20"/>
                <w:lang w:eastAsia="en-GB"/>
              </w:rPr>
            </w:pPr>
            <w:r w:rsidRPr="00AA0819">
              <w:rPr>
                <w:rFonts w:ascii="Arial" w:hAnsi="Arial" w:cs="Arial"/>
                <w:b/>
                <w:bCs/>
                <w:i/>
                <w:iCs/>
                <w:sz w:val="20"/>
                <w:szCs w:val="20"/>
                <w:lang w:eastAsia="en-GB"/>
              </w:rPr>
              <w:t>Proposed allocation 2019</w:t>
            </w:r>
          </w:p>
        </w:tc>
        <w:tc>
          <w:tcPr>
            <w:tcW w:w="1580" w:type="dxa"/>
            <w:tcBorders>
              <w:top w:val="single" w:sz="4" w:space="0" w:color="auto"/>
              <w:left w:val="nil"/>
              <w:bottom w:val="single" w:sz="4" w:space="0" w:color="auto"/>
              <w:right w:val="single" w:sz="4" w:space="0" w:color="auto"/>
            </w:tcBorders>
            <w:shd w:val="clear" w:color="000000" w:fill="C4D79B"/>
            <w:vAlign w:val="center"/>
            <w:hideMark/>
          </w:tcPr>
          <w:p w:rsidR="00AA0819" w:rsidRPr="00AA0819" w:rsidRDefault="00AA0819" w:rsidP="00AA0819">
            <w:pPr>
              <w:spacing w:before="0" w:after="0"/>
              <w:jc w:val="center"/>
              <w:rPr>
                <w:rFonts w:ascii="Arial" w:hAnsi="Arial" w:cs="Arial"/>
                <w:b/>
                <w:bCs/>
                <w:i/>
                <w:iCs/>
                <w:sz w:val="20"/>
                <w:szCs w:val="20"/>
                <w:lang w:eastAsia="en-GB"/>
              </w:rPr>
            </w:pPr>
            <w:r w:rsidRPr="00AA0819">
              <w:rPr>
                <w:rFonts w:ascii="Arial" w:hAnsi="Arial" w:cs="Arial"/>
                <w:b/>
                <w:bCs/>
                <w:i/>
                <w:iCs/>
                <w:sz w:val="20"/>
                <w:szCs w:val="20"/>
                <w:lang w:eastAsia="en-GB"/>
              </w:rPr>
              <w:t>Proposed allocation 2020</w:t>
            </w:r>
          </w:p>
        </w:tc>
        <w:tc>
          <w:tcPr>
            <w:tcW w:w="1580" w:type="dxa"/>
            <w:tcBorders>
              <w:top w:val="single" w:sz="4" w:space="0" w:color="auto"/>
              <w:left w:val="nil"/>
              <w:bottom w:val="single" w:sz="4" w:space="0" w:color="auto"/>
              <w:right w:val="single" w:sz="4" w:space="0" w:color="auto"/>
            </w:tcBorders>
            <w:shd w:val="clear" w:color="000000" w:fill="C4D79B"/>
            <w:vAlign w:val="center"/>
            <w:hideMark/>
          </w:tcPr>
          <w:p w:rsidR="00AA0819" w:rsidRPr="000C0F68" w:rsidRDefault="00AA0819" w:rsidP="00AA0819">
            <w:pPr>
              <w:spacing w:before="0" w:after="0"/>
              <w:jc w:val="center"/>
              <w:rPr>
                <w:rFonts w:ascii="Arial" w:hAnsi="Arial" w:cs="Arial"/>
                <w:b/>
                <w:bCs/>
                <w:i/>
                <w:iCs/>
                <w:sz w:val="20"/>
                <w:szCs w:val="20"/>
                <w:lang w:eastAsia="en-GB"/>
              </w:rPr>
            </w:pPr>
            <w:r>
              <w:rPr>
                <w:rFonts w:ascii="Arial" w:hAnsi="Arial" w:cs="Arial"/>
                <w:b/>
                <w:bCs/>
                <w:i/>
                <w:iCs/>
                <w:sz w:val="20"/>
                <w:szCs w:val="20"/>
                <w:lang w:eastAsia="en-GB"/>
              </w:rPr>
              <w:t>T</w:t>
            </w:r>
            <w:r w:rsidRPr="000C0F68">
              <w:rPr>
                <w:rFonts w:ascii="Arial" w:hAnsi="Arial" w:cs="Arial"/>
                <w:b/>
                <w:bCs/>
                <w:i/>
                <w:iCs/>
                <w:sz w:val="20"/>
                <w:szCs w:val="20"/>
                <w:lang w:eastAsia="en-GB"/>
              </w:rPr>
              <w:t>otal 2018-2020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Albania</w:t>
            </w:r>
          </w:p>
        </w:tc>
        <w:tc>
          <w:tcPr>
            <w:tcW w:w="1580" w:type="dxa"/>
            <w:tcBorders>
              <w:top w:val="nil"/>
              <w:left w:val="nil"/>
              <w:bottom w:val="single" w:sz="4" w:space="0" w:color="auto"/>
              <w:right w:val="nil"/>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600,000 </w:t>
            </w:r>
          </w:p>
        </w:tc>
        <w:tc>
          <w:tcPr>
            <w:tcW w:w="1580" w:type="dxa"/>
            <w:tcBorders>
              <w:top w:val="nil"/>
              <w:left w:val="single" w:sz="4" w:space="0" w:color="auto"/>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600,000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600,000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Bosnia Herzegovina</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800,000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1,100,000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FYROM</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Kosovo*</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Montenegro</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600,000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xml:space="preserve">Serbia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Turkey</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3,100,000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3,200,000 </w:t>
            </w:r>
          </w:p>
        </w:tc>
        <w:tc>
          <w:tcPr>
            <w:tcW w:w="1580" w:type="dxa"/>
            <w:tcBorders>
              <w:top w:val="nil"/>
              <w:left w:val="nil"/>
              <w:bottom w:val="nil"/>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3,300,000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nil"/>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7,000,000</w:t>
            </w:r>
          </w:p>
        </w:tc>
        <w:tc>
          <w:tcPr>
            <w:tcW w:w="1580" w:type="dxa"/>
            <w:tcBorders>
              <w:top w:val="nil"/>
              <w:left w:val="single" w:sz="4" w:space="0" w:color="auto"/>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7,100,000</w:t>
            </w:r>
          </w:p>
        </w:tc>
        <w:tc>
          <w:tcPr>
            <w:tcW w:w="1580" w:type="dxa"/>
            <w:tcBorders>
              <w:top w:val="single" w:sz="4" w:space="0" w:color="auto"/>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8,100,000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22,200,000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nil"/>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Armenia</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800,000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800,000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1,100,000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Azerbaijan</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nil"/>
              <w:left w:val="nil"/>
              <w:bottom w:val="nil"/>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1,100,000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Belarus</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single" w:sz="4" w:space="0" w:color="auto"/>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1,100,000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Ukraine</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1,100,000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1,100,000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1,400,000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Moldova</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800,000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Georgia</w:t>
            </w:r>
          </w:p>
        </w:tc>
        <w:tc>
          <w:tcPr>
            <w:tcW w:w="1580" w:type="dxa"/>
            <w:tcBorders>
              <w:top w:val="nil"/>
              <w:left w:val="nil"/>
              <w:bottom w:val="nil"/>
              <w:right w:val="nil"/>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800,000 </w:t>
            </w:r>
          </w:p>
        </w:tc>
        <w:tc>
          <w:tcPr>
            <w:tcW w:w="1580" w:type="dxa"/>
            <w:tcBorders>
              <w:top w:val="nil"/>
              <w:left w:val="single" w:sz="4" w:space="0" w:color="auto"/>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900,000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Russia</w:t>
            </w:r>
          </w:p>
        </w:tc>
        <w:tc>
          <w:tcPr>
            <w:tcW w:w="1580" w:type="dxa"/>
            <w:tcBorders>
              <w:top w:val="single" w:sz="4" w:space="0" w:color="auto"/>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3,100,000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3,200,000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9,300,000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Egypt</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Jordan</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Lebanon</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600,000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Libya</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600,000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700,000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800,000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Morocco</w:t>
            </w:r>
          </w:p>
        </w:tc>
        <w:tc>
          <w:tcPr>
            <w:tcW w:w="1580" w:type="dxa"/>
            <w:tcBorders>
              <w:top w:val="nil"/>
              <w:left w:val="nil"/>
              <w:bottom w:val="nil"/>
              <w:right w:val="nil"/>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single" w:sz="4" w:space="0" w:color="auto"/>
              <w:bottom w:val="nil"/>
              <w:right w:val="nil"/>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single" w:sz="4" w:space="0" w:color="auto"/>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Syria</w:t>
            </w:r>
          </w:p>
        </w:tc>
        <w:tc>
          <w:tcPr>
            <w:tcW w:w="1580" w:type="dxa"/>
            <w:tcBorders>
              <w:top w:val="single" w:sz="4" w:space="0" w:color="auto"/>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1,500,000 </w:t>
            </w:r>
          </w:p>
        </w:tc>
        <w:tc>
          <w:tcPr>
            <w:tcW w:w="1580" w:type="dxa"/>
            <w:tcBorders>
              <w:top w:val="single" w:sz="4" w:space="0" w:color="auto"/>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1,600,000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1,700,000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Tunisia</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1,000,000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Algeria</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500,000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300,000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400,000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sz w:val="20"/>
                <w:szCs w:val="20"/>
                <w:lang w:eastAsia="en-GB"/>
              </w:rPr>
            </w:pPr>
            <w:r w:rsidRPr="00AA0819">
              <w:rPr>
                <w:rFonts w:ascii="Arial" w:hAnsi="Arial" w:cs="Arial"/>
                <w:b/>
                <w:bCs/>
                <w:sz w:val="20"/>
                <w:szCs w:val="20"/>
                <w:lang w:eastAsia="en-GB"/>
              </w:rPr>
              <w:t>Israel</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1,200,000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1,200,000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1,400,000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3,800,000</w:t>
            </w:r>
          </w:p>
        </w:tc>
      </w:tr>
      <w:tr w:rsidR="00AA0819" w:rsidRPr="00AA0819" w:rsidTr="00AA0819">
        <w:trPr>
          <w:trHeight w:val="24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West Bank &amp; Gaza</w:t>
            </w:r>
          </w:p>
        </w:tc>
        <w:tc>
          <w:tcPr>
            <w:tcW w:w="1580" w:type="dxa"/>
            <w:tcBorders>
              <w:top w:val="nil"/>
              <w:left w:val="nil"/>
              <w:bottom w:val="single" w:sz="4" w:space="0" w:color="auto"/>
              <w:right w:val="nil"/>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1,300,000 </w:t>
            </w:r>
          </w:p>
        </w:tc>
        <w:tc>
          <w:tcPr>
            <w:tcW w:w="1580" w:type="dxa"/>
            <w:tcBorders>
              <w:top w:val="nil"/>
              <w:left w:val="single" w:sz="4" w:space="0" w:color="auto"/>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1,300,000 </w:t>
            </w:r>
          </w:p>
        </w:tc>
        <w:tc>
          <w:tcPr>
            <w:tcW w:w="1580" w:type="dxa"/>
            <w:tcBorders>
              <w:top w:val="nil"/>
              <w:left w:val="nil"/>
              <w:bottom w:val="single" w:sz="4" w:space="0" w:color="auto"/>
              <w:right w:val="single" w:sz="4" w:space="0" w:color="auto"/>
            </w:tcBorders>
            <w:shd w:val="clear" w:color="000000" w:fill="D8E4BC"/>
            <w:noWrap/>
            <w:vAlign w:val="bottom"/>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xml:space="preserve">               1,500,000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4,100,000</w:t>
            </w:r>
          </w:p>
        </w:tc>
      </w:tr>
      <w:tr w:rsidR="00AA0819" w:rsidRPr="00AA0819" w:rsidTr="00AA0819">
        <w:trPr>
          <w:trHeight w:val="240"/>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18,100,000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17,400,000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19,700,000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55,200,000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Argentina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825,000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2,475,000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Brazil</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Bolivia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Costa Rica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Colombia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1,425,000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1,275,000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lastRenderedPageBreak/>
              <w:t>Chile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Ecuador</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1,350,000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Salvador</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2,550,000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Guatemala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2,550,000</w:t>
            </w:r>
          </w:p>
        </w:tc>
      </w:tr>
      <w:tr w:rsidR="00AA0819" w:rsidRPr="00AA0819" w:rsidTr="00AA0819">
        <w:trPr>
          <w:trHeight w:val="27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Honduras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Mexico</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5,400,000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Nicaragua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Panama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Paraguay</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Peru</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2,550,000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Uruguay</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Venezuela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1,500,000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11,850,000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12,250,000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14,225,000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b/>
                <w:bCs/>
                <w:i/>
                <w:iCs/>
                <w:sz w:val="16"/>
                <w:szCs w:val="16"/>
                <w:lang w:eastAsia="en-GB"/>
              </w:rPr>
            </w:pPr>
            <w:r w:rsidRPr="00AA0819">
              <w:rPr>
                <w:rFonts w:ascii="Arial" w:hAnsi="Arial" w:cs="Arial"/>
                <w:b/>
                <w:bCs/>
                <w:i/>
                <w:iCs/>
                <w:sz w:val="16"/>
                <w:szCs w:val="16"/>
                <w:lang w:eastAsia="en-GB"/>
              </w:rPr>
              <w:t>38,325,000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14%</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Barbados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Belize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330,000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330,000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Cuba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375,000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375,000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375,000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1,125,000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Dominican Republic</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Guyana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Haiti</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Jamaica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1,350,000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Surinam</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Trinidad and Tobago</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360,000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360,000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3,075,000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4,065,000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3,075,000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b/>
                <w:bCs/>
                <w:i/>
                <w:iCs/>
                <w:sz w:val="16"/>
                <w:szCs w:val="16"/>
                <w:lang w:eastAsia="en-GB"/>
              </w:rPr>
            </w:pPr>
            <w:r w:rsidRPr="00AA0819">
              <w:rPr>
                <w:rFonts w:ascii="Arial" w:hAnsi="Arial" w:cs="Arial"/>
                <w:b/>
                <w:bCs/>
                <w:i/>
                <w:iCs/>
                <w:sz w:val="16"/>
                <w:szCs w:val="16"/>
                <w:lang w:eastAsia="en-GB"/>
              </w:rPr>
              <w:t>10,215,000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FFFFFF"/>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Afghanistan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Bangladesh</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Burma/ Myanmar</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Cambodia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2,100,000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China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2,850,000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India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Indonesia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Laos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Malaysia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Mongolia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Nepal</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Pakistan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Philippines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0C0F68">
              <w:rPr>
                <w:rFonts w:ascii="Arial" w:hAnsi="Arial" w:cs="Arial"/>
                <w:b/>
                <w:bCs/>
                <w:sz w:val="20"/>
                <w:szCs w:val="20"/>
                <w:lang w:eastAsia="en-GB"/>
              </w:rPr>
              <w:t>Sri Lanka and Maldives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Thailand</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Vietnam</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Fiji</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Papua New Guinea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Solomon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Timor Leste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16,800,000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12,950,000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18,850,000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b/>
                <w:bCs/>
                <w:i/>
                <w:iCs/>
                <w:sz w:val="16"/>
                <w:szCs w:val="16"/>
                <w:lang w:eastAsia="en-GB"/>
              </w:rPr>
            </w:pPr>
            <w:r w:rsidRPr="00AA0819">
              <w:rPr>
                <w:rFonts w:ascii="Arial" w:hAnsi="Arial" w:cs="Arial"/>
                <w:b/>
                <w:bCs/>
                <w:i/>
                <w:iCs/>
                <w:sz w:val="16"/>
                <w:szCs w:val="16"/>
                <w:lang w:eastAsia="en-GB"/>
              </w:rPr>
              <w:t>48,600,000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w:t>
            </w:r>
          </w:p>
        </w:tc>
      </w:tr>
      <w:tr w:rsidR="00AA0819" w:rsidRPr="00AA0819" w:rsidTr="00AA0819">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Kazakhstan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Kyrgyzstan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2,900,000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Tajikistan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lastRenderedPageBreak/>
              <w:t>Turkmenistan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0C0F68" w:rsidRDefault="00AA0819" w:rsidP="00AA0819">
            <w:pPr>
              <w:spacing w:before="0" w:after="0"/>
              <w:jc w:val="right"/>
              <w:rPr>
                <w:rFonts w:ascii="Arial" w:hAnsi="Arial" w:cs="Arial"/>
                <w:i/>
                <w:iCs/>
                <w:sz w:val="16"/>
                <w:szCs w:val="16"/>
                <w:lang w:eastAsia="en-GB"/>
              </w:rPr>
            </w:pPr>
            <w:r w:rsidRPr="000C0F68">
              <w:rPr>
                <w:rFonts w:ascii="Arial" w:hAnsi="Arial" w:cs="Arial"/>
                <w:i/>
                <w:iCs/>
                <w:sz w:val="16"/>
                <w:szCs w:val="16"/>
                <w:lang w:eastAsia="en-GB"/>
              </w:rPr>
              <w:t>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Uzbekistan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3,100,000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1,900,000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3,100,000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b/>
                <w:bCs/>
                <w:i/>
                <w:iCs/>
                <w:sz w:val="16"/>
                <w:szCs w:val="16"/>
                <w:lang w:eastAsia="en-GB"/>
              </w:rPr>
            </w:pPr>
            <w:r w:rsidRPr="00AA0819">
              <w:rPr>
                <w:rFonts w:ascii="Arial" w:hAnsi="Arial" w:cs="Arial"/>
                <w:b/>
                <w:bCs/>
                <w:i/>
                <w:iCs/>
                <w:sz w:val="16"/>
                <w:szCs w:val="16"/>
                <w:lang w:eastAsia="en-GB"/>
              </w:rPr>
              <w:t>8,100,000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w:t>
            </w:r>
          </w:p>
        </w:tc>
      </w:tr>
      <w:tr w:rsidR="00AA0819" w:rsidRPr="00AA0819" w:rsidTr="00AA0819">
        <w:trPr>
          <w:trHeight w:val="34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Iraq</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Yemen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1,100,000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3,300,000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1,400,000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1,600,000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b/>
                <w:bCs/>
                <w:i/>
                <w:iCs/>
                <w:sz w:val="16"/>
                <w:szCs w:val="16"/>
                <w:lang w:eastAsia="en-GB"/>
              </w:rPr>
            </w:pPr>
            <w:r w:rsidRPr="00AA0819">
              <w:rPr>
                <w:rFonts w:ascii="Arial" w:hAnsi="Arial" w:cs="Arial"/>
                <w:b/>
                <w:bCs/>
                <w:i/>
                <w:iCs/>
                <w:sz w:val="16"/>
                <w:szCs w:val="16"/>
                <w:lang w:eastAsia="en-GB"/>
              </w:rPr>
              <w:t>4,500,000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Angola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Benin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Botswana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Burkina Faso</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r>
      <w:tr w:rsidR="00AA0819" w:rsidRPr="00AA0819" w:rsidTr="00AA0819">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Burundi</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Cameroun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Cap Verde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225,000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225,000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Chad</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Comoros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Congo Brazzaville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430,000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1,040,000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1,080,000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2,550,000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Cote d’Ivoire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Djibouti</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DRC</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Eritrea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Ethiopia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Gabon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Gambia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Ghana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Guinea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Guine</w:t>
            </w:r>
            <w:r>
              <w:rPr>
                <w:rFonts w:ascii="Arial" w:hAnsi="Arial" w:cs="Arial"/>
                <w:b/>
                <w:bCs/>
                <w:color w:val="000000"/>
                <w:sz w:val="20"/>
                <w:szCs w:val="20"/>
                <w:lang w:eastAsia="en-GB"/>
              </w:rPr>
              <w:t>a-</w:t>
            </w:r>
            <w:r w:rsidRPr="00AA0819">
              <w:rPr>
                <w:rFonts w:ascii="Arial" w:hAnsi="Arial" w:cs="Arial"/>
                <w:b/>
                <w:bCs/>
                <w:color w:val="000000"/>
                <w:sz w:val="20"/>
                <w:szCs w:val="20"/>
                <w:lang w:eastAsia="en-GB"/>
              </w:rPr>
              <w:t>Bissau</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Pr>
                <w:rFonts w:ascii="Arial" w:hAnsi="Arial" w:cs="Arial"/>
                <w:b/>
                <w:bCs/>
                <w:color w:val="000000"/>
                <w:sz w:val="20"/>
                <w:szCs w:val="20"/>
                <w:lang w:eastAsia="en-GB"/>
              </w:rPr>
              <w:t xml:space="preserve">Equatorial </w:t>
            </w:r>
            <w:r w:rsidRPr="00AA0819">
              <w:rPr>
                <w:rFonts w:ascii="Arial" w:hAnsi="Arial" w:cs="Arial"/>
                <w:b/>
                <w:bCs/>
                <w:color w:val="000000"/>
                <w:sz w:val="20"/>
                <w:szCs w:val="20"/>
                <w:lang w:eastAsia="en-GB"/>
              </w:rPr>
              <w:t xml:space="preserve">Guinea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Kenya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Lesotho</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Liberia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2,250,000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Madagascar</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r>
      <w:tr w:rsidR="00AA0819" w:rsidRPr="00AA0819" w:rsidTr="00AA0819">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Malawi</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Mali</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Mauritania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Mauritius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307983" w:rsidP="00AA0819">
            <w:pPr>
              <w:spacing w:before="0" w:after="0"/>
              <w:jc w:val="right"/>
              <w:rPr>
                <w:rFonts w:ascii="Arial" w:hAnsi="Arial" w:cs="Arial"/>
                <w:i/>
                <w:iCs/>
                <w:sz w:val="16"/>
                <w:szCs w:val="16"/>
                <w:lang w:eastAsia="en-GB"/>
              </w:rPr>
            </w:pPr>
            <w:r>
              <w:rPr>
                <w:rFonts w:ascii="Arial" w:hAnsi="Arial" w:cs="Arial"/>
                <w:i/>
                <w:iCs/>
                <w:sz w:val="16"/>
                <w:szCs w:val="16"/>
                <w:lang w:eastAsia="en-GB"/>
              </w:rPr>
              <w:t>50,000</w:t>
            </w:r>
            <w:r w:rsidR="00AA0819"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307983">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w:t>
            </w:r>
            <w:r w:rsidR="00307983">
              <w:rPr>
                <w:rFonts w:ascii="Arial" w:hAnsi="Arial" w:cs="Arial"/>
                <w:i/>
                <w:iCs/>
                <w:sz w:val="16"/>
                <w:szCs w:val="16"/>
                <w:lang w:eastAsia="en-GB"/>
              </w:rPr>
              <w:t>5</w:t>
            </w:r>
            <w:r w:rsidRPr="00AA0819">
              <w:rPr>
                <w:rFonts w:ascii="Arial" w:hAnsi="Arial" w:cs="Arial"/>
                <w:i/>
                <w:iCs/>
                <w:sz w:val="16"/>
                <w:szCs w:val="16"/>
                <w:lang w:eastAsia="en-GB"/>
              </w:rPr>
              <w:t>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Mozambique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Namibia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xml:space="preserve">Niger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Nigeria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0C0F68" w:rsidP="00AA0819">
            <w:pPr>
              <w:spacing w:before="0" w:after="0"/>
              <w:jc w:val="center"/>
              <w:rPr>
                <w:rFonts w:ascii="Arial" w:hAnsi="Arial" w:cs="Arial"/>
                <w:b/>
                <w:bCs/>
                <w:color w:val="000000"/>
                <w:sz w:val="20"/>
                <w:szCs w:val="20"/>
                <w:lang w:eastAsia="en-GB"/>
              </w:rPr>
            </w:pPr>
            <w:r>
              <w:rPr>
                <w:rFonts w:ascii="Arial" w:hAnsi="Arial" w:cs="Arial"/>
                <w:b/>
                <w:bCs/>
                <w:color w:val="000000"/>
                <w:sz w:val="20"/>
                <w:szCs w:val="20"/>
                <w:lang w:eastAsia="en-GB"/>
              </w:rPr>
              <w:t>Central African Rep.</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700,000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2,100,000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Rwanda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620,000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620,000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620,000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1,860,000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Sao Tome-et-Principe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Senegal</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Seychelles</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Sierra Leone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1,600,000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Somalia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South Africa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800,000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2,400,000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South Sudan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lastRenderedPageBreak/>
              <w:t>Sudan</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Swaziland</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480,000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420,000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1,350,000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Tanzania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2,700,000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Togo</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Uganda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975,000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950,000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900,000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2,825,000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Zambia</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1,200,000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600,000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1,800,000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Zimbabwe</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1,500,000</w:t>
            </w:r>
          </w:p>
        </w:tc>
        <w:tc>
          <w:tcPr>
            <w:tcW w:w="1580" w:type="dxa"/>
            <w:tcBorders>
              <w:top w:val="nil"/>
              <w:left w:val="nil"/>
              <w:bottom w:val="single" w:sz="4" w:space="0" w:color="auto"/>
              <w:right w:val="single" w:sz="4" w:space="0" w:color="auto"/>
            </w:tcBorders>
            <w:shd w:val="clear" w:color="000000" w:fill="D8E4BC"/>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3,000,000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FF0000"/>
                <w:sz w:val="20"/>
                <w:szCs w:val="20"/>
                <w:lang w:eastAsia="en-GB"/>
              </w:rPr>
            </w:pPr>
            <w:r w:rsidRPr="00AA0819">
              <w:rPr>
                <w:rFonts w:ascii="Arial" w:hAnsi="Arial" w:cs="Arial"/>
                <w:b/>
                <w:bCs/>
                <w:color w:val="FF0000"/>
                <w:sz w:val="20"/>
                <w:szCs w:val="20"/>
                <w:lang w:eastAsia="en-GB"/>
              </w:rPr>
              <w:t>Regional Total</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307983">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23,2</w:t>
            </w:r>
            <w:r w:rsidR="00307983">
              <w:rPr>
                <w:rFonts w:ascii="Arial" w:hAnsi="Arial" w:cs="Arial"/>
                <w:i/>
                <w:iCs/>
                <w:sz w:val="16"/>
                <w:szCs w:val="16"/>
                <w:lang w:eastAsia="en-GB"/>
              </w:rPr>
              <w:t>7</w:t>
            </w:r>
            <w:r w:rsidRPr="00AA0819">
              <w:rPr>
                <w:rFonts w:ascii="Arial" w:hAnsi="Arial" w:cs="Arial"/>
                <w:i/>
                <w:iCs/>
                <w:sz w:val="16"/>
                <w:szCs w:val="16"/>
                <w:lang w:eastAsia="en-GB"/>
              </w:rPr>
              <w:t>5,000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29,185,000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31,140,000</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b/>
                <w:bCs/>
                <w:i/>
                <w:iCs/>
                <w:sz w:val="16"/>
                <w:szCs w:val="16"/>
                <w:lang w:eastAsia="en-GB"/>
              </w:rPr>
            </w:pPr>
            <w:r w:rsidRPr="00AA0819">
              <w:rPr>
                <w:rFonts w:ascii="Arial" w:hAnsi="Arial" w:cs="Arial"/>
                <w:b/>
                <w:bCs/>
                <w:i/>
                <w:iCs/>
                <w:sz w:val="16"/>
                <w:szCs w:val="16"/>
                <w:lang w:eastAsia="en-GB"/>
              </w:rPr>
              <w:t>83,550,000</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000000" w:fill="B1A0C7"/>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000000" w:fill="B1A0C7"/>
            <w:noWrap/>
            <w:vAlign w:val="center"/>
            <w:hideMark/>
          </w:tcPr>
          <w:p w:rsidR="00AA0819" w:rsidRPr="00AA0819" w:rsidRDefault="00AA0819" w:rsidP="00AA0819">
            <w:pPr>
              <w:spacing w:before="0" w:after="0"/>
              <w:jc w:val="right"/>
              <w:rPr>
                <w:rFonts w:ascii="Arial" w:hAnsi="Arial" w:cs="Arial"/>
                <w:i/>
                <w:iCs/>
                <w:sz w:val="16"/>
                <w:szCs w:val="16"/>
                <w:lang w:eastAsia="en-GB"/>
              </w:rPr>
            </w:pPr>
            <w:r w:rsidRPr="00AA0819">
              <w:rPr>
                <w:rFonts w:ascii="Arial" w:hAnsi="Arial" w:cs="Arial"/>
                <w:i/>
                <w:iCs/>
                <w:sz w:val="16"/>
                <w:szCs w:val="16"/>
                <w:lang w:eastAsia="en-GB"/>
              </w:rPr>
              <w:t>31%</w:t>
            </w:r>
          </w:p>
        </w:tc>
      </w:tr>
      <w:tr w:rsidR="00AA0819" w:rsidRPr="00AA0819" w:rsidTr="00AA0819">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rsidR="00AA0819" w:rsidRPr="00AA0819" w:rsidRDefault="00AA0819" w:rsidP="00AA0819">
            <w:pPr>
              <w:spacing w:before="0" w:after="0"/>
              <w:jc w:val="center"/>
              <w:rPr>
                <w:rFonts w:ascii="Arial" w:hAnsi="Arial" w:cs="Arial"/>
                <w:b/>
                <w:bCs/>
                <w:color w:val="000000"/>
                <w:sz w:val="20"/>
                <w:szCs w:val="20"/>
                <w:lang w:eastAsia="en-GB"/>
              </w:rPr>
            </w:pPr>
            <w:r w:rsidRPr="00AA0819">
              <w:rPr>
                <w:rFonts w:ascii="Arial" w:hAnsi="Arial" w:cs="Arial"/>
                <w:b/>
                <w:bCs/>
                <w:color w:val="000000"/>
                <w:sz w:val="20"/>
                <w:szCs w:val="20"/>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rsidR="00AA0819" w:rsidRPr="00AA0819" w:rsidRDefault="00AA0819" w:rsidP="00AA0819">
            <w:pPr>
              <w:spacing w:before="0" w:after="0"/>
              <w:jc w:val="center"/>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rsidR="00AA0819" w:rsidRPr="00AA0819" w:rsidRDefault="00AA0819" w:rsidP="00AA0819">
            <w:pPr>
              <w:spacing w:before="0" w:after="0"/>
              <w:jc w:val="center"/>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rsidR="00AA0819" w:rsidRPr="00AA0819" w:rsidRDefault="00AA0819" w:rsidP="00AA0819">
            <w:pPr>
              <w:spacing w:before="0" w:after="0"/>
              <w:jc w:val="center"/>
              <w:rPr>
                <w:rFonts w:ascii="Arial" w:hAnsi="Arial" w:cs="Arial"/>
                <w:i/>
                <w:iCs/>
                <w:sz w:val="16"/>
                <w:szCs w:val="16"/>
                <w:lang w:eastAsia="en-GB"/>
              </w:rPr>
            </w:pPr>
            <w:r w:rsidRPr="00AA0819">
              <w:rPr>
                <w:rFonts w:ascii="Arial" w:hAnsi="Arial" w:cs="Arial"/>
                <w:i/>
                <w:iCs/>
                <w:sz w:val="16"/>
                <w:szCs w:val="16"/>
                <w:lang w:eastAsia="en-GB"/>
              </w:rPr>
              <w:t> </w:t>
            </w:r>
          </w:p>
        </w:tc>
        <w:tc>
          <w:tcPr>
            <w:tcW w:w="1580" w:type="dxa"/>
            <w:tcBorders>
              <w:top w:val="nil"/>
              <w:left w:val="nil"/>
              <w:bottom w:val="single" w:sz="4" w:space="0" w:color="auto"/>
              <w:right w:val="single" w:sz="4" w:space="0" w:color="auto"/>
            </w:tcBorders>
            <w:shd w:val="clear" w:color="auto" w:fill="auto"/>
            <w:noWrap/>
            <w:vAlign w:val="center"/>
            <w:hideMark/>
          </w:tcPr>
          <w:p w:rsidR="00AA0819" w:rsidRPr="00AA0819" w:rsidRDefault="00AA0819" w:rsidP="00AA0819">
            <w:pPr>
              <w:spacing w:before="0" w:after="0"/>
              <w:jc w:val="center"/>
              <w:rPr>
                <w:rFonts w:ascii="Arial" w:hAnsi="Arial" w:cs="Arial"/>
                <w:i/>
                <w:iCs/>
                <w:sz w:val="16"/>
                <w:szCs w:val="16"/>
                <w:lang w:eastAsia="en-GB"/>
              </w:rPr>
            </w:pPr>
            <w:r w:rsidRPr="00AA0819">
              <w:rPr>
                <w:rFonts w:ascii="Arial" w:hAnsi="Arial" w:cs="Arial"/>
                <w:i/>
                <w:iCs/>
                <w:sz w:val="16"/>
                <w:szCs w:val="16"/>
                <w:lang w:eastAsia="en-GB"/>
              </w:rPr>
              <w:t> </w:t>
            </w:r>
          </w:p>
        </w:tc>
      </w:tr>
      <w:tr w:rsidR="00AA0819" w:rsidRPr="00AA0819" w:rsidTr="00AA0819">
        <w:trPr>
          <w:trHeight w:val="465"/>
        </w:trPr>
        <w:tc>
          <w:tcPr>
            <w:tcW w:w="2400" w:type="dxa"/>
            <w:tcBorders>
              <w:top w:val="nil"/>
              <w:left w:val="single" w:sz="4" w:space="0" w:color="auto"/>
              <w:bottom w:val="single" w:sz="4" w:space="0" w:color="auto"/>
              <w:right w:val="single" w:sz="4" w:space="0" w:color="auto"/>
            </w:tcBorders>
            <w:shd w:val="clear" w:color="000000" w:fill="F2DCDB"/>
            <w:noWrap/>
            <w:vAlign w:val="bottom"/>
            <w:hideMark/>
          </w:tcPr>
          <w:p w:rsidR="00AA0819" w:rsidRPr="00AA0819" w:rsidRDefault="00AA0819" w:rsidP="00AA0819">
            <w:pPr>
              <w:spacing w:before="0" w:after="0"/>
              <w:jc w:val="left"/>
              <w:rPr>
                <w:rFonts w:ascii="Arial" w:hAnsi="Arial" w:cs="Arial"/>
                <w:b/>
                <w:bCs/>
                <w:color w:val="000000"/>
                <w:sz w:val="20"/>
                <w:szCs w:val="20"/>
                <w:lang w:eastAsia="en-GB"/>
              </w:rPr>
            </w:pPr>
            <w:r w:rsidRPr="00AA0819">
              <w:rPr>
                <w:rFonts w:ascii="Arial" w:hAnsi="Arial" w:cs="Arial"/>
                <w:b/>
                <w:bCs/>
                <w:color w:val="000000"/>
                <w:sz w:val="20"/>
                <w:szCs w:val="20"/>
                <w:lang w:eastAsia="en-GB"/>
              </w:rPr>
              <w:t>TOTALS</w:t>
            </w:r>
          </w:p>
        </w:tc>
        <w:tc>
          <w:tcPr>
            <w:tcW w:w="1580" w:type="dxa"/>
            <w:tcBorders>
              <w:top w:val="nil"/>
              <w:left w:val="nil"/>
              <w:bottom w:val="single" w:sz="4" w:space="0" w:color="auto"/>
              <w:right w:val="single" w:sz="4" w:space="0" w:color="auto"/>
            </w:tcBorders>
            <w:shd w:val="clear" w:color="000000" w:fill="F2DCDB"/>
            <w:noWrap/>
            <w:vAlign w:val="center"/>
            <w:hideMark/>
          </w:tcPr>
          <w:p w:rsidR="00AA0819" w:rsidRPr="00AA0819" w:rsidRDefault="00AA0819" w:rsidP="00307983">
            <w:pPr>
              <w:spacing w:before="0" w:after="0"/>
              <w:jc w:val="center"/>
              <w:rPr>
                <w:rFonts w:ascii="Arial" w:hAnsi="Arial" w:cs="Arial"/>
                <w:b/>
                <w:bCs/>
                <w:i/>
                <w:iCs/>
                <w:sz w:val="16"/>
                <w:szCs w:val="16"/>
                <w:lang w:eastAsia="en-GB"/>
              </w:rPr>
            </w:pPr>
            <w:r w:rsidRPr="00AA0819">
              <w:rPr>
                <w:rFonts w:ascii="Arial" w:hAnsi="Arial" w:cs="Arial"/>
                <w:b/>
                <w:bCs/>
                <w:i/>
                <w:iCs/>
                <w:sz w:val="16"/>
                <w:szCs w:val="16"/>
                <w:lang w:eastAsia="en-GB"/>
              </w:rPr>
              <w:t>84,</w:t>
            </w:r>
            <w:r w:rsidR="00307983">
              <w:rPr>
                <w:rFonts w:ascii="Arial" w:hAnsi="Arial" w:cs="Arial"/>
                <w:b/>
                <w:bCs/>
                <w:i/>
                <w:iCs/>
                <w:sz w:val="16"/>
                <w:szCs w:val="16"/>
                <w:lang w:eastAsia="en-GB"/>
              </w:rPr>
              <w:t>700</w:t>
            </w:r>
            <w:r w:rsidRPr="00AA0819">
              <w:rPr>
                <w:rFonts w:ascii="Arial" w:hAnsi="Arial" w:cs="Arial"/>
                <w:b/>
                <w:bCs/>
                <w:i/>
                <w:iCs/>
                <w:sz w:val="16"/>
                <w:szCs w:val="16"/>
                <w:lang w:eastAsia="en-GB"/>
              </w:rPr>
              <w:t>,000</w:t>
            </w:r>
          </w:p>
        </w:tc>
        <w:tc>
          <w:tcPr>
            <w:tcW w:w="1580" w:type="dxa"/>
            <w:tcBorders>
              <w:top w:val="nil"/>
              <w:left w:val="nil"/>
              <w:bottom w:val="single" w:sz="4" w:space="0" w:color="auto"/>
              <w:right w:val="single" w:sz="4" w:space="0" w:color="auto"/>
            </w:tcBorders>
            <w:shd w:val="clear" w:color="000000" w:fill="F2DCDB"/>
            <w:noWrap/>
            <w:vAlign w:val="center"/>
            <w:hideMark/>
          </w:tcPr>
          <w:p w:rsidR="00AA0819" w:rsidRPr="00AA0819" w:rsidRDefault="00AA0819" w:rsidP="00AA0819">
            <w:pPr>
              <w:spacing w:before="0" w:after="0"/>
              <w:jc w:val="center"/>
              <w:rPr>
                <w:rFonts w:ascii="Arial" w:hAnsi="Arial" w:cs="Arial"/>
                <w:b/>
                <w:bCs/>
                <w:i/>
                <w:iCs/>
                <w:sz w:val="16"/>
                <w:szCs w:val="16"/>
                <w:lang w:eastAsia="en-GB"/>
              </w:rPr>
            </w:pPr>
            <w:r w:rsidRPr="00AA0819">
              <w:rPr>
                <w:rFonts w:ascii="Arial" w:hAnsi="Arial" w:cs="Arial"/>
                <w:b/>
                <w:bCs/>
                <w:i/>
                <w:iCs/>
                <w:sz w:val="16"/>
                <w:szCs w:val="16"/>
                <w:lang w:eastAsia="en-GB"/>
              </w:rPr>
              <w:t>86,250,000</w:t>
            </w:r>
          </w:p>
        </w:tc>
        <w:tc>
          <w:tcPr>
            <w:tcW w:w="1580" w:type="dxa"/>
            <w:tcBorders>
              <w:top w:val="nil"/>
              <w:left w:val="nil"/>
              <w:bottom w:val="single" w:sz="4" w:space="0" w:color="auto"/>
              <w:right w:val="single" w:sz="4" w:space="0" w:color="auto"/>
            </w:tcBorders>
            <w:shd w:val="clear" w:color="000000" w:fill="F2DCDB"/>
            <w:noWrap/>
            <w:vAlign w:val="center"/>
            <w:hideMark/>
          </w:tcPr>
          <w:p w:rsidR="00AA0819" w:rsidRPr="00AA0819" w:rsidRDefault="00AA0819" w:rsidP="00AA0819">
            <w:pPr>
              <w:spacing w:before="0" w:after="0"/>
              <w:jc w:val="center"/>
              <w:rPr>
                <w:rFonts w:ascii="Arial" w:hAnsi="Arial" w:cs="Arial"/>
                <w:b/>
                <w:bCs/>
                <w:i/>
                <w:iCs/>
                <w:sz w:val="16"/>
                <w:szCs w:val="16"/>
                <w:lang w:eastAsia="en-GB"/>
              </w:rPr>
            </w:pPr>
            <w:r w:rsidRPr="00AA0819">
              <w:rPr>
                <w:rFonts w:ascii="Arial" w:hAnsi="Arial" w:cs="Arial"/>
                <w:b/>
                <w:bCs/>
                <w:i/>
                <w:iCs/>
                <w:sz w:val="16"/>
                <w:szCs w:val="16"/>
                <w:lang w:eastAsia="en-GB"/>
              </w:rPr>
              <w:t>99,790,000</w:t>
            </w:r>
          </w:p>
        </w:tc>
        <w:tc>
          <w:tcPr>
            <w:tcW w:w="1580" w:type="dxa"/>
            <w:tcBorders>
              <w:top w:val="nil"/>
              <w:left w:val="nil"/>
              <w:bottom w:val="single" w:sz="4" w:space="0" w:color="auto"/>
              <w:right w:val="single" w:sz="4" w:space="0" w:color="auto"/>
            </w:tcBorders>
            <w:shd w:val="clear" w:color="000000" w:fill="F2DCDB"/>
            <w:noWrap/>
            <w:vAlign w:val="center"/>
            <w:hideMark/>
          </w:tcPr>
          <w:p w:rsidR="00AA0819" w:rsidRPr="000C0F68" w:rsidRDefault="00AA0819" w:rsidP="00AA0819">
            <w:pPr>
              <w:spacing w:before="0" w:after="0"/>
              <w:jc w:val="center"/>
              <w:rPr>
                <w:rFonts w:ascii="Arial" w:hAnsi="Arial" w:cs="Arial"/>
                <w:b/>
                <w:bCs/>
                <w:i/>
                <w:iCs/>
                <w:sz w:val="16"/>
                <w:szCs w:val="16"/>
                <w:lang w:eastAsia="en-GB"/>
              </w:rPr>
            </w:pPr>
            <w:r w:rsidRPr="000C0F68">
              <w:rPr>
                <w:rFonts w:ascii="Arial" w:hAnsi="Arial" w:cs="Arial"/>
                <w:b/>
                <w:bCs/>
                <w:i/>
                <w:iCs/>
                <w:sz w:val="16"/>
                <w:szCs w:val="16"/>
                <w:lang w:eastAsia="en-GB"/>
              </w:rPr>
              <w:t>270,690,000</w:t>
            </w:r>
          </w:p>
        </w:tc>
      </w:tr>
    </w:tbl>
    <w:p w:rsidR="00233509" w:rsidRPr="000E3B74" w:rsidRDefault="00233509" w:rsidP="00233509">
      <w:pPr>
        <w:rPr>
          <w:b/>
          <w:u w:val="single"/>
        </w:rPr>
      </w:pPr>
    </w:p>
    <w:sectPr w:rsidR="00233509" w:rsidRPr="000E3B74">
      <w:footerReference w:type="defaul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19" w:rsidRDefault="00AA0819">
      <w:pPr>
        <w:spacing w:before="0" w:after="0"/>
      </w:pPr>
      <w:r>
        <w:separator/>
      </w:r>
    </w:p>
  </w:endnote>
  <w:endnote w:type="continuationSeparator" w:id="0">
    <w:p w:rsidR="00AA0819" w:rsidRDefault="00AA08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Garamond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54291"/>
    </w:sdtPr>
    <w:sdtEndPr/>
    <w:sdtContent>
      <w:p w:rsidR="00AA0819" w:rsidRDefault="00AA0819">
        <w:pPr>
          <w:pStyle w:val="Footer"/>
          <w:jc w:val="right"/>
        </w:pPr>
        <w:r>
          <w:fldChar w:fldCharType="begin"/>
        </w:r>
        <w:r>
          <w:instrText xml:space="preserve"> PAGE   \* MERGEFORMAT </w:instrText>
        </w:r>
        <w:r>
          <w:fldChar w:fldCharType="separate"/>
        </w:r>
        <w:r w:rsidR="00832237">
          <w:rPr>
            <w:noProof/>
          </w:rPr>
          <w:t>2</w:t>
        </w:r>
        <w:r>
          <w:fldChar w:fldCharType="end"/>
        </w:r>
      </w:p>
    </w:sdtContent>
  </w:sdt>
  <w:p w:rsidR="00AA0819" w:rsidRDefault="00AA0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19" w:rsidRDefault="00AA0819">
      <w:pPr>
        <w:spacing w:before="0" w:after="0"/>
      </w:pPr>
      <w:r>
        <w:separator/>
      </w:r>
    </w:p>
  </w:footnote>
  <w:footnote w:type="continuationSeparator" w:id="0">
    <w:p w:rsidR="00AA0819" w:rsidRDefault="00AA0819">
      <w:pPr>
        <w:spacing w:before="0" w:after="0"/>
      </w:pPr>
      <w:r>
        <w:continuationSeparator/>
      </w:r>
    </w:p>
  </w:footnote>
  <w:footnote w:id="1">
    <w:p w:rsidR="00AA0819" w:rsidRDefault="00AA0819">
      <w:pPr>
        <w:pStyle w:val="FootnoteText"/>
        <w:ind w:left="142" w:hanging="142"/>
      </w:pPr>
      <w:r>
        <w:rPr>
          <w:rStyle w:val="FootnoteReference"/>
        </w:rPr>
        <w:footnoteRef/>
      </w:r>
      <w:r>
        <w:t xml:space="preserve"> Regulation (EU) No 235/2014 of the European Parliament and of the Council of 11 March 2014 establishing a financing instrument for democracy and human rights worldwide</w:t>
      </w:r>
    </w:p>
  </w:footnote>
  <w:footnote w:id="2">
    <w:p w:rsidR="00AA0819" w:rsidRDefault="00AA0819">
      <w:pPr>
        <w:pStyle w:val="FootnoteText"/>
      </w:pPr>
      <w:r>
        <w:rPr>
          <w:rStyle w:val="FootnoteReference"/>
        </w:rPr>
        <w:footnoteRef/>
      </w:r>
      <w:r>
        <w:t xml:space="preserve"> https://ec.europa.eu/europeaid/new-european-consensus-development-our-world-our-dignity-our-future_en</w:t>
      </w:r>
    </w:p>
  </w:footnote>
  <w:footnote w:id="3">
    <w:p w:rsidR="00AA0819" w:rsidRDefault="00AA0819" w:rsidP="00043F6D">
      <w:pPr>
        <w:pStyle w:val="FootnoteText"/>
        <w:ind w:left="142" w:hanging="142"/>
      </w:pPr>
      <w:r>
        <w:rPr>
          <w:rStyle w:val="FootnoteReference"/>
        </w:rPr>
        <w:footnoteRef/>
      </w:r>
      <w:r>
        <w:t xml:space="preserve"> Joint Communication "Action Plan on Human Rights and Democracy (2015-2019): Keeping human rights at the heart of the EU agenda" of 28 April 2015 (JOIN(2015)16) adopted by the Council on 20 July 2015 (10897/15)</w:t>
      </w:r>
    </w:p>
  </w:footnote>
  <w:footnote w:id="4">
    <w:p w:rsidR="00AA0819" w:rsidRPr="00732917" w:rsidRDefault="00AA0819" w:rsidP="00732917">
      <w:pPr>
        <w:spacing w:before="0" w:after="0"/>
      </w:pPr>
      <w:r>
        <w:rPr>
          <w:rStyle w:val="FootnoteReference"/>
        </w:rPr>
        <w:footnoteRef/>
      </w:r>
      <w:r>
        <w:t xml:space="preserve"> </w:t>
      </w:r>
      <w:r w:rsidRPr="00732917">
        <w:rPr>
          <w:sz w:val="20"/>
          <w:szCs w:val="20"/>
        </w:rPr>
        <w:t>https://ec.europa.eu/europeaid/sectors/rights-based-approach-development-cooperation_en</w:t>
      </w:r>
    </w:p>
  </w:footnote>
  <w:footnote w:id="5">
    <w:p w:rsidR="00AA0819" w:rsidRDefault="00AA0819" w:rsidP="00043F6D">
      <w:pPr>
        <w:pStyle w:val="FootnoteText"/>
        <w:ind w:left="142" w:hanging="142"/>
      </w:pPr>
      <w:r>
        <w:rPr>
          <w:rStyle w:val="FootnoteReference"/>
        </w:rPr>
        <w:footnoteRef/>
      </w:r>
      <w:r>
        <w:t xml:space="preserve"> Staff Working Document "EU Action Plan for Gender Equality and Women's Empowerment in Development for 2016-2020" (SWD(2015)182 final)</w:t>
      </w:r>
    </w:p>
  </w:footnote>
  <w:footnote w:id="6">
    <w:p w:rsidR="00AA0819" w:rsidRPr="005A49D1" w:rsidRDefault="00AA0819" w:rsidP="000759AB">
      <w:pPr>
        <w:pStyle w:val="FootnoteText"/>
        <w:ind w:left="142" w:firstLine="142"/>
      </w:pPr>
      <w:r>
        <w:rPr>
          <w:rStyle w:val="FootnoteReference"/>
        </w:rPr>
        <w:footnoteRef/>
      </w:r>
      <w:r>
        <w:t xml:space="preserve"> A definition of civil society and the wide range of actors it may imply is provided in the "The roots of </w:t>
      </w:r>
      <w:r w:rsidRPr="00556012">
        <w:t>democracy and sustainable development: Europe‘s engagement with Civil Society in external relations</w:t>
      </w:r>
      <w:r>
        <w:t>"</w:t>
      </w:r>
      <w:r w:rsidRPr="00556012">
        <w:t>, Communication from the Commission to the European Parliament, the Council, the European Economic and Social Committee and the Committee of the Regions, (COM(2012) 492)</w:t>
      </w:r>
      <w:r>
        <w:t>.</w:t>
      </w:r>
    </w:p>
  </w:footnote>
  <w:footnote w:id="7">
    <w:p w:rsidR="005071E1" w:rsidRDefault="005071E1" w:rsidP="005071E1">
      <w:pPr>
        <w:rPr>
          <w:color w:val="1F497D"/>
        </w:rPr>
      </w:pPr>
      <w:r>
        <w:rPr>
          <w:rStyle w:val="FootnoteReference"/>
        </w:rPr>
        <w:footnoteRef/>
      </w:r>
      <w:r>
        <w:t xml:space="preserve"> </w:t>
      </w:r>
      <w:r w:rsidRPr="005071E1">
        <w:rPr>
          <w:color w:val="1F497D"/>
          <w:sz w:val="20"/>
          <w:szCs w:val="20"/>
        </w:rPr>
        <w:t xml:space="preserve">NHRIs include Human rights commissions, Human rights ombudsman institutions, Hybrid institutions, Consultative and advisory bodies, Institutes and centres and multiple institutions. </w:t>
      </w:r>
      <w:hyperlink r:id="rId1" w:history="1">
        <w:r w:rsidRPr="005071E1">
          <w:rPr>
            <w:rStyle w:val="Hyperlink"/>
            <w:sz w:val="20"/>
            <w:szCs w:val="20"/>
          </w:rPr>
          <w:t>https://nhri.ohchr.org/EN/AboutUs/Pages/RolesTypesNHRIs.aspx</w:t>
        </w:r>
      </w:hyperlink>
      <w:r>
        <w:rPr>
          <w:color w:val="1F497D"/>
          <w:sz w:val="20"/>
          <w:szCs w:val="20"/>
        </w:rPr>
        <w:t xml:space="preserve"> </w:t>
      </w:r>
      <w:r>
        <w:rPr>
          <w:color w:val="1F497D"/>
        </w:rPr>
        <w:t xml:space="preserve"> </w:t>
      </w:r>
    </w:p>
    <w:p w:rsidR="005071E1" w:rsidRDefault="005071E1">
      <w:pPr>
        <w:pStyle w:val="FootnoteText"/>
      </w:pPr>
    </w:p>
  </w:footnote>
  <w:footnote w:id="8">
    <w:p w:rsidR="00AA0819" w:rsidRDefault="00AA0819" w:rsidP="00380780">
      <w:pPr>
        <w:pStyle w:val="FootnoteText"/>
        <w:ind w:left="142" w:hanging="142"/>
      </w:pPr>
      <w:r>
        <w:rPr>
          <w:rStyle w:val="FootnoteReference"/>
        </w:rPr>
        <w:footnoteRef/>
      </w:r>
      <w:r>
        <w:t xml:space="preserve"> Regulation (EU) No 233/2014 of 11 March 2014 establishing a financing instrument for development cooperation for the period 2014-2020</w:t>
      </w:r>
    </w:p>
  </w:footnote>
  <w:footnote w:id="9">
    <w:p w:rsidR="00AA0819" w:rsidRDefault="00AA0819">
      <w:pPr>
        <w:pStyle w:val="FootnoteText"/>
      </w:pPr>
      <w:r>
        <w:rPr>
          <w:rStyle w:val="FootnoteReference"/>
        </w:rPr>
        <w:footnoteRef/>
      </w:r>
      <w:r>
        <w:t xml:space="preserve"> Regulation (EU) No 230/2014 of 11 March 2014 establishing an instrument contributing to stability and peace</w:t>
      </w:r>
    </w:p>
  </w:footnote>
  <w:footnote w:id="10">
    <w:p w:rsidR="00AA0819" w:rsidRPr="00732917" w:rsidRDefault="00AA0819" w:rsidP="0049585B">
      <w:pPr>
        <w:spacing w:before="0" w:after="0"/>
      </w:pPr>
      <w:r>
        <w:rPr>
          <w:rStyle w:val="FootnoteReference"/>
        </w:rPr>
        <w:footnoteRef/>
      </w:r>
      <w:r>
        <w:t xml:space="preserve"> </w:t>
      </w:r>
      <w:r w:rsidRPr="00732917">
        <w:rPr>
          <w:sz w:val="20"/>
          <w:szCs w:val="20"/>
        </w:rPr>
        <w:t>https://ec.europa.eu/europeaid/sectors/rights-based-approach-development-cooperation_en</w:t>
      </w:r>
    </w:p>
  </w:footnote>
  <w:footnote w:id="11">
    <w:p w:rsidR="00AA0819" w:rsidRDefault="00AA0819" w:rsidP="005A49D1">
      <w:pPr>
        <w:spacing w:after="0"/>
      </w:pPr>
      <w:r>
        <w:rPr>
          <w:rStyle w:val="FootnoteReference"/>
        </w:rPr>
        <w:footnoteRef/>
      </w:r>
      <w:r>
        <w:t xml:space="preserve"> https://ec.europa.eu/europeaid/sectors/rights-based-approach-development-cooperation_en</w:t>
      </w:r>
    </w:p>
    <w:p w:rsidR="00AA0819" w:rsidRPr="005A49D1" w:rsidRDefault="00AA0819">
      <w:pPr>
        <w:pStyle w:val="FootnoteText"/>
      </w:pPr>
    </w:p>
  </w:footnote>
  <w:footnote w:id="12">
    <w:p w:rsidR="00AA0819" w:rsidRDefault="00AA0819" w:rsidP="002436B5">
      <w:pPr>
        <w:pStyle w:val="FootnoteText"/>
        <w:ind w:left="142" w:hanging="142"/>
      </w:pPr>
      <w:r>
        <w:rPr>
          <w:rStyle w:val="FootnoteReference"/>
        </w:rPr>
        <w:footnoteRef/>
      </w:r>
      <w:r>
        <w:t xml:space="preserve"> Regulation (EU) No 236/2014 of the European Parliament and of the Council of 11 March 2014, OJ L 77, 15.03.2014, p. 95</w:t>
      </w:r>
    </w:p>
  </w:footnote>
  <w:footnote w:id="13">
    <w:p w:rsidR="00AA0819" w:rsidRPr="009D2B5C" w:rsidRDefault="00AA0819" w:rsidP="00956466">
      <w:pPr>
        <w:pStyle w:val="FootnoteText"/>
        <w:ind w:left="120" w:hanging="120"/>
      </w:pPr>
      <w:r w:rsidRPr="009D2B5C">
        <w:rPr>
          <w:rStyle w:val="FootnoteReference"/>
        </w:rPr>
        <w:footnoteRef/>
      </w:r>
      <w:r w:rsidRPr="009D2B5C">
        <w:t xml:space="preserve"> Commission Delegated Regulation (EU) No 1268/2012 of 29 October 2012: </w:t>
      </w:r>
      <w:hyperlink r:id="rId2" w:history="1">
        <w:r w:rsidRPr="009D2B5C">
          <w:rPr>
            <w:rStyle w:val="Hyperlink"/>
          </w:rPr>
          <w:t>http://eur-lex.europa.eu/legal-content/EN/TXT/?uri=celex:32012R1268</w:t>
        </w:r>
      </w:hyperlink>
      <w:r w:rsidRPr="009D2B5C">
        <w:t xml:space="preserve"> </w:t>
      </w:r>
    </w:p>
  </w:footnote>
  <w:footnote w:id="14">
    <w:p w:rsidR="00AA0819" w:rsidRDefault="00AA0819" w:rsidP="003C1692">
      <w:pPr>
        <w:pStyle w:val="FootnoteText"/>
        <w:ind w:left="142" w:hanging="142"/>
      </w:pPr>
      <w:r>
        <w:rPr>
          <w:rStyle w:val="FootnoteReference"/>
        </w:rPr>
        <w:footnoteRef/>
      </w:r>
      <w:r>
        <w:t xml:space="preserve"> Regulation (EU) No 236/2014 of the European Parliament and of the Council of 11 March 2014, OJ L 77, 15.03.2014, p.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lvlText w:val="%1."/>
      <w:lvlJc w:val="left"/>
      <w:pPr>
        <w:tabs>
          <w:tab w:val="num" w:pos="360"/>
        </w:tabs>
        <w:ind w:left="360" w:hanging="360"/>
      </w:pPr>
    </w:lvl>
  </w:abstractNum>
  <w:abstractNum w:abstractNumId="1">
    <w:nsid w:val="FFFFFF89"/>
    <w:multiLevelType w:val="singleLevel"/>
    <w:tmpl w:val="FFFFFF89"/>
    <w:lvl w:ilvl="0">
      <w:start w:val="1"/>
      <w:numFmt w:val="bullet"/>
      <w:pStyle w:val="Tiret0"/>
      <w:lvlText w:val=""/>
      <w:lvlJc w:val="left"/>
      <w:pPr>
        <w:tabs>
          <w:tab w:val="left" w:pos="360"/>
        </w:tabs>
        <w:ind w:left="360" w:hanging="360"/>
      </w:pPr>
      <w:rPr>
        <w:rFonts w:ascii="Symbol" w:hAnsi="Symbol" w:hint="default"/>
      </w:rPr>
    </w:lvl>
  </w:abstractNum>
  <w:abstractNum w:abstractNumId="2">
    <w:nsid w:val="136A7573"/>
    <w:multiLevelType w:val="multilevel"/>
    <w:tmpl w:val="136A7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841F89"/>
    <w:multiLevelType w:val="hybridMultilevel"/>
    <w:tmpl w:val="863422B8"/>
    <w:lvl w:ilvl="0" w:tplc="3FC252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65F37"/>
    <w:multiLevelType w:val="hybridMultilevel"/>
    <w:tmpl w:val="0AFA9ED4"/>
    <w:lvl w:ilvl="0" w:tplc="CFE8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44180"/>
    <w:multiLevelType w:val="multilevel"/>
    <w:tmpl w:val="22E44180"/>
    <w:lvl w:ilvl="0">
      <w:start w:val="1"/>
      <w:numFmt w:val="decimal"/>
      <w:pStyle w:val="NumPar1"/>
      <w:lvlText w:val="%1."/>
      <w:lvlJc w:val="left"/>
      <w:pPr>
        <w:tabs>
          <w:tab w:val="left" w:pos="850"/>
        </w:tabs>
        <w:ind w:left="850" w:hanging="850"/>
      </w:pPr>
      <w:rPr>
        <w:rFonts w:cs="Times New Roman"/>
      </w:rPr>
    </w:lvl>
    <w:lvl w:ilvl="1">
      <w:start w:val="1"/>
      <w:numFmt w:val="decimal"/>
      <w:pStyle w:val="NumPar2"/>
      <w:lvlText w:val="%1.%2."/>
      <w:lvlJc w:val="left"/>
      <w:pPr>
        <w:tabs>
          <w:tab w:val="left" w:pos="850"/>
        </w:tabs>
        <w:ind w:left="850" w:hanging="850"/>
      </w:pPr>
      <w:rPr>
        <w:rFonts w:cs="Times New Roman"/>
      </w:rPr>
    </w:lvl>
    <w:lvl w:ilvl="2">
      <w:start w:val="1"/>
      <w:numFmt w:val="decimal"/>
      <w:pStyle w:val="NumPar3"/>
      <w:lvlText w:val="%1.%2.%3."/>
      <w:lvlJc w:val="left"/>
      <w:pPr>
        <w:tabs>
          <w:tab w:val="left" w:pos="850"/>
        </w:tabs>
        <w:ind w:left="850" w:hanging="850"/>
      </w:pPr>
      <w:rPr>
        <w:rFonts w:cs="Times New Roman"/>
      </w:rPr>
    </w:lvl>
    <w:lvl w:ilvl="3">
      <w:start w:val="1"/>
      <w:numFmt w:val="decimal"/>
      <w:pStyle w:val="NumPar4"/>
      <w:lvlText w:val="%1.%2.%3.%4."/>
      <w:lvlJc w:val="left"/>
      <w:pPr>
        <w:tabs>
          <w:tab w:val="left" w:pos="850"/>
        </w:tabs>
        <w:ind w:left="850" w:hanging="85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6">
    <w:nsid w:val="24976528"/>
    <w:multiLevelType w:val="multilevel"/>
    <w:tmpl w:val="24976528"/>
    <w:lvl w:ilvl="0">
      <w:start w:val="1"/>
      <w:numFmt w:val="decimal"/>
      <w:pStyle w:val="Heading1"/>
      <w:lvlText w:val="%1"/>
      <w:lvlJc w:val="left"/>
      <w:pPr>
        <w:ind w:left="432" w:hanging="432"/>
      </w:pPr>
      <w:rPr>
        <w:rFonts w:cs="Times New Roman" w:hint="default"/>
        <w:b/>
      </w:rPr>
    </w:lvl>
    <w:lvl w:ilvl="1">
      <w:start w:val="1"/>
      <w:numFmt w:val="decimal"/>
      <w:lvlText w:val="%1.%2"/>
      <w:lvlJc w:val="left"/>
      <w:pPr>
        <w:ind w:left="1176" w:hanging="576"/>
      </w:pPr>
      <w:rPr>
        <w:rFonts w:cs="Times New Roman" w:hint="default"/>
      </w:rPr>
    </w:lvl>
    <w:lvl w:ilvl="2">
      <w:start w:val="1"/>
      <w:numFmt w:val="decimal"/>
      <w:lvlText w:val="%1.%2.%3"/>
      <w:lvlJc w:val="left"/>
      <w:pPr>
        <w:ind w:left="4405" w:hanging="720"/>
      </w:pPr>
      <w:rPr>
        <w:rFonts w:cs="Times New Roman" w:hint="default"/>
      </w:rPr>
    </w:lvl>
    <w:lvl w:ilvl="3">
      <w:start w:val="1"/>
      <w:numFmt w:val="decimal"/>
      <w:lvlText w:val="%1.%2.%3.%4"/>
      <w:lvlJc w:val="left"/>
      <w:pPr>
        <w:ind w:left="26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nsid w:val="276179E1"/>
    <w:multiLevelType w:val="multilevel"/>
    <w:tmpl w:val="276179E1"/>
    <w:lvl w:ilvl="0">
      <w:start w:val="1"/>
      <w:numFmt w:val="decimal"/>
      <w:pStyle w:val="ListNumb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2CB72C6E"/>
    <w:multiLevelType w:val="singleLevel"/>
    <w:tmpl w:val="2CB72C6E"/>
    <w:lvl w:ilvl="0">
      <w:start w:val="1"/>
      <w:numFmt w:val="bullet"/>
      <w:pStyle w:val="Bullet3"/>
      <w:lvlText w:val=""/>
      <w:lvlJc w:val="left"/>
      <w:pPr>
        <w:tabs>
          <w:tab w:val="left" w:pos="2551"/>
        </w:tabs>
        <w:ind w:left="2551" w:hanging="567"/>
      </w:pPr>
      <w:rPr>
        <w:rFonts w:ascii="Symbol" w:hAnsi="Symbol" w:hint="default"/>
      </w:rPr>
    </w:lvl>
  </w:abstractNum>
  <w:abstractNum w:abstractNumId="9">
    <w:nsid w:val="2CE9221F"/>
    <w:multiLevelType w:val="singleLevel"/>
    <w:tmpl w:val="2CE9221F"/>
    <w:lvl w:ilvl="0">
      <w:start w:val="1"/>
      <w:numFmt w:val="bullet"/>
      <w:pStyle w:val="Tiret3"/>
      <w:lvlText w:val="–"/>
      <w:lvlJc w:val="left"/>
      <w:pPr>
        <w:tabs>
          <w:tab w:val="left" w:pos="2551"/>
        </w:tabs>
        <w:ind w:left="2551" w:hanging="567"/>
      </w:pPr>
    </w:lvl>
  </w:abstractNum>
  <w:abstractNum w:abstractNumId="10">
    <w:nsid w:val="2D252B3E"/>
    <w:multiLevelType w:val="hybridMultilevel"/>
    <w:tmpl w:val="6C6CC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6D5278"/>
    <w:multiLevelType w:val="multilevel"/>
    <w:tmpl w:val="316D5278"/>
    <w:lvl w:ilvl="0">
      <w:start w:val="1"/>
      <w:numFmt w:val="decimal"/>
      <w:pStyle w:val="ListNumber2"/>
      <w:lvlText w:val="(%1)"/>
      <w:lvlJc w:val="left"/>
      <w:pPr>
        <w:tabs>
          <w:tab w:val="left" w:pos="1560"/>
        </w:tabs>
        <w:ind w:left="1560" w:hanging="709"/>
      </w:pPr>
      <w:rPr>
        <w:rFonts w:cs="Times New Roman"/>
      </w:rPr>
    </w:lvl>
    <w:lvl w:ilvl="1">
      <w:start w:val="1"/>
      <w:numFmt w:val="lowerLetter"/>
      <w:pStyle w:val="ListNumber2Level2"/>
      <w:lvlText w:val="(%2)"/>
      <w:lvlJc w:val="left"/>
      <w:pPr>
        <w:tabs>
          <w:tab w:val="left" w:pos="2268"/>
        </w:tabs>
        <w:ind w:left="2268" w:hanging="708"/>
      </w:pPr>
      <w:rPr>
        <w:rFonts w:cs="Times New Roman"/>
      </w:rPr>
    </w:lvl>
    <w:lvl w:ilvl="2">
      <w:start w:val="1"/>
      <w:numFmt w:val="bullet"/>
      <w:pStyle w:val="ListNumber2Level3"/>
      <w:lvlText w:val="–"/>
      <w:lvlJc w:val="left"/>
      <w:pPr>
        <w:tabs>
          <w:tab w:val="left" w:pos="2977"/>
        </w:tabs>
        <w:ind w:left="2977" w:hanging="709"/>
      </w:pPr>
      <w:rPr>
        <w:rFonts w:ascii="Times New Roman" w:hAnsi="Times New Roman"/>
      </w:rPr>
    </w:lvl>
    <w:lvl w:ilvl="3">
      <w:start w:val="1"/>
      <w:numFmt w:val="bullet"/>
      <w:pStyle w:val="ListNumber2Level2"/>
      <w:lvlText w:val=""/>
      <w:lvlJc w:val="left"/>
      <w:pPr>
        <w:tabs>
          <w:tab w:val="left" w:pos="3686"/>
        </w:tabs>
        <w:ind w:left="3686"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2">
    <w:nsid w:val="33394EC9"/>
    <w:multiLevelType w:val="hybridMultilevel"/>
    <w:tmpl w:val="7322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8C3C5D"/>
    <w:multiLevelType w:val="hybridMultilevel"/>
    <w:tmpl w:val="EA021740"/>
    <w:lvl w:ilvl="0" w:tplc="3FC252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492C7A"/>
    <w:multiLevelType w:val="hybridMultilevel"/>
    <w:tmpl w:val="AF1071FC"/>
    <w:lvl w:ilvl="0" w:tplc="08090001">
      <w:start w:val="1"/>
      <w:numFmt w:val="bullet"/>
      <w:lvlText w:val=""/>
      <w:lvlJc w:val="left"/>
      <w:pPr>
        <w:ind w:left="720" w:hanging="360"/>
      </w:pPr>
      <w:rPr>
        <w:rFonts w:ascii="Symbol" w:hAnsi="Symbol" w:hint="default"/>
      </w:rPr>
    </w:lvl>
    <w:lvl w:ilvl="1" w:tplc="0E2873E4">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D5614C"/>
    <w:multiLevelType w:val="hybridMultilevel"/>
    <w:tmpl w:val="BD4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1A493E"/>
    <w:multiLevelType w:val="multilevel"/>
    <w:tmpl w:val="411A493E"/>
    <w:lvl w:ilvl="0">
      <w:start w:val="1"/>
      <w:numFmt w:val="lowerLetter"/>
      <w:lvlText w:val="%1)"/>
      <w:lvlJc w:val="left"/>
      <w:pPr>
        <w:ind w:left="1778" w:hanging="360"/>
      </w:pPr>
      <w:rPr>
        <w:rFonts w:cs="Times New Roman" w:hint="default"/>
      </w:rPr>
    </w:lvl>
    <w:lvl w:ilvl="1">
      <w:start w:val="1"/>
      <w:numFmt w:val="lowerLetter"/>
      <w:lvlText w:val="%2."/>
      <w:lvlJc w:val="left"/>
      <w:pPr>
        <w:ind w:left="2498" w:hanging="360"/>
      </w:pPr>
      <w:rPr>
        <w:rFonts w:cs="Times New Roman"/>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abstractNum w:abstractNumId="17">
    <w:nsid w:val="42713452"/>
    <w:multiLevelType w:val="singleLevel"/>
    <w:tmpl w:val="42713452"/>
    <w:lvl w:ilvl="0">
      <w:start w:val="1"/>
      <w:numFmt w:val="bullet"/>
      <w:pStyle w:val="Point3letter"/>
      <w:lvlText w:val="–"/>
      <w:lvlJc w:val="left"/>
      <w:pPr>
        <w:tabs>
          <w:tab w:val="left" w:pos="1417"/>
        </w:tabs>
        <w:ind w:left="1417" w:hanging="567"/>
      </w:pPr>
    </w:lvl>
  </w:abstractNum>
  <w:abstractNum w:abstractNumId="18">
    <w:nsid w:val="42FC0772"/>
    <w:multiLevelType w:val="singleLevel"/>
    <w:tmpl w:val="42FC0772"/>
    <w:lvl w:ilvl="0">
      <w:start w:val="1"/>
      <w:numFmt w:val="bullet"/>
      <w:pStyle w:val="Tiret4"/>
      <w:lvlText w:val="–"/>
      <w:lvlJc w:val="left"/>
      <w:pPr>
        <w:tabs>
          <w:tab w:val="left" w:pos="3118"/>
        </w:tabs>
        <w:ind w:left="3118" w:hanging="567"/>
      </w:pPr>
    </w:lvl>
  </w:abstractNum>
  <w:abstractNum w:abstractNumId="19">
    <w:nsid w:val="4552127F"/>
    <w:multiLevelType w:val="singleLevel"/>
    <w:tmpl w:val="4552127F"/>
    <w:lvl w:ilvl="0">
      <w:start w:val="1"/>
      <w:numFmt w:val="bullet"/>
      <w:pStyle w:val="Bullet0"/>
      <w:lvlText w:val=""/>
      <w:lvlJc w:val="left"/>
      <w:pPr>
        <w:tabs>
          <w:tab w:val="left" w:pos="850"/>
        </w:tabs>
        <w:ind w:left="850" w:hanging="850"/>
      </w:pPr>
      <w:rPr>
        <w:rFonts w:ascii="Symbol" w:hAnsi="Symbol" w:hint="default"/>
      </w:rPr>
    </w:lvl>
  </w:abstractNum>
  <w:abstractNum w:abstractNumId="20">
    <w:nsid w:val="489D74ED"/>
    <w:multiLevelType w:val="singleLevel"/>
    <w:tmpl w:val="489D74ED"/>
    <w:lvl w:ilvl="0">
      <w:start w:val="1"/>
      <w:numFmt w:val="bullet"/>
      <w:pStyle w:val="ListDash2"/>
      <w:lvlText w:val="–"/>
      <w:lvlJc w:val="left"/>
      <w:pPr>
        <w:tabs>
          <w:tab w:val="left" w:pos="1134"/>
        </w:tabs>
        <w:ind w:left="1134" w:hanging="283"/>
      </w:pPr>
      <w:rPr>
        <w:rFonts w:ascii="Times New Roman" w:hAnsi="Times New Roman"/>
      </w:rPr>
    </w:lvl>
  </w:abstractNum>
  <w:abstractNum w:abstractNumId="21">
    <w:nsid w:val="4D0C058A"/>
    <w:multiLevelType w:val="singleLevel"/>
    <w:tmpl w:val="4D0C058A"/>
    <w:lvl w:ilvl="0">
      <w:start w:val="1"/>
      <w:numFmt w:val="bullet"/>
      <w:pStyle w:val="ListDash1"/>
      <w:lvlText w:val="–"/>
      <w:lvlJc w:val="left"/>
      <w:pPr>
        <w:tabs>
          <w:tab w:val="left" w:pos="1134"/>
        </w:tabs>
        <w:ind w:left="1134" w:hanging="283"/>
      </w:pPr>
      <w:rPr>
        <w:rFonts w:ascii="Times New Roman" w:hAnsi="Times New Roman"/>
      </w:rPr>
    </w:lvl>
  </w:abstractNum>
  <w:abstractNum w:abstractNumId="22">
    <w:nsid w:val="4EED2B6F"/>
    <w:multiLevelType w:val="hybridMultilevel"/>
    <w:tmpl w:val="025A9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0727124"/>
    <w:multiLevelType w:val="multilevel"/>
    <w:tmpl w:val="50727124"/>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5417472F"/>
    <w:multiLevelType w:val="hybridMultilevel"/>
    <w:tmpl w:val="3B14D16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nsid w:val="556E1D63"/>
    <w:multiLevelType w:val="singleLevel"/>
    <w:tmpl w:val="556E1D63"/>
    <w:lvl w:ilvl="0">
      <w:start w:val="1"/>
      <w:numFmt w:val="bullet"/>
      <w:pStyle w:val="Bullet4"/>
      <w:lvlText w:val=""/>
      <w:lvlJc w:val="left"/>
      <w:pPr>
        <w:tabs>
          <w:tab w:val="left" w:pos="3118"/>
        </w:tabs>
        <w:ind w:left="3118" w:hanging="567"/>
      </w:pPr>
      <w:rPr>
        <w:rFonts w:ascii="Symbol" w:hAnsi="Symbol" w:hint="default"/>
      </w:rPr>
    </w:lvl>
  </w:abstractNum>
  <w:abstractNum w:abstractNumId="26">
    <w:nsid w:val="56EE3E80"/>
    <w:multiLevelType w:val="hybridMultilevel"/>
    <w:tmpl w:val="C862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395AAA"/>
    <w:multiLevelType w:val="singleLevel"/>
    <w:tmpl w:val="5B395AAA"/>
    <w:lvl w:ilvl="0">
      <w:start w:val="1"/>
      <w:numFmt w:val="bullet"/>
      <w:pStyle w:val="Bullet1"/>
      <w:lvlText w:val=""/>
      <w:lvlJc w:val="left"/>
      <w:pPr>
        <w:tabs>
          <w:tab w:val="left" w:pos="1417"/>
        </w:tabs>
        <w:ind w:left="1417" w:hanging="567"/>
      </w:pPr>
      <w:rPr>
        <w:rFonts w:ascii="Symbol" w:hAnsi="Symbol" w:hint="default"/>
      </w:rPr>
    </w:lvl>
  </w:abstractNum>
  <w:abstractNum w:abstractNumId="28">
    <w:nsid w:val="5C056EE5"/>
    <w:multiLevelType w:val="singleLevel"/>
    <w:tmpl w:val="5C056EE5"/>
    <w:lvl w:ilvl="0">
      <w:start w:val="1"/>
      <w:numFmt w:val="bullet"/>
      <w:pStyle w:val="Bullet2"/>
      <w:lvlText w:val=""/>
      <w:lvlJc w:val="left"/>
      <w:pPr>
        <w:tabs>
          <w:tab w:val="left" w:pos="1984"/>
        </w:tabs>
        <w:ind w:left="1984" w:hanging="567"/>
      </w:pPr>
      <w:rPr>
        <w:rFonts w:ascii="Symbol" w:hAnsi="Symbol" w:hint="default"/>
      </w:rPr>
    </w:lvl>
  </w:abstractNum>
  <w:abstractNum w:abstractNumId="29">
    <w:nsid w:val="5DF079BB"/>
    <w:multiLevelType w:val="hybridMultilevel"/>
    <w:tmpl w:val="7D5A74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nsid w:val="63B26268"/>
    <w:multiLevelType w:val="singleLevel"/>
    <w:tmpl w:val="63B26268"/>
    <w:lvl w:ilvl="0">
      <w:start w:val="1"/>
      <w:numFmt w:val="decimal"/>
      <w:pStyle w:val="Considrant"/>
      <w:lvlText w:val="(%1)"/>
      <w:lvlJc w:val="left"/>
      <w:pPr>
        <w:tabs>
          <w:tab w:val="left" w:pos="709"/>
        </w:tabs>
        <w:ind w:left="709" w:hanging="709"/>
      </w:pPr>
      <w:rPr>
        <w:rFonts w:cs="Times New Roman"/>
      </w:rPr>
    </w:lvl>
  </w:abstractNum>
  <w:abstractNum w:abstractNumId="31">
    <w:nsid w:val="64A12FA4"/>
    <w:multiLevelType w:val="multilevel"/>
    <w:tmpl w:val="64A12FA4"/>
    <w:lvl w:ilvl="0">
      <w:start w:val="4"/>
      <w:numFmt w:val="decimal"/>
      <w:lvlText w:val="%1."/>
      <w:lvlJc w:val="left"/>
      <w:pPr>
        <w:tabs>
          <w:tab w:val="left" w:pos="850"/>
        </w:tabs>
        <w:ind w:left="850" w:hanging="850"/>
      </w:pPr>
      <w:rPr>
        <w:rFonts w:cs="Times New Roman" w:hint="default"/>
      </w:rPr>
    </w:lvl>
    <w:lvl w:ilvl="1">
      <w:start w:val="3"/>
      <w:numFmt w:val="decimal"/>
      <w:pStyle w:val="Heading2"/>
      <w:lvlText w:val="%1.%2."/>
      <w:lvlJc w:val="left"/>
      <w:pPr>
        <w:tabs>
          <w:tab w:val="left" w:pos="1276"/>
        </w:tabs>
        <w:ind w:left="1276" w:hanging="85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850"/>
        </w:tabs>
        <w:ind w:left="850" w:hanging="850"/>
      </w:pPr>
      <w:rPr>
        <w:rFonts w:cs="Times New Roman" w:hint="default"/>
      </w:rPr>
    </w:lvl>
    <w:lvl w:ilvl="3">
      <w:start w:val="1"/>
      <w:numFmt w:val="decimal"/>
      <w:lvlText w:val="%1.%2.%3.%4."/>
      <w:lvlJc w:val="left"/>
      <w:pPr>
        <w:tabs>
          <w:tab w:val="left" w:pos="850"/>
        </w:tabs>
        <w:ind w:left="850" w:hanging="850"/>
      </w:pPr>
      <w:rPr>
        <w:rFonts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32">
    <w:nsid w:val="67B856F6"/>
    <w:multiLevelType w:val="singleLevel"/>
    <w:tmpl w:val="67B856F6"/>
    <w:lvl w:ilvl="0">
      <w:start w:val="1"/>
      <w:numFmt w:val="bullet"/>
      <w:pStyle w:val="Tiret2"/>
      <w:lvlText w:val="–"/>
      <w:lvlJc w:val="left"/>
      <w:pPr>
        <w:tabs>
          <w:tab w:val="left" w:pos="1984"/>
        </w:tabs>
        <w:ind w:left="1984" w:hanging="567"/>
      </w:pPr>
    </w:lvl>
  </w:abstractNum>
  <w:abstractNum w:abstractNumId="33">
    <w:nsid w:val="6CA54403"/>
    <w:multiLevelType w:val="multilevel"/>
    <w:tmpl w:val="6CA54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1A50A7F"/>
    <w:multiLevelType w:val="hybridMultilevel"/>
    <w:tmpl w:val="D20A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A15306"/>
    <w:multiLevelType w:val="multilevel"/>
    <w:tmpl w:val="76A15306"/>
    <w:lvl w:ilvl="0">
      <w:start w:val="1"/>
      <w:numFmt w:val="decimal"/>
      <w:pStyle w:val="ListNumber1"/>
      <w:lvlText w:val="(%1)"/>
      <w:lvlJc w:val="left"/>
      <w:pPr>
        <w:tabs>
          <w:tab w:val="left" w:pos="1560"/>
        </w:tabs>
        <w:ind w:left="1560" w:hanging="709"/>
      </w:pPr>
      <w:rPr>
        <w:rFonts w:cs="Times New Roman"/>
      </w:rPr>
    </w:lvl>
    <w:lvl w:ilvl="1">
      <w:start w:val="1"/>
      <w:numFmt w:val="lowerLetter"/>
      <w:pStyle w:val="ListNumber1Level2"/>
      <w:lvlText w:val="(%2)"/>
      <w:lvlJc w:val="left"/>
      <w:pPr>
        <w:tabs>
          <w:tab w:val="left" w:pos="2268"/>
        </w:tabs>
        <w:ind w:left="2268" w:hanging="708"/>
      </w:pPr>
      <w:rPr>
        <w:rFonts w:cs="Times New Roman"/>
      </w:rPr>
    </w:lvl>
    <w:lvl w:ilvl="2">
      <w:start w:val="1"/>
      <w:numFmt w:val="bullet"/>
      <w:pStyle w:val="ListNumber1"/>
      <w:lvlText w:val="–"/>
      <w:lvlJc w:val="left"/>
      <w:pPr>
        <w:tabs>
          <w:tab w:val="left" w:pos="2977"/>
        </w:tabs>
        <w:ind w:left="2977" w:hanging="709"/>
      </w:pPr>
      <w:rPr>
        <w:rFonts w:ascii="Times New Roman" w:hAnsi="Times New Roman"/>
      </w:rPr>
    </w:lvl>
    <w:lvl w:ilvl="3">
      <w:start w:val="1"/>
      <w:numFmt w:val="bullet"/>
      <w:pStyle w:val="ListNumber1Level2"/>
      <w:lvlText w:val=""/>
      <w:lvlJc w:val="left"/>
      <w:pPr>
        <w:tabs>
          <w:tab w:val="left" w:pos="3686"/>
        </w:tabs>
        <w:ind w:left="3686" w:hanging="709"/>
      </w:pPr>
      <w:rPr>
        <w:rFonts w:ascii="Symbol" w:hAnsi="Symbol" w:hint="default"/>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36">
    <w:nsid w:val="76BA108F"/>
    <w:multiLevelType w:val="hybridMultilevel"/>
    <w:tmpl w:val="4EF46454"/>
    <w:lvl w:ilvl="0" w:tplc="B50AE33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23"/>
  </w:num>
  <w:num w:numId="4">
    <w:abstractNumId w:val="7"/>
  </w:num>
  <w:num w:numId="5">
    <w:abstractNumId w:val="11"/>
    <w:lvlOverride w:ilvl="0">
      <w:startOverride w:val="1"/>
    </w:lvlOverride>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2"/>
  </w:num>
  <w:num w:numId="8">
    <w:abstractNumId w:val="9"/>
  </w:num>
  <w:num w:numId="9">
    <w:abstractNumId w:val="18"/>
  </w:num>
  <w:num w:numId="10">
    <w:abstractNumId w:val="5"/>
  </w:num>
  <w:num w:numId="11">
    <w:abstractNumId w:val="17"/>
  </w:num>
  <w:num w:numId="12">
    <w:abstractNumId w:val="19"/>
  </w:num>
  <w:num w:numId="13">
    <w:abstractNumId w:val="27"/>
  </w:num>
  <w:num w:numId="14">
    <w:abstractNumId w:val="28"/>
  </w:num>
  <w:num w:numId="15">
    <w:abstractNumId w:val="8"/>
  </w:num>
  <w:num w:numId="16">
    <w:abstractNumId w:val="25"/>
  </w:num>
  <w:num w:numId="17">
    <w:abstractNumId w:val="30"/>
  </w:num>
  <w:num w:numId="18">
    <w:abstractNumId w:val="21"/>
  </w:num>
  <w:num w:numId="19">
    <w:abstractNumId w:val="35"/>
  </w:num>
  <w:num w:numId="20">
    <w:abstractNumId w:val="20"/>
  </w:num>
  <w:num w:numId="21">
    <w:abstractNumId w:val="33"/>
  </w:num>
  <w:num w:numId="22">
    <w:abstractNumId w:val="2"/>
  </w:num>
  <w:num w:numId="23">
    <w:abstractNumId w:val="16"/>
  </w:num>
  <w:num w:numId="24">
    <w:abstractNumId w:val="0"/>
  </w:num>
  <w:num w:numId="25">
    <w:abstractNumId w:val="10"/>
  </w:num>
  <w:num w:numId="26">
    <w:abstractNumId w:val="34"/>
  </w:num>
  <w:num w:numId="27">
    <w:abstractNumId w:val="15"/>
  </w:num>
  <w:num w:numId="28">
    <w:abstractNumId w:val="14"/>
  </w:num>
  <w:num w:numId="29">
    <w:abstractNumId w:val="3"/>
  </w:num>
  <w:num w:numId="30">
    <w:abstractNumId w:val="13"/>
  </w:num>
  <w:num w:numId="31">
    <w:abstractNumId w:val="12"/>
  </w:num>
  <w:num w:numId="32">
    <w:abstractNumId w:val="22"/>
  </w:num>
  <w:num w:numId="33">
    <w:abstractNumId w:val="24"/>
  </w:num>
  <w:num w:numId="34">
    <w:abstractNumId w:val="29"/>
  </w:num>
  <w:num w:numId="35">
    <w:abstractNumId w:val="26"/>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D1B56"/>
    <w:rsid w:val="00001AA7"/>
    <w:rsid w:val="00001B1C"/>
    <w:rsid w:val="000024F8"/>
    <w:rsid w:val="00004206"/>
    <w:rsid w:val="000325E5"/>
    <w:rsid w:val="000432DD"/>
    <w:rsid w:val="00043F6D"/>
    <w:rsid w:val="0004638F"/>
    <w:rsid w:val="00056EC6"/>
    <w:rsid w:val="00061166"/>
    <w:rsid w:val="00062A60"/>
    <w:rsid w:val="0006308D"/>
    <w:rsid w:val="00070DDE"/>
    <w:rsid w:val="00075538"/>
    <w:rsid w:val="000759AB"/>
    <w:rsid w:val="00081356"/>
    <w:rsid w:val="00084E11"/>
    <w:rsid w:val="0009587A"/>
    <w:rsid w:val="00095C3E"/>
    <w:rsid w:val="00096AC9"/>
    <w:rsid w:val="000A1F4D"/>
    <w:rsid w:val="000A367B"/>
    <w:rsid w:val="000A3C47"/>
    <w:rsid w:val="000A505D"/>
    <w:rsid w:val="000A62D2"/>
    <w:rsid w:val="000A7904"/>
    <w:rsid w:val="000A7F7D"/>
    <w:rsid w:val="000B1CBA"/>
    <w:rsid w:val="000B1E61"/>
    <w:rsid w:val="000B4D67"/>
    <w:rsid w:val="000B7D68"/>
    <w:rsid w:val="000C0F68"/>
    <w:rsid w:val="000C1F74"/>
    <w:rsid w:val="000C4190"/>
    <w:rsid w:val="000C4D0E"/>
    <w:rsid w:val="000E14AF"/>
    <w:rsid w:val="000E5457"/>
    <w:rsid w:val="000E5948"/>
    <w:rsid w:val="000E5A71"/>
    <w:rsid w:val="000E7F15"/>
    <w:rsid w:val="000F790F"/>
    <w:rsid w:val="00100D84"/>
    <w:rsid w:val="001031D5"/>
    <w:rsid w:val="00103C22"/>
    <w:rsid w:val="001041E0"/>
    <w:rsid w:val="001071A7"/>
    <w:rsid w:val="00107805"/>
    <w:rsid w:val="00112914"/>
    <w:rsid w:val="001262A6"/>
    <w:rsid w:val="00126B23"/>
    <w:rsid w:val="00127E56"/>
    <w:rsid w:val="001309D0"/>
    <w:rsid w:val="0013441F"/>
    <w:rsid w:val="00150A77"/>
    <w:rsid w:val="00152BCF"/>
    <w:rsid w:val="00162726"/>
    <w:rsid w:val="0016741D"/>
    <w:rsid w:val="0018051A"/>
    <w:rsid w:val="0018186E"/>
    <w:rsid w:val="001845BF"/>
    <w:rsid w:val="0018723C"/>
    <w:rsid w:val="001A1AF2"/>
    <w:rsid w:val="001A31D8"/>
    <w:rsid w:val="001C06C5"/>
    <w:rsid w:val="001C4486"/>
    <w:rsid w:val="001C5F78"/>
    <w:rsid w:val="001C7BFB"/>
    <w:rsid w:val="001D20F2"/>
    <w:rsid w:val="001D7616"/>
    <w:rsid w:val="001E35E9"/>
    <w:rsid w:val="001E3A5B"/>
    <w:rsid w:val="001E4F93"/>
    <w:rsid w:val="001E6829"/>
    <w:rsid w:val="001E690D"/>
    <w:rsid w:val="001F0864"/>
    <w:rsid w:val="001F121A"/>
    <w:rsid w:val="001F2933"/>
    <w:rsid w:val="001F2983"/>
    <w:rsid w:val="001F2D4C"/>
    <w:rsid w:val="001F3FEB"/>
    <w:rsid w:val="00203865"/>
    <w:rsid w:val="00204A0B"/>
    <w:rsid w:val="0021160B"/>
    <w:rsid w:val="00211691"/>
    <w:rsid w:val="00216FCA"/>
    <w:rsid w:val="002211E1"/>
    <w:rsid w:val="00227873"/>
    <w:rsid w:val="00233509"/>
    <w:rsid w:val="0023692B"/>
    <w:rsid w:val="00236B21"/>
    <w:rsid w:val="002436B5"/>
    <w:rsid w:val="00246424"/>
    <w:rsid w:val="00247B30"/>
    <w:rsid w:val="002547CB"/>
    <w:rsid w:val="00262974"/>
    <w:rsid w:val="00272199"/>
    <w:rsid w:val="00272FBF"/>
    <w:rsid w:val="0028073A"/>
    <w:rsid w:val="00281FC9"/>
    <w:rsid w:val="00291439"/>
    <w:rsid w:val="002964D1"/>
    <w:rsid w:val="0029755D"/>
    <w:rsid w:val="002B3291"/>
    <w:rsid w:val="002B781E"/>
    <w:rsid w:val="002C1A6D"/>
    <w:rsid w:val="002C2971"/>
    <w:rsid w:val="002C7984"/>
    <w:rsid w:val="002D1638"/>
    <w:rsid w:val="002D2223"/>
    <w:rsid w:val="002E35DA"/>
    <w:rsid w:val="002F2922"/>
    <w:rsid w:val="002F731F"/>
    <w:rsid w:val="0030493B"/>
    <w:rsid w:val="00307983"/>
    <w:rsid w:val="00307D40"/>
    <w:rsid w:val="003102CA"/>
    <w:rsid w:val="00310EB4"/>
    <w:rsid w:val="00314A2F"/>
    <w:rsid w:val="00324653"/>
    <w:rsid w:val="003270E1"/>
    <w:rsid w:val="00327359"/>
    <w:rsid w:val="003309DD"/>
    <w:rsid w:val="00331AE1"/>
    <w:rsid w:val="00333682"/>
    <w:rsid w:val="00333685"/>
    <w:rsid w:val="003346F8"/>
    <w:rsid w:val="003408C9"/>
    <w:rsid w:val="0034350F"/>
    <w:rsid w:val="00347D18"/>
    <w:rsid w:val="00354B90"/>
    <w:rsid w:val="00360DF7"/>
    <w:rsid w:val="00360E5A"/>
    <w:rsid w:val="00361287"/>
    <w:rsid w:val="00366664"/>
    <w:rsid w:val="003734C6"/>
    <w:rsid w:val="00375E88"/>
    <w:rsid w:val="003764A1"/>
    <w:rsid w:val="00380780"/>
    <w:rsid w:val="00382EE2"/>
    <w:rsid w:val="00385218"/>
    <w:rsid w:val="0038636E"/>
    <w:rsid w:val="00393885"/>
    <w:rsid w:val="00394DF8"/>
    <w:rsid w:val="003A3A97"/>
    <w:rsid w:val="003A4AB7"/>
    <w:rsid w:val="003A564C"/>
    <w:rsid w:val="003A7808"/>
    <w:rsid w:val="003B31EE"/>
    <w:rsid w:val="003B5ECC"/>
    <w:rsid w:val="003C1692"/>
    <w:rsid w:val="003D18B3"/>
    <w:rsid w:val="003E4D2B"/>
    <w:rsid w:val="003E752E"/>
    <w:rsid w:val="003F3DF2"/>
    <w:rsid w:val="003F73E9"/>
    <w:rsid w:val="004032E9"/>
    <w:rsid w:val="0040457A"/>
    <w:rsid w:val="0040539A"/>
    <w:rsid w:val="004068F1"/>
    <w:rsid w:val="00423248"/>
    <w:rsid w:val="004247DC"/>
    <w:rsid w:val="00425718"/>
    <w:rsid w:val="00434052"/>
    <w:rsid w:val="00441AC0"/>
    <w:rsid w:val="00452F38"/>
    <w:rsid w:val="0045798B"/>
    <w:rsid w:val="00457D20"/>
    <w:rsid w:val="004603AE"/>
    <w:rsid w:val="00461E5F"/>
    <w:rsid w:val="00466B46"/>
    <w:rsid w:val="00470B43"/>
    <w:rsid w:val="0049585B"/>
    <w:rsid w:val="00496766"/>
    <w:rsid w:val="004A063E"/>
    <w:rsid w:val="004A078D"/>
    <w:rsid w:val="004A4134"/>
    <w:rsid w:val="004B07B7"/>
    <w:rsid w:val="004C5A05"/>
    <w:rsid w:val="004D568D"/>
    <w:rsid w:val="004D56C5"/>
    <w:rsid w:val="004D638D"/>
    <w:rsid w:val="004E411C"/>
    <w:rsid w:val="004E5EB5"/>
    <w:rsid w:val="004F0D41"/>
    <w:rsid w:val="004F1631"/>
    <w:rsid w:val="004F1A2B"/>
    <w:rsid w:val="004F5C8A"/>
    <w:rsid w:val="005005EA"/>
    <w:rsid w:val="00500721"/>
    <w:rsid w:val="00500CBD"/>
    <w:rsid w:val="0050129C"/>
    <w:rsid w:val="00501884"/>
    <w:rsid w:val="005032D8"/>
    <w:rsid w:val="005071E1"/>
    <w:rsid w:val="00507747"/>
    <w:rsid w:val="0051098A"/>
    <w:rsid w:val="005154E2"/>
    <w:rsid w:val="005235CD"/>
    <w:rsid w:val="0053259A"/>
    <w:rsid w:val="005502A4"/>
    <w:rsid w:val="00552741"/>
    <w:rsid w:val="005537D8"/>
    <w:rsid w:val="0056450D"/>
    <w:rsid w:val="00564F9A"/>
    <w:rsid w:val="005660B6"/>
    <w:rsid w:val="00567182"/>
    <w:rsid w:val="00572775"/>
    <w:rsid w:val="00581083"/>
    <w:rsid w:val="005816F4"/>
    <w:rsid w:val="00581EAB"/>
    <w:rsid w:val="005824C7"/>
    <w:rsid w:val="0058277E"/>
    <w:rsid w:val="00583073"/>
    <w:rsid w:val="00585501"/>
    <w:rsid w:val="005856BD"/>
    <w:rsid w:val="00585787"/>
    <w:rsid w:val="00593AC1"/>
    <w:rsid w:val="00595E9B"/>
    <w:rsid w:val="005A49D1"/>
    <w:rsid w:val="005A69AA"/>
    <w:rsid w:val="005B724C"/>
    <w:rsid w:val="005D244E"/>
    <w:rsid w:val="005D3028"/>
    <w:rsid w:val="005D33DD"/>
    <w:rsid w:val="005D3D2C"/>
    <w:rsid w:val="005E3B30"/>
    <w:rsid w:val="005E7097"/>
    <w:rsid w:val="005F0283"/>
    <w:rsid w:val="005F0CEF"/>
    <w:rsid w:val="005F3831"/>
    <w:rsid w:val="005F42C3"/>
    <w:rsid w:val="005F6D08"/>
    <w:rsid w:val="00604976"/>
    <w:rsid w:val="00612909"/>
    <w:rsid w:val="00613FE3"/>
    <w:rsid w:val="006140ED"/>
    <w:rsid w:val="006208C6"/>
    <w:rsid w:val="0062093C"/>
    <w:rsid w:val="00620BA2"/>
    <w:rsid w:val="00620FAC"/>
    <w:rsid w:val="00624F6E"/>
    <w:rsid w:val="00626A3D"/>
    <w:rsid w:val="00630D5E"/>
    <w:rsid w:val="00631F8B"/>
    <w:rsid w:val="00632D9E"/>
    <w:rsid w:val="006412B2"/>
    <w:rsid w:val="006416AE"/>
    <w:rsid w:val="00643B22"/>
    <w:rsid w:val="006448D9"/>
    <w:rsid w:val="00656F05"/>
    <w:rsid w:val="00657B13"/>
    <w:rsid w:val="00663A46"/>
    <w:rsid w:val="0067278F"/>
    <w:rsid w:val="00675CE8"/>
    <w:rsid w:val="0068115B"/>
    <w:rsid w:val="006856C2"/>
    <w:rsid w:val="00691F4C"/>
    <w:rsid w:val="006935BE"/>
    <w:rsid w:val="006B0FBA"/>
    <w:rsid w:val="006B47A6"/>
    <w:rsid w:val="006B4BCE"/>
    <w:rsid w:val="006C1D03"/>
    <w:rsid w:val="006C343D"/>
    <w:rsid w:val="006D7161"/>
    <w:rsid w:val="006E0294"/>
    <w:rsid w:val="006E0324"/>
    <w:rsid w:val="006E1F2A"/>
    <w:rsid w:val="006E4939"/>
    <w:rsid w:val="006E74BE"/>
    <w:rsid w:val="006E7D31"/>
    <w:rsid w:val="006F5210"/>
    <w:rsid w:val="006F705E"/>
    <w:rsid w:val="006F782E"/>
    <w:rsid w:val="0070326E"/>
    <w:rsid w:val="00710DEC"/>
    <w:rsid w:val="00711B32"/>
    <w:rsid w:val="00716977"/>
    <w:rsid w:val="00721154"/>
    <w:rsid w:val="00727745"/>
    <w:rsid w:val="00732917"/>
    <w:rsid w:val="00734003"/>
    <w:rsid w:val="007350C9"/>
    <w:rsid w:val="007362BB"/>
    <w:rsid w:val="00740BFD"/>
    <w:rsid w:val="0074746B"/>
    <w:rsid w:val="00747558"/>
    <w:rsid w:val="007475B9"/>
    <w:rsid w:val="007503A2"/>
    <w:rsid w:val="007557DB"/>
    <w:rsid w:val="00755F0C"/>
    <w:rsid w:val="00760C6D"/>
    <w:rsid w:val="00766C02"/>
    <w:rsid w:val="00767E34"/>
    <w:rsid w:val="007707D9"/>
    <w:rsid w:val="00774B33"/>
    <w:rsid w:val="00776DD5"/>
    <w:rsid w:val="00781E5F"/>
    <w:rsid w:val="00785AC0"/>
    <w:rsid w:val="007878C3"/>
    <w:rsid w:val="007933CD"/>
    <w:rsid w:val="007A0AA8"/>
    <w:rsid w:val="007A7216"/>
    <w:rsid w:val="007A7D8D"/>
    <w:rsid w:val="007B6BBC"/>
    <w:rsid w:val="007C3758"/>
    <w:rsid w:val="007D1329"/>
    <w:rsid w:val="007E0144"/>
    <w:rsid w:val="007E150E"/>
    <w:rsid w:val="007F0080"/>
    <w:rsid w:val="007F240D"/>
    <w:rsid w:val="0080263A"/>
    <w:rsid w:val="008039FB"/>
    <w:rsid w:val="00803E7B"/>
    <w:rsid w:val="00804BCB"/>
    <w:rsid w:val="00807346"/>
    <w:rsid w:val="0081178F"/>
    <w:rsid w:val="0082061D"/>
    <w:rsid w:val="00820B8F"/>
    <w:rsid w:val="00832237"/>
    <w:rsid w:val="00835216"/>
    <w:rsid w:val="00850ABB"/>
    <w:rsid w:val="00854F20"/>
    <w:rsid w:val="0087042E"/>
    <w:rsid w:val="008705E1"/>
    <w:rsid w:val="00870A86"/>
    <w:rsid w:val="00874B98"/>
    <w:rsid w:val="00874F10"/>
    <w:rsid w:val="00875CA0"/>
    <w:rsid w:val="00876E8A"/>
    <w:rsid w:val="00885036"/>
    <w:rsid w:val="008902C9"/>
    <w:rsid w:val="0089239F"/>
    <w:rsid w:val="008952D3"/>
    <w:rsid w:val="0089641A"/>
    <w:rsid w:val="008965CD"/>
    <w:rsid w:val="008A6F3A"/>
    <w:rsid w:val="008A7A04"/>
    <w:rsid w:val="008A7E77"/>
    <w:rsid w:val="008B0711"/>
    <w:rsid w:val="008B1549"/>
    <w:rsid w:val="008C00F1"/>
    <w:rsid w:val="008C19D8"/>
    <w:rsid w:val="008C5FF7"/>
    <w:rsid w:val="008D0F2F"/>
    <w:rsid w:val="008D2059"/>
    <w:rsid w:val="008D2D4C"/>
    <w:rsid w:val="008D7097"/>
    <w:rsid w:val="008D712A"/>
    <w:rsid w:val="008D7207"/>
    <w:rsid w:val="008D7AE6"/>
    <w:rsid w:val="008E292F"/>
    <w:rsid w:val="008F2964"/>
    <w:rsid w:val="00901D2A"/>
    <w:rsid w:val="009037FE"/>
    <w:rsid w:val="00903AE3"/>
    <w:rsid w:val="00904716"/>
    <w:rsid w:val="00905606"/>
    <w:rsid w:val="0091047F"/>
    <w:rsid w:val="00913C01"/>
    <w:rsid w:val="00920095"/>
    <w:rsid w:val="0093365D"/>
    <w:rsid w:val="0093423E"/>
    <w:rsid w:val="00936EDF"/>
    <w:rsid w:val="00937751"/>
    <w:rsid w:val="00946C15"/>
    <w:rsid w:val="00956466"/>
    <w:rsid w:val="00957435"/>
    <w:rsid w:val="00970794"/>
    <w:rsid w:val="00970875"/>
    <w:rsid w:val="00982184"/>
    <w:rsid w:val="00984428"/>
    <w:rsid w:val="00987785"/>
    <w:rsid w:val="009972E6"/>
    <w:rsid w:val="00997805"/>
    <w:rsid w:val="009A0ED6"/>
    <w:rsid w:val="009B2E56"/>
    <w:rsid w:val="009C0D6C"/>
    <w:rsid w:val="009C0F65"/>
    <w:rsid w:val="009C37B8"/>
    <w:rsid w:val="009D0E93"/>
    <w:rsid w:val="009D15D1"/>
    <w:rsid w:val="009D2B5C"/>
    <w:rsid w:val="009D2F60"/>
    <w:rsid w:val="009D3A0E"/>
    <w:rsid w:val="009D43F0"/>
    <w:rsid w:val="009E2116"/>
    <w:rsid w:val="009E42D7"/>
    <w:rsid w:val="009E4B87"/>
    <w:rsid w:val="009F223A"/>
    <w:rsid w:val="009F2269"/>
    <w:rsid w:val="009F7ACB"/>
    <w:rsid w:val="00A01252"/>
    <w:rsid w:val="00A01503"/>
    <w:rsid w:val="00A045D3"/>
    <w:rsid w:val="00A06D24"/>
    <w:rsid w:val="00A13723"/>
    <w:rsid w:val="00A165D8"/>
    <w:rsid w:val="00A210A3"/>
    <w:rsid w:val="00A27282"/>
    <w:rsid w:val="00A341A2"/>
    <w:rsid w:val="00A36DDD"/>
    <w:rsid w:val="00A43CBF"/>
    <w:rsid w:val="00A44A2F"/>
    <w:rsid w:val="00A50F28"/>
    <w:rsid w:val="00A619E4"/>
    <w:rsid w:val="00A62440"/>
    <w:rsid w:val="00A672DA"/>
    <w:rsid w:val="00A7016E"/>
    <w:rsid w:val="00A7599B"/>
    <w:rsid w:val="00A76D59"/>
    <w:rsid w:val="00A842CA"/>
    <w:rsid w:val="00A87FAB"/>
    <w:rsid w:val="00A92839"/>
    <w:rsid w:val="00AA0819"/>
    <w:rsid w:val="00AA2E92"/>
    <w:rsid w:val="00AA64F9"/>
    <w:rsid w:val="00AB1688"/>
    <w:rsid w:val="00AC02E0"/>
    <w:rsid w:val="00AC079A"/>
    <w:rsid w:val="00AC1AE6"/>
    <w:rsid w:val="00AC3360"/>
    <w:rsid w:val="00AD312E"/>
    <w:rsid w:val="00AD4E53"/>
    <w:rsid w:val="00AE0A23"/>
    <w:rsid w:val="00AE56BB"/>
    <w:rsid w:val="00AE5F51"/>
    <w:rsid w:val="00AE60B0"/>
    <w:rsid w:val="00AE61A3"/>
    <w:rsid w:val="00AF1210"/>
    <w:rsid w:val="00AF2928"/>
    <w:rsid w:val="00AF3416"/>
    <w:rsid w:val="00AF4088"/>
    <w:rsid w:val="00AF5709"/>
    <w:rsid w:val="00AF7378"/>
    <w:rsid w:val="00B04C1B"/>
    <w:rsid w:val="00B05E8E"/>
    <w:rsid w:val="00B27146"/>
    <w:rsid w:val="00B31908"/>
    <w:rsid w:val="00B36FFC"/>
    <w:rsid w:val="00B43280"/>
    <w:rsid w:val="00B459F4"/>
    <w:rsid w:val="00B45CC4"/>
    <w:rsid w:val="00B45E4F"/>
    <w:rsid w:val="00B47391"/>
    <w:rsid w:val="00B5005B"/>
    <w:rsid w:val="00B50810"/>
    <w:rsid w:val="00B54DDC"/>
    <w:rsid w:val="00B5514C"/>
    <w:rsid w:val="00B751DB"/>
    <w:rsid w:val="00B81693"/>
    <w:rsid w:val="00B81FE0"/>
    <w:rsid w:val="00B92BFC"/>
    <w:rsid w:val="00B93100"/>
    <w:rsid w:val="00B96E48"/>
    <w:rsid w:val="00BA5125"/>
    <w:rsid w:val="00BB585B"/>
    <w:rsid w:val="00BB60EF"/>
    <w:rsid w:val="00BC32AB"/>
    <w:rsid w:val="00BD10B8"/>
    <w:rsid w:val="00BD1B56"/>
    <w:rsid w:val="00BD56E2"/>
    <w:rsid w:val="00BD6B19"/>
    <w:rsid w:val="00BD7929"/>
    <w:rsid w:val="00BF2772"/>
    <w:rsid w:val="00BF6F08"/>
    <w:rsid w:val="00C00157"/>
    <w:rsid w:val="00C00A81"/>
    <w:rsid w:val="00C05B7F"/>
    <w:rsid w:val="00C11E46"/>
    <w:rsid w:val="00C13291"/>
    <w:rsid w:val="00C17DA2"/>
    <w:rsid w:val="00C219F5"/>
    <w:rsid w:val="00C266B7"/>
    <w:rsid w:val="00C318E6"/>
    <w:rsid w:val="00C41BC3"/>
    <w:rsid w:val="00C4576E"/>
    <w:rsid w:val="00C52F39"/>
    <w:rsid w:val="00C53B11"/>
    <w:rsid w:val="00C54268"/>
    <w:rsid w:val="00C62D90"/>
    <w:rsid w:val="00C67A4B"/>
    <w:rsid w:val="00C71A03"/>
    <w:rsid w:val="00C744BA"/>
    <w:rsid w:val="00C76FEA"/>
    <w:rsid w:val="00C80BB7"/>
    <w:rsid w:val="00C8133E"/>
    <w:rsid w:val="00C82B0B"/>
    <w:rsid w:val="00C82C57"/>
    <w:rsid w:val="00C87F7F"/>
    <w:rsid w:val="00CA505E"/>
    <w:rsid w:val="00CA729B"/>
    <w:rsid w:val="00CB028A"/>
    <w:rsid w:val="00CC0D43"/>
    <w:rsid w:val="00CC4B49"/>
    <w:rsid w:val="00CC6765"/>
    <w:rsid w:val="00CD7376"/>
    <w:rsid w:val="00CD7A84"/>
    <w:rsid w:val="00CE1BF5"/>
    <w:rsid w:val="00CF0D85"/>
    <w:rsid w:val="00CF1EAE"/>
    <w:rsid w:val="00D02EDA"/>
    <w:rsid w:val="00D04017"/>
    <w:rsid w:val="00D073A4"/>
    <w:rsid w:val="00D136D8"/>
    <w:rsid w:val="00D13C75"/>
    <w:rsid w:val="00D162AC"/>
    <w:rsid w:val="00D21E37"/>
    <w:rsid w:val="00D25036"/>
    <w:rsid w:val="00D27ADC"/>
    <w:rsid w:val="00D31542"/>
    <w:rsid w:val="00D31E0E"/>
    <w:rsid w:val="00D32264"/>
    <w:rsid w:val="00D32EAF"/>
    <w:rsid w:val="00D3599D"/>
    <w:rsid w:val="00D409DD"/>
    <w:rsid w:val="00D43DBA"/>
    <w:rsid w:val="00D521C7"/>
    <w:rsid w:val="00D63406"/>
    <w:rsid w:val="00D67EDD"/>
    <w:rsid w:val="00D71C69"/>
    <w:rsid w:val="00D83903"/>
    <w:rsid w:val="00D8669C"/>
    <w:rsid w:val="00DA1264"/>
    <w:rsid w:val="00DA29ED"/>
    <w:rsid w:val="00DA3620"/>
    <w:rsid w:val="00DA4028"/>
    <w:rsid w:val="00DA517C"/>
    <w:rsid w:val="00DB11EB"/>
    <w:rsid w:val="00DB6463"/>
    <w:rsid w:val="00DB66EE"/>
    <w:rsid w:val="00DB72D0"/>
    <w:rsid w:val="00DC2C37"/>
    <w:rsid w:val="00DC7FC7"/>
    <w:rsid w:val="00DD1E7C"/>
    <w:rsid w:val="00DD2974"/>
    <w:rsid w:val="00DD3579"/>
    <w:rsid w:val="00DD4CF2"/>
    <w:rsid w:val="00DE056C"/>
    <w:rsid w:val="00DF20C1"/>
    <w:rsid w:val="00DF22C9"/>
    <w:rsid w:val="00DF4368"/>
    <w:rsid w:val="00E00410"/>
    <w:rsid w:val="00E02F30"/>
    <w:rsid w:val="00E034F7"/>
    <w:rsid w:val="00E07C84"/>
    <w:rsid w:val="00E13678"/>
    <w:rsid w:val="00E14E57"/>
    <w:rsid w:val="00E218C3"/>
    <w:rsid w:val="00E27ED6"/>
    <w:rsid w:val="00E360D4"/>
    <w:rsid w:val="00E43925"/>
    <w:rsid w:val="00E451AA"/>
    <w:rsid w:val="00E45B17"/>
    <w:rsid w:val="00E476BE"/>
    <w:rsid w:val="00E47AF9"/>
    <w:rsid w:val="00E54AD9"/>
    <w:rsid w:val="00E54B80"/>
    <w:rsid w:val="00E579E7"/>
    <w:rsid w:val="00E61C45"/>
    <w:rsid w:val="00E657D0"/>
    <w:rsid w:val="00E6599F"/>
    <w:rsid w:val="00E7291C"/>
    <w:rsid w:val="00E7315E"/>
    <w:rsid w:val="00E86404"/>
    <w:rsid w:val="00E96EE6"/>
    <w:rsid w:val="00EA0459"/>
    <w:rsid w:val="00EA2B7F"/>
    <w:rsid w:val="00EA4C9C"/>
    <w:rsid w:val="00EC2B81"/>
    <w:rsid w:val="00EC2CB1"/>
    <w:rsid w:val="00ED0C1C"/>
    <w:rsid w:val="00ED31CC"/>
    <w:rsid w:val="00ED6ADB"/>
    <w:rsid w:val="00EE181A"/>
    <w:rsid w:val="00F01893"/>
    <w:rsid w:val="00F027D8"/>
    <w:rsid w:val="00F06EC2"/>
    <w:rsid w:val="00F14A5E"/>
    <w:rsid w:val="00F1676B"/>
    <w:rsid w:val="00F31653"/>
    <w:rsid w:val="00F3742F"/>
    <w:rsid w:val="00F37D8F"/>
    <w:rsid w:val="00F414F9"/>
    <w:rsid w:val="00F41833"/>
    <w:rsid w:val="00F544E7"/>
    <w:rsid w:val="00F616AB"/>
    <w:rsid w:val="00F61A6B"/>
    <w:rsid w:val="00F63C8F"/>
    <w:rsid w:val="00F6576D"/>
    <w:rsid w:val="00F6595C"/>
    <w:rsid w:val="00F66A99"/>
    <w:rsid w:val="00F712E8"/>
    <w:rsid w:val="00F71FD7"/>
    <w:rsid w:val="00F8131B"/>
    <w:rsid w:val="00F90715"/>
    <w:rsid w:val="00F9679B"/>
    <w:rsid w:val="00F97E8F"/>
    <w:rsid w:val="00FA1AC6"/>
    <w:rsid w:val="00FA1C18"/>
    <w:rsid w:val="00FA333D"/>
    <w:rsid w:val="00FA7F7C"/>
    <w:rsid w:val="00FC0968"/>
    <w:rsid w:val="00FC162B"/>
    <w:rsid w:val="00FC3E91"/>
    <w:rsid w:val="00FC7F96"/>
    <w:rsid w:val="00FE1E86"/>
    <w:rsid w:val="00FE20C8"/>
    <w:rsid w:val="00FE3003"/>
    <w:rsid w:val="00FE5425"/>
    <w:rsid w:val="00FF0025"/>
    <w:rsid w:val="00FF126B"/>
    <w:rsid w:val="0EEA0DD5"/>
    <w:rsid w:val="0FD560B1"/>
    <w:rsid w:val="11D939C5"/>
    <w:rsid w:val="15B01368"/>
    <w:rsid w:val="18586E52"/>
    <w:rsid w:val="1EFE574E"/>
    <w:rsid w:val="210C423C"/>
    <w:rsid w:val="277A6E4D"/>
    <w:rsid w:val="285E2745"/>
    <w:rsid w:val="288F4EDA"/>
    <w:rsid w:val="2B443A8E"/>
    <w:rsid w:val="2EA67273"/>
    <w:rsid w:val="32256563"/>
    <w:rsid w:val="363E21A1"/>
    <w:rsid w:val="44506440"/>
    <w:rsid w:val="543B4985"/>
    <w:rsid w:val="57FF192F"/>
    <w:rsid w:val="5D690BC9"/>
    <w:rsid w:val="5D936339"/>
    <w:rsid w:val="67F12A86"/>
    <w:rsid w:val="735F03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Text1"/>
    <w:link w:val="Heading1Char"/>
    <w:uiPriority w:val="9"/>
    <w:qFormat/>
    <w:pPr>
      <w:keepNext/>
      <w:numPr>
        <w:numId w:val="1"/>
      </w:numPr>
      <w:spacing w:before="360" w:after="360"/>
      <w:contextualSpacing/>
      <w:outlineLvl w:val="0"/>
    </w:pPr>
    <w:rPr>
      <w:b/>
      <w:bCs/>
      <w:smallCaps/>
      <w:color w:val="000000" w:themeColor="text1"/>
      <w:szCs w:val="32"/>
    </w:rPr>
  </w:style>
  <w:style w:type="paragraph" w:styleId="Heading2">
    <w:name w:val="heading 2"/>
    <w:basedOn w:val="Normal"/>
    <w:next w:val="Text1"/>
    <w:link w:val="Heading2Char"/>
    <w:uiPriority w:val="9"/>
    <w:qFormat/>
    <w:pPr>
      <w:keepNext/>
      <w:numPr>
        <w:ilvl w:val="1"/>
        <w:numId w:val="2"/>
      </w:numPr>
      <w:tabs>
        <w:tab w:val="clear" w:pos="1276"/>
        <w:tab w:val="left" w:pos="992"/>
      </w:tabs>
      <w:ind w:left="992"/>
      <w:outlineLvl w:val="1"/>
    </w:pPr>
    <w:rPr>
      <w:b/>
      <w:color w:val="000000" w:themeColor="text1"/>
      <w:szCs w:val="28"/>
    </w:rPr>
  </w:style>
  <w:style w:type="paragraph" w:styleId="Heading3">
    <w:name w:val="heading 3"/>
    <w:basedOn w:val="Normal"/>
    <w:next w:val="Text1"/>
    <w:link w:val="Heading3Char"/>
    <w:uiPriority w:val="9"/>
    <w:qFormat/>
    <w:pPr>
      <w:keepNext/>
      <w:outlineLvl w:val="2"/>
    </w:pPr>
    <w:rPr>
      <w:bCs/>
      <w:i/>
      <w:szCs w:val="26"/>
    </w:rPr>
  </w:style>
  <w:style w:type="paragraph" w:styleId="Heading4">
    <w:name w:val="heading 4"/>
    <w:basedOn w:val="Normal"/>
    <w:next w:val="Text1"/>
    <w:link w:val="Heading4Char"/>
    <w:uiPriority w:val="9"/>
    <w:qFormat/>
    <w:pPr>
      <w:keepNext/>
      <w:outlineLvl w:val="3"/>
    </w:pPr>
    <w:rPr>
      <w:bCs/>
      <w:szCs w:val="28"/>
    </w:rPr>
  </w:style>
  <w:style w:type="paragraph" w:styleId="Heading5">
    <w:name w:val="heading 5"/>
    <w:basedOn w:val="Normal"/>
    <w:next w:val="Normal"/>
    <w:link w:val="Heading5Char"/>
    <w:unhideWhenUsed/>
    <w:qFormat/>
    <w:pPr>
      <w:numPr>
        <w:ilvl w:val="4"/>
        <w:numId w:val="3"/>
      </w:numPr>
      <w:spacing w:before="240" w:after="60"/>
      <w:jc w:val="left"/>
      <w:outlineLvl w:val="4"/>
    </w:pPr>
    <w:rPr>
      <w:rFonts w:ascii="Calibri" w:hAnsi="Calibri"/>
      <w:b/>
      <w:bCs/>
      <w:i/>
      <w:iCs/>
      <w:sz w:val="26"/>
      <w:szCs w:val="26"/>
      <w:lang w:eastAsia="en-GB"/>
    </w:rPr>
  </w:style>
  <w:style w:type="paragraph" w:styleId="Heading6">
    <w:name w:val="heading 6"/>
    <w:basedOn w:val="Normal"/>
    <w:next w:val="Normal"/>
    <w:link w:val="Heading6Char"/>
    <w:unhideWhenUsed/>
    <w:qFormat/>
    <w:pPr>
      <w:numPr>
        <w:ilvl w:val="5"/>
        <w:numId w:val="3"/>
      </w:numPr>
      <w:spacing w:before="240" w:after="60"/>
      <w:jc w:val="left"/>
      <w:outlineLvl w:val="5"/>
    </w:pPr>
    <w:rPr>
      <w:rFonts w:ascii="Calibri" w:hAnsi="Calibri"/>
      <w:b/>
      <w:bCs/>
      <w:sz w:val="22"/>
      <w:szCs w:val="22"/>
      <w:lang w:eastAsia="en-GB"/>
    </w:rPr>
  </w:style>
  <w:style w:type="paragraph" w:styleId="Heading7">
    <w:name w:val="heading 7"/>
    <w:basedOn w:val="Normal"/>
    <w:next w:val="Normal"/>
    <w:link w:val="Heading7Char"/>
    <w:unhideWhenUsed/>
    <w:qFormat/>
    <w:pPr>
      <w:numPr>
        <w:ilvl w:val="6"/>
        <w:numId w:val="3"/>
      </w:numPr>
      <w:spacing w:before="240" w:after="60"/>
      <w:jc w:val="left"/>
      <w:outlineLvl w:val="6"/>
    </w:pPr>
    <w:rPr>
      <w:rFonts w:ascii="Calibri" w:hAnsi="Calibri"/>
      <w:lang w:eastAsia="en-GB"/>
    </w:rPr>
  </w:style>
  <w:style w:type="paragraph" w:styleId="Heading8">
    <w:name w:val="heading 8"/>
    <w:basedOn w:val="Normal"/>
    <w:next w:val="Normal"/>
    <w:link w:val="Heading8Char"/>
    <w:unhideWhenUsed/>
    <w:qFormat/>
    <w:pPr>
      <w:numPr>
        <w:ilvl w:val="7"/>
        <w:numId w:val="3"/>
      </w:numPr>
      <w:spacing w:before="240" w:after="60"/>
      <w:jc w:val="left"/>
      <w:outlineLvl w:val="7"/>
    </w:pPr>
    <w:rPr>
      <w:rFonts w:ascii="Calibri" w:hAnsi="Calibri"/>
      <w:i/>
      <w:iCs/>
      <w:lang w:eastAsia="en-GB"/>
    </w:rPr>
  </w:style>
  <w:style w:type="paragraph" w:styleId="Heading9">
    <w:name w:val="heading 9"/>
    <w:basedOn w:val="Normal"/>
    <w:next w:val="Normal"/>
    <w:link w:val="Heading9Char"/>
    <w:unhideWhenUsed/>
    <w:qFormat/>
    <w:pPr>
      <w:numPr>
        <w:ilvl w:val="8"/>
        <w:numId w:val="3"/>
      </w:numPr>
      <w:spacing w:before="240" w:after="60"/>
      <w:jc w:val="left"/>
      <w:outlineLvl w:val="8"/>
    </w:pPr>
    <w:rPr>
      <w:rFonts w:ascii="Cambria" w:hAnsi="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ar"/>
    <w:qFormat/>
    <w:pPr>
      <w:ind w:left="850"/>
    </w:pPr>
  </w:style>
  <w:style w:type="character" w:customStyle="1" w:styleId="Text1Car">
    <w:name w:val="Text 1 Car"/>
    <w:link w:val="Text1"/>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mallCaps/>
      <w:color w:val="000000" w:themeColor="text1"/>
      <w:sz w:val="24"/>
      <w:szCs w:val="32"/>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themeColor="text1"/>
      <w:sz w:val="24"/>
      <w:szCs w:val="28"/>
    </w:rPr>
  </w:style>
  <w:style w:type="character" w:customStyle="1" w:styleId="Heading3Char">
    <w:name w:val="Heading 3 Char"/>
    <w:basedOn w:val="DefaultParagraphFont"/>
    <w:link w:val="Heading3"/>
    <w:qFormat/>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qFormat/>
    <w:rPr>
      <w:rFonts w:ascii="Times New Roman" w:eastAsia="Times New Roman" w:hAnsi="Times New Roman" w:cs="Times New Roman"/>
      <w:bCs/>
      <w:sz w:val="24"/>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qFormat/>
    <w:rPr>
      <w:rFonts w:ascii="Calibri" w:eastAsia="Times New Roman" w:hAnsi="Calibri" w:cs="Times New Roman"/>
      <w:b/>
      <w:bCs/>
      <w:lang w:eastAsia="en-GB"/>
    </w:rPr>
  </w:style>
  <w:style w:type="character" w:customStyle="1" w:styleId="Heading7Char">
    <w:name w:val="Heading 7 Char"/>
    <w:basedOn w:val="DefaultParagraphFont"/>
    <w:link w:val="Heading7"/>
    <w:qFormat/>
    <w:rPr>
      <w:rFonts w:ascii="Calibri" w:eastAsia="Times New Roman" w:hAnsi="Calibri" w:cs="Times New Roman"/>
      <w:sz w:val="24"/>
      <w:szCs w:val="24"/>
      <w:lang w:eastAsia="en-GB"/>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qFormat/>
    <w:rPr>
      <w:rFonts w:ascii="Cambria" w:eastAsia="Times New Roman" w:hAnsi="Cambria" w:cs="Times New Roman"/>
      <w:lang w:eastAsia="en-GB"/>
    </w:rPr>
  </w:style>
  <w:style w:type="paragraph" w:styleId="BalloonText">
    <w:name w:val="Balloon Text"/>
    <w:basedOn w:val="Normal"/>
    <w:link w:val="BalloonTextChar"/>
    <w:uiPriority w:val="99"/>
    <w:qFormat/>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styleId="CommentText">
    <w:name w:val="annotation text"/>
    <w:basedOn w:val="Normal"/>
    <w:link w:val="CommentTextChar"/>
    <w:uiPriority w:val="99"/>
    <w:qFormat/>
    <w:rPr>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rPr>
  </w:style>
  <w:style w:type="paragraph" w:styleId="Footer">
    <w:name w:val="footer"/>
    <w:basedOn w:val="Normal"/>
    <w:link w:val="FooterChar"/>
    <w:uiPriority w:val="99"/>
    <w:qFormat/>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pPr>
      <w:spacing w:before="0" w:after="0"/>
      <w:ind w:left="720" w:hanging="720"/>
    </w:pPr>
    <w:rPr>
      <w:sz w:val="20"/>
      <w:szCs w:val="20"/>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paragraph" w:styleId="Header">
    <w:name w:val="header"/>
    <w:basedOn w:val="Normal"/>
    <w:link w:val="HeaderChar"/>
    <w:uiPriority w:val="99"/>
    <w:unhideWhenUsed/>
    <w:qFormat/>
    <w:pPr>
      <w:tabs>
        <w:tab w:val="center" w:pos="4535"/>
        <w:tab w:val="right" w:pos="9071"/>
      </w:tabs>
      <w:spacing w:before="0"/>
    </w:pPr>
    <w:rPr>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rPr>
  </w:style>
  <w:style w:type="paragraph" w:styleId="ListBullet">
    <w:name w:val="List Bullet"/>
    <w:basedOn w:val="Normal"/>
    <w:uiPriority w:val="99"/>
    <w:qFormat/>
    <w:pPr>
      <w:tabs>
        <w:tab w:val="left" w:pos="1417"/>
      </w:tabs>
      <w:ind w:left="360" w:hanging="360"/>
      <w:contextualSpacing/>
    </w:pPr>
  </w:style>
  <w:style w:type="paragraph" w:styleId="ListBullet2">
    <w:name w:val="List Bullet 2"/>
    <w:basedOn w:val="Normal"/>
    <w:uiPriority w:val="99"/>
    <w:qFormat/>
    <w:pPr>
      <w:tabs>
        <w:tab w:val="left" w:pos="643"/>
        <w:tab w:val="left" w:pos="1984"/>
      </w:tabs>
      <w:ind w:left="643" w:hanging="360"/>
      <w:contextualSpacing/>
    </w:pPr>
  </w:style>
  <w:style w:type="paragraph" w:styleId="ListBullet3">
    <w:name w:val="List Bullet 3"/>
    <w:basedOn w:val="Normal"/>
    <w:uiPriority w:val="99"/>
    <w:qFormat/>
    <w:pPr>
      <w:tabs>
        <w:tab w:val="left" w:pos="926"/>
        <w:tab w:val="left" w:pos="2551"/>
      </w:tabs>
      <w:ind w:left="926" w:hanging="360"/>
      <w:contextualSpacing/>
    </w:pPr>
  </w:style>
  <w:style w:type="paragraph" w:styleId="ListBullet4">
    <w:name w:val="List Bullet 4"/>
    <w:basedOn w:val="Normal"/>
    <w:uiPriority w:val="99"/>
    <w:qFormat/>
    <w:pPr>
      <w:tabs>
        <w:tab w:val="left" w:pos="1209"/>
        <w:tab w:val="left" w:pos="3118"/>
      </w:tabs>
      <w:ind w:left="1209" w:hanging="360"/>
      <w:contextualSpacing/>
    </w:pPr>
  </w:style>
  <w:style w:type="paragraph" w:styleId="ListNumber">
    <w:name w:val="List Number"/>
    <w:basedOn w:val="Normal"/>
    <w:uiPriority w:val="99"/>
    <w:qFormat/>
    <w:pPr>
      <w:numPr>
        <w:numId w:val="4"/>
      </w:numPr>
      <w:spacing w:before="0" w:after="0"/>
      <w:contextualSpacing/>
      <w:jc w:val="left"/>
    </w:pPr>
    <w:rPr>
      <w:lang w:eastAsia="en-GB"/>
    </w:rPr>
  </w:style>
  <w:style w:type="paragraph" w:styleId="ListNumber2">
    <w:name w:val="List Number 2"/>
    <w:basedOn w:val="Normal"/>
    <w:uiPriority w:val="99"/>
    <w:unhideWhenUsed/>
    <w:qFormat/>
    <w:pPr>
      <w:numPr>
        <w:numId w:val="5"/>
      </w:numPr>
    </w:pPr>
    <w:rPr>
      <w:lang w:eastAsia="de-DE"/>
    </w:rPr>
  </w:style>
  <w:style w:type="paragraph" w:styleId="NormalWeb">
    <w:name w:val="Normal (Web)"/>
    <w:basedOn w:val="Normal"/>
    <w:uiPriority w:val="99"/>
    <w:unhideWhenUsed/>
    <w:qFormat/>
    <w:pPr>
      <w:spacing w:before="100" w:beforeAutospacing="1" w:after="100" w:afterAutospacing="1"/>
      <w:jc w:val="left"/>
    </w:pPr>
    <w:rPr>
      <w:lang w:eastAsia="en-GB"/>
    </w:rPr>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uiPriority w:val="39"/>
    <w:semiHidden/>
    <w:qFormat/>
    <w:pPr>
      <w:tabs>
        <w:tab w:val="right" w:leader="dot" w:pos="9071"/>
      </w:tabs>
      <w:spacing w:before="60"/>
      <w:ind w:left="850" w:hanging="850"/>
      <w:jc w:val="left"/>
    </w:pPr>
  </w:style>
  <w:style w:type="paragraph" w:styleId="TOC5">
    <w:name w:val="toc 5"/>
    <w:basedOn w:val="Normal"/>
    <w:next w:val="Normal"/>
    <w:uiPriority w:val="39"/>
    <w:semiHidden/>
    <w:qFormat/>
    <w:pPr>
      <w:tabs>
        <w:tab w:val="right" w:leader="dot" w:pos="9071"/>
      </w:tabs>
      <w:spacing w:before="300"/>
      <w:jc w:val="left"/>
    </w:pPr>
  </w:style>
  <w:style w:type="paragraph" w:styleId="TOC6">
    <w:name w:val="toc 6"/>
    <w:basedOn w:val="Normal"/>
    <w:next w:val="Normal"/>
    <w:uiPriority w:val="39"/>
    <w:semiHidden/>
    <w:qFormat/>
    <w:pPr>
      <w:tabs>
        <w:tab w:val="right" w:leader="dot" w:pos="9071"/>
      </w:tabs>
      <w:spacing w:before="240"/>
      <w:jc w:val="left"/>
    </w:pPr>
  </w:style>
  <w:style w:type="paragraph" w:styleId="TOC7">
    <w:name w:val="toc 7"/>
    <w:basedOn w:val="Normal"/>
    <w:next w:val="Normal"/>
    <w:uiPriority w:val="39"/>
    <w:semiHidden/>
    <w:qFormat/>
    <w:pPr>
      <w:tabs>
        <w:tab w:val="right" w:leader="dot" w:pos="9071"/>
      </w:tabs>
      <w:spacing w:before="180"/>
      <w:jc w:val="left"/>
    </w:pPr>
  </w:style>
  <w:style w:type="paragraph" w:styleId="TOC8">
    <w:name w:val="toc 8"/>
    <w:basedOn w:val="Normal"/>
    <w:next w:val="Normal"/>
    <w:uiPriority w:val="39"/>
    <w:semiHidden/>
    <w:qFormat/>
    <w:pPr>
      <w:tabs>
        <w:tab w:val="right" w:leader="dot" w:pos="9071"/>
      </w:tabs>
      <w:jc w:val="left"/>
    </w:pPr>
  </w:style>
  <w:style w:type="paragraph" w:styleId="TOC9">
    <w:name w:val="toc 9"/>
    <w:basedOn w:val="Normal"/>
    <w:next w:val="Normal"/>
    <w:uiPriority w:val="39"/>
    <w:semiHidden/>
    <w:qFormat/>
    <w:pPr>
      <w:tabs>
        <w:tab w:val="right" w:leader="dot" w:pos="9071"/>
      </w:tabs>
    </w:pPr>
  </w:style>
  <w:style w:type="character" w:styleId="CommentReference">
    <w:name w:val="annotation reference"/>
    <w:uiPriority w:val="99"/>
    <w:qFormat/>
    <w:rPr>
      <w:sz w:val="16"/>
    </w:rPr>
  </w:style>
  <w:style w:type="character" w:styleId="Emphasis">
    <w:name w:val="Emphasis"/>
    <w:qFormat/>
    <w:rPr>
      <w:i/>
    </w:rPr>
  </w:style>
  <w:style w:type="character" w:styleId="FollowedHyperlink">
    <w:name w:val="FollowedHyperlink"/>
    <w:uiPriority w:val="99"/>
    <w:qFormat/>
    <w:rPr>
      <w:color w:val="800080"/>
      <w:u w:val="single"/>
    </w:rPr>
  </w:style>
  <w:style w:type="character" w:styleId="FootnoteReference">
    <w:name w:val="footnote reference"/>
    <w:link w:val="CharCharCharChar"/>
    <w:uiPriority w:val="99"/>
    <w:qFormat/>
    <w:rPr>
      <w:vertAlign w:val="superscript"/>
    </w:rPr>
  </w:style>
  <w:style w:type="paragraph" w:customStyle="1" w:styleId="CharCharCharChar">
    <w:name w:val="Char Char Char Char"/>
    <w:basedOn w:val="Normal"/>
    <w:next w:val="Normal"/>
    <w:link w:val="FootnoteReference"/>
    <w:uiPriority w:val="99"/>
    <w:qFormat/>
    <w:pPr>
      <w:spacing w:before="0" w:after="160" w:line="240" w:lineRule="exact"/>
      <w:jc w:val="left"/>
    </w:pPr>
    <w:rPr>
      <w:rFonts w:asciiTheme="minorHAnsi" w:eastAsiaTheme="minorHAnsi" w:hAnsiTheme="minorHAnsi" w:cstheme="minorBidi"/>
      <w:sz w:val="22"/>
      <w:szCs w:val="22"/>
      <w:vertAlign w:val="superscript"/>
    </w:rPr>
  </w:style>
  <w:style w:type="character" w:styleId="Hyperlink">
    <w:name w:val="Hyperlink"/>
    <w:uiPriority w:val="99"/>
    <w:qFormat/>
    <w:rPr>
      <w:color w:val="0000FF"/>
      <w:u w:val="single"/>
    </w:rPr>
  </w:style>
  <w:style w:type="character" w:styleId="Strong">
    <w:name w:val="Strong"/>
    <w:uiPriority w:val="22"/>
    <w:qFormat/>
    <w:rPr>
      <w:b/>
    </w:rPr>
  </w:style>
  <w:style w:type="table" w:styleId="TableGrid">
    <w:name w:val="Table Grid"/>
    <w:basedOn w:val="TableNormal"/>
    <w:uiPriority w:val="59"/>
    <w:qFormat/>
    <w:pPr>
      <w:spacing w:before="120" w:after="12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qFormat/>
    <w:pPr>
      <w:tabs>
        <w:tab w:val="center" w:pos="7285"/>
        <w:tab w:val="right" w:pos="14003"/>
      </w:tabs>
      <w:spacing w:before="0"/>
    </w:pPr>
    <w:rPr>
      <w:rFonts w:eastAsia="Calibri"/>
      <w:szCs w:val="22"/>
    </w:rPr>
  </w:style>
  <w:style w:type="paragraph" w:customStyle="1" w:styleId="FooterLandscape">
    <w:name w:val="FooterLandscape"/>
    <w:basedOn w:val="Normal"/>
    <w:qFormat/>
    <w:pPr>
      <w:tabs>
        <w:tab w:val="center" w:pos="7285"/>
        <w:tab w:val="center" w:pos="10913"/>
        <w:tab w:val="right" w:pos="15137"/>
      </w:tabs>
      <w:spacing w:before="360" w:after="0"/>
      <w:ind w:left="-567" w:right="-567"/>
      <w:jc w:val="left"/>
    </w:pPr>
  </w:style>
  <w:style w:type="paragraph" w:customStyle="1" w:styleId="Text2">
    <w:name w:val="Text 2"/>
    <w:basedOn w:val="Normal"/>
    <w:link w:val="Text2Car"/>
    <w:qFormat/>
    <w:pPr>
      <w:ind w:left="1417"/>
    </w:pPr>
  </w:style>
  <w:style w:type="character" w:customStyle="1" w:styleId="Text2Car">
    <w:name w:val="Text 2 Car"/>
    <w:link w:val="Text2"/>
    <w:qFormat/>
    <w:rPr>
      <w:rFonts w:ascii="Times New Roman" w:eastAsia="Times New Roman" w:hAnsi="Times New Roman" w:cs="Times New Roman"/>
      <w:sz w:val="24"/>
      <w:szCs w:val="24"/>
    </w:rPr>
  </w:style>
  <w:style w:type="paragraph" w:customStyle="1" w:styleId="Text3">
    <w:name w:val="Text 3"/>
    <w:basedOn w:val="Normal"/>
    <w:qFormat/>
    <w:pPr>
      <w:ind w:left="1984"/>
    </w:pPr>
  </w:style>
  <w:style w:type="paragraph" w:customStyle="1" w:styleId="Text4">
    <w:name w:val="Text 4"/>
    <w:basedOn w:val="Normal"/>
    <w:qFormat/>
    <w:pPr>
      <w:ind w:left="2551"/>
    </w:pPr>
  </w:style>
  <w:style w:type="paragraph" w:customStyle="1" w:styleId="NormalCentered">
    <w:name w:val="Normal Centered"/>
    <w:basedOn w:val="Normal"/>
    <w:qFormat/>
    <w:pPr>
      <w:jc w:val="center"/>
    </w:pPr>
  </w:style>
  <w:style w:type="paragraph" w:customStyle="1" w:styleId="NormalLeft">
    <w:name w:val="Normal Left"/>
    <w:basedOn w:val="Normal"/>
    <w:qFormat/>
    <w:pPr>
      <w:jc w:val="left"/>
    </w:pPr>
  </w:style>
  <w:style w:type="paragraph" w:customStyle="1" w:styleId="NormalRight">
    <w:name w:val="Normal Right"/>
    <w:basedOn w:val="Normal"/>
    <w:qFormat/>
    <w:pPr>
      <w:jc w:val="right"/>
    </w:pPr>
  </w:style>
  <w:style w:type="paragraph" w:customStyle="1" w:styleId="QuotedText">
    <w:name w:val="Quoted Text"/>
    <w:basedOn w:val="Normal"/>
    <w:qFormat/>
    <w:pPr>
      <w:ind w:left="1417"/>
    </w:pPr>
  </w:style>
  <w:style w:type="paragraph" w:customStyle="1" w:styleId="Point0">
    <w:name w:val="Point 0"/>
    <w:basedOn w:val="Normal"/>
    <w:qFormat/>
    <w:pPr>
      <w:ind w:left="850" w:hanging="850"/>
    </w:pPr>
  </w:style>
  <w:style w:type="paragraph" w:customStyle="1" w:styleId="Point1">
    <w:name w:val="Point 1"/>
    <w:basedOn w:val="Normal"/>
    <w:qFormat/>
    <w:pPr>
      <w:ind w:left="1417" w:hanging="567"/>
    </w:pPr>
  </w:style>
  <w:style w:type="paragraph" w:customStyle="1" w:styleId="Point2">
    <w:name w:val="Point 2"/>
    <w:basedOn w:val="Normal"/>
    <w:qFormat/>
    <w:pPr>
      <w:ind w:left="1984" w:hanging="567"/>
    </w:pPr>
  </w:style>
  <w:style w:type="paragraph" w:customStyle="1" w:styleId="Point3">
    <w:name w:val="Point 3"/>
    <w:basedOn w:val="Normal"/>
    <w:qFormat/>
    <w:pPr>
      <w:ind w:left="2551" w:hanging="567"/>
    </w:pPr>
  </w:style>
  <w:style w:type="paragraph" w:customStyle="1" w:styleId="Point4">
    <w:name w:val="Point 4"/>
    <w:basedOn w:val="Normal"/>
    <w:qFormat/>
    <w:pPr>
      <w:ind w:left="3118" w:hanging="567"/>
    </w:pPr>
  </w:style>
  <w:style w:type="paragraph" w:customStyle="1" w:styleId="Tiret0">
    <w:name w:val="Tiret 0"/>
    <w:basedOn w:val="Point0"/>
    <w:qFormat/>
    <w:pPr>
      <w:numPr>
        <w:numId w:val="6"/>
      </w:numPr>
      <w:tabs>
        <w:tab w:val="clear" w:pos="360"/>
        <w:tab w:val="left" w:pos="850"/>
      </w:tabs>
    </w:pPr>
  </w:style>
  <w:style w:type="paragraph" w:customStyle="1" w:styleId="Tiret1">
    <w:name w:val="Tiret 1"/>
    <w:basedOn w:val="Point1"/>
    <w:qFormat/>
    <w:pPr>
      <w:tabs>
        <w:tab w:val="left" w:pos="1417"/>
      </w:tabs>
    </w:pPr>
  </w:style>
  <w:style w:type="paragraph" w:customStyle="1" w:styleId="Tiret2">
    <w:name w:val="Tiret 2"/>
    <w:basedOn w:val="Point2"/>
    <w:qFormat/>
    <w:pPr>
      <w:numPr>
        <w:numId w:val="7"/>
      </w:numPr>
    </w:pPr>
  </w:style>
  <w:style w:type="paragraph" w:customStyle="1" w:styleId="Tiret3">
    <w:name w:val="Tiret 3"/>
    <w:basedOn w:val="Point3"/>
    <w:qFormat/>
    <w:pPr>
      <w:numPr>
        <w:numId w:val="8"/>
      </w:numPr>
    </w:pPr>
  </w:style>
  <w:style w:type="paragraph" w:customStyle="1" w:styleId="Tiret4">
    <w:name w:val="Tiret 4"/>
    <w:basedOn w:val="Point4"/>
    <w:qFormat/>
    <w:pPr>
      <w:numPr>
        <w:numId w:val="9"/>
      </w:numPr>
    </w:pPr>
  </w:style>
  <w:style w:type="paragraph" w:customStyle="1" w:styleId="PointDouble0">
    <w:name w:val="PointDouble 0"/>
    <w:basedOn w:val="Normal"/>
    <w:qFormat/>
    <w:pPr>
      <w:tabs>
        <w:tab w:val="left" w:pos="850"/>
      </w:tabs>
      <w:ind w:left="1417" w:hanging="1417"/>
    </w:pPr>
  </w:style>
  <w:style w:type="paragraph" w:customStyle="1" w:styleId="PointDouble1">
    <w:name w:val="PointDouble 1"/>
    <w:basedOn w:val="Normal"/>
    <w:qFormat/>
    <w:pPr>
      <w:tabs>
        <w:tab w:val="left" w:pos="1417"/>
      </w:tabs>
      <w:ind w:left="1984" w:hanging="1134"/>
    </w:pPr>
  </w:style>
  <w:style w:type="paragraph" w:customStyle="1" w:styleId="PointDouble2">
    <w:name w:val="PointDouble 2"/>
    <w:basedOn w:val="Normal"/>
    <w:qFormat/>
    <w:pPr>
      <w:tabs>
        <w:tab w:val="left" w:pos="1984"/>
      </w:tabs>
      <w:ind w:left="2551" w:hanging="1134"/>
    </w:pPr>
  </w:style>
  <w:style w:type="paragraph" w:customStyle="1" w:styleId="PointDouble3">
    <w:name w:val="PointDouble 3"/>
    <w:basedOn w:val="Normal"/>
    <w:qFormat/>
    <w:pPr>
      <w:tabs>
        <w:tab w:val="left" w:pos="2551"/>
      </w:tabs>
      <w:ind w:left="3118" w:hanging="1134"/>
    </w:pPr>
  </w:style>
  <w:style w:type="paragraph" w:customStyle="1" w:styleId="PointDouble4">
    <w:name w:val="PointDouble 4"/>
    <w:basedOn w:val="Normal"/>
    <w:qFormat/>
    <w:pPr>
      <w:tabs>
        <w:tab w:val="left" w:pos="3118"/>
      </w:tabs>
      <w:ind w:left="3685" w:hanging="1134"/>
    </w:pPr>
  </w:style>
  <w:style w:type="paragraph" w:customStyle="1" w:styleId="PointTriple0">
    <w:name w:val="PointTriple 0"/>
    <w:basedOn w:val="Normal"/>
    <w:qFormat/>
    <w:pPr>
      <w:tabs>
        <w:tab w:val="left" w:pos="850"/>
        <w:tab w:val="left" w:pos="1417"/>
      </w:tabs>
      <w:ind w:left="1984" w:hanging="1984"/>
    </w:pPr>
  </w:style>
  <w:style w:type="paragraph" w:customStyle="1" w:styleId="PointTriple1">
    <w:name w:val="PointTriple 1"/>
    <w:basedOn w:val="Normal"/>
    <w:qFormat/>
    <w:pPr>
      <w:tabs>
        <w:tab w:val="left" w:pos="1417"/>
        <w:tab w:val="left" w:pos="1984"/>
      </w:tabs>
      <w:ind w:left="2551" w:hanging="1701"/>
    </w:pPr>
  </w:style>
  <w:style w:type="paragraph" w:customStyle="1" w:styleId="PointTriple2">
    <w:name w:val="PointTriple 2"/>
    <w:basedOn w:val="Normal"/>
    <w:qFormat/>
    <w:pPr>
      <w:tabs>
        <w:tab w:val="left" w:pos="1984"/>
        <w:tab w:val="left" w:pos="2551"/>
      </w:tabs>
      <w:ind w:left="3118" w:hanging="1701"/>
    </w:pPr>
  </w:style>
  <w:style w:type="paragraph" w:customStyle="1" w:styleId="PointTriple3">
    <w:name w:val="PointTriple 3"/>
    <w:basedOn w:val="Normal"/>
    <w:qFormat/>
    <w:pPr>
      <w:tabs>
        <w:tab w:val="left" w:pos="2551"/>
        <w:tab w:val="left" w:pos="3118"/>
      </w:tabs>
      <w:ind w:left="3685" w:hanging="1701"/>
    </w:pPr>
  </w:style>
  <w:style w:type="paragraph" w:customStyle="1" w:styleId="PointTriple4">
    <w:name w:val="PointTriple 4"/>
    <w:basedOn w:val="Normal"/>
    <w:qFormat/>
    <w:pPr>
      <w:tabs>
        <w:tab w:val="left" w:pos="3118"/>
        <w:tab w:val="left" w:pos="3685"/>
      </w:tabs>
      <w:ind w:left="4252" w:hanging="1701"/>
    </w:pPr>
  </w:style>
  <w:style w:type="paragraph" w:customStyle="1" w:styleId="NumPar1">
    <w:name w:val="NumPar 1"/>
    <w:basedOn w:val="Normal"/>
    <w:next w:val="Text1"/>
    <w:qFormat/>
    <w:pPr>
      <w:numPr>
        <w:numId w:val="10"/>
      </w:numPr>
    </w:pPr>
  </w:style>
  <w:style w:type="paragraph" w:customStyle="1" w:styleId="NumPar2">
    <w:name w:val="NumPar 2"/>
    <w:basedOn w:val="Normal"/>
    <w:next w:val="Text1"/>
    <w:qFormat/>
    <w:pPr>
      <w:numPr>
        <w:ilvl w:val="1"/>
        <w:numId w:val="10"/>
      </w:numPr>
    </w:pPr>
  </w:style>
  <w:style w:type="paragraph" w:customStyle="1" w:styleId="NumPar3">
    <w:name w:val="NumPar 3"/>
    <w:basedOn w:val="Normal"/>
    <w:next w:val="Text1"/>
    <w:qFormat/>
    <w:pPr>
      <w:numPr>
        <w:ilvl w:val="2"/>
        <w:numId w:val="10"/>
      </w:numPr>
    </w:pPr>
  </w:style>
  <w:style w:type="paragraph" w:customStyle="1" w:styleId="NumPar4">
    <w:name w:val="NumPar 4"/>
    <w:basedOn w:val="Normal"/>
    <w:next w:val="Text1"/>
    <w:qFormat/>
    <w:pPr>
      <w:numPr>
        <w:ilvl w:val="3"/>
        <w:numId w:val="10"/>
      </w:numPr>
    </w:pPr>
  </w:style>
  <w:style w:type="paragraph" w:customStyle="1" w:styleId="ManualNumPar1">
    <w:name w:val="Manual NumPar 1"/>
    <w:basedOn w:val="Normal"/>
    <w:next w:val="Text1"/>
    <w:qFormat/>
    <w:pPr>
      <w:ind w:left="850" w:hanging="850"/>
    </w:pPr>
  </w:style>
  <w:style w:type="paragraph" w:customStyle="1" w:styleId="ManualNumPar2">
    <w:name w:val="Manual NumPar 2"/>
    <w:basedOn w:val="Normal"/>
    <w:next w:val="Text1"/>
    <w:qFormat/>
    <w:pPr>
      <w:ind w:left="850" w:hanging="850"/>
    </w:pPr>
  </w:style>
  <w:style w:type="paragraph" w:customStyle="1" w:styleId="ManualNumPar3">
    <w:name w:val="Manual NumPar 3"/>
    <w:basedOn w:val="Normal"/>
    <w:next w:val="Text1"/>
    <w:qFormat/>
    <w:pPr>
      <w:ind w:left="850" w:hanging="850"/>
    </w:pPr>
  </w:style>
  <w:style w:type="paragraph" w:customStyle="1" w:styleId="ManualNumPar4">
    <w:name w:val="Manual NumPar 4"/>
    <w:basedOn w:val="Normal"/>
    <w:next w:val="Text1"/>
    <w:qFormat/>
    <w:pPr>
      <w:ind w:left="850" w:hanging="850"/>
    </w:pPr>
  </w:style>
  <w:style w:type="paragraph" w:customStyle="1" w:styleId="QuotedNumPar">
    <w:name w:val="Quoted NumPar"/>
    <w:basedOn w:val="Normal"/>
    <w:qFormat/>
    <w:pPr>
      <w:ind w:left="1417" w:hanging="567"/>
    </w:pPr>
  </w:style>
  <w:style w:type="paragraph" w:customStyle="1" w:styleId="ManualHeading1">
    <w:name w:val="Manual Heading 1"/>
    <w:basedOn w:val="Normal"/>
    <w:next w:val="Text1"/>
    <w:qFormat/>
    <w:pPr>
      <w:keepNext/>
      <w:tabs>
        <w:tab w:val="left" w:pos="850"/>
      </w:tabs>
      <w:spacing w:before="360"/>
      <w:ind w:left="850" w:hanging="850"/>
      <w:outlineLvl w:val="0"/>
    </w:pPr>
    <w:rPr>
      <w:b/>
      <w:smallCaps/>
    </w:rPr>
  </w:style>
  <w:style w:type="paragraph" w:customStyle="1" w:styleId="ManualHeading2">
    <w:name w:val="Manual Heading 2"/>
    <w:basedOn w:val="Normal"/>
    <w:next w:val="Text1"/>
    <w:qFormat/>
    <w:pPr>
      <w:keepNext/>
      <w:tabs>
        <w:tab w:val="left" w:pos="850"/>
      </w:tabs>
      <w:ind w:left="850" w:hanging="850"/>
      <w:outlineLvl w:val="1"/>
    </w:pPr>
    <w:rPr>
      <w:b/>
    </w:rPr>
  </w:style>
  <w:style w:type="paragraph" w:customStyle="1" w:styleId="ManualHeading3">
    <w:name w:val="Manual Heading 3"/>
    <w:basedOn w:val="Normal"/>
    <w:next w:val="Text1"/>
    <w:qFormat/>
    <w:pPr>
      <w:keepNext/>
      <w:tabs>
        <w:tab w:val="left" w:pos="850"/>
      </w:tabs>
      <w:ind w:left="850" w:hanging="850"/>
      <w:outlineLvl w:val="2"/>
    </w:pPr>
    <w:rPr>
      <w:i/>
    </w:rPr>
  </w:style>
  <w:style w:type="paragraph" w:customStyle="1" w:styleId="ManualHeading4">
    <w:name w:val="Manual Heading 4"/>
    <w:basedOn w:val="Normal"/>
    <w:next w:val="Text1"/>
    <w:qFormat/>
    <w:pPr>
      <w:keepNext/>
      <w:tabs>
        <w:tab w:val="left" w:pos="850"/>
      </w:tabs>
      <w:ind w:left="850" w:hanging="850"/>
      <w:outlineLvl w:val="3"/>
    </w:pPr>
  </w:style>
  <w:style w:type="paragraph" w:customStyle="1" w:styleId="ChapterTitle">
    <w:name w:val="ChapterTitle"/>
    <w:basedOn w:val="Normal"/>
    <w:next w:val="Normal"/>
    <w:qFormat/>
    <w:pPr>
      <w:keepNext/>
      <w:spacing w:after="360"/>
      <w:jc w:val="center"/>
    </w:pPr>
    <w:rPr>
      <w:b/>
      <w:sz w:val="32"/>
    </w:rPr>
  </w:style>
  <w:style w:type="paragraph" w:customStyle="1" w:styleId="PartTitle">
    <w:name w:val="PartTitle"/>
    <w:basedOn w:val="Normal"/>
    <w:next w:val="ChapterTitle"/>
    <w:qFormat/>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qFormat/>
    <w:pPr>
      <w:jc w:val="center"/>
    </w:pPr>
    <w:rPr>
      <w:b/>
    </w:rPr>
  </w:style>
  <w:style w:type="character" w:customStyle="1" w:styleId="Marker">
    <w:name w:val="Marker"/>
    <w:qFormat/>
    <w:rPr>
      <w:color w:val="0000FF"/>
      <w:shd w:val="clear" w:color="auto" w:fill="auto"/>
    </w:rPr>
  </w:style>
  <w:style w:type="character" w:customStyle="1" w:styleId="Marker1">
    <w:name w:val="Marker1"/>
    <w:qFormat/>
    <w:rPr>
      <w:color w:val="008000"/>
      <w:shd w:val="clear" w:color="auto" w:fill="auto"/>
    </w:rPr>
  </w:style>
  <w:style w:type="character" w:customStyle="1" w:styleId="Marker2">
    <w:name w:val="Marker2"/>
    <w:qFormat/>
    <w:rPr>
      <w:color w:val="FF0000"/>
      <w:shd w:val="clear" w:color="auto" w:fill="auto"/>
    </w:rPr>
  </w:style>
  <w:style w:type="paragraph" w:customStyle="1" w:styleId="Kopvaninhoudsopgave">
    <w:name w:val="Kop van inhoudsopgave"/>
    <w:basedOn w:val="Normal"/>
    <w:next w:val="Normal"/>
    <w:uiPriority w:val="39"/>
    <w:qFormat/>
    <w:pPr>
      <w:spacing w:after="240"/>
      <w:jc w:val="center"/>
    </w:pPr>
    <w:rPr>
      <w:b/>
      <w:sz w:val="28"/>
    </w:rPr>
  </w:style>
  <w:style w:type="paragraph" w:customStyle="1" w:styleId="Point0number">
    <w:name w:val="Point 0 (number)"/>
    <w:basedOn w:val="Normal"/>
    <w:qFormat/>
    <w:pPr>
      <w:tabs>
        <w:tab w:val="left" w:pos="850"/>
        <w:tab w:val="left" w:pos="1417"/>
      </w:tabs>
      <w:ind w:left="850" w:hanging="850"/>
    </w:pPr>
  </w:style>
  <w:style w:type="paragraph" w:customStyle="1" w:styleId="Point1number">
    <w:name w:val="Point 1 (number)"/>
    <w:basedOn w:val="Normal"/>
    <w:qFormat/>
    <w:pPr>
      <w:numPr>
        <w:ilvl w:val="2"/>
        <w:numId w:val="11"/>
      </w:numPr>
    </w:pPr>
  </w:style>
  <w:style w:type="paragraph" w:customStyle="1" w:styleId="Point2number">
    <w:name w:val="Point 2 (number)"/>
    <w:basedOn w:val="Normal"/>
    <w:qFormat/>
    <w:pPr>
      <w:numPr>
        <w:ilvl w:val="4"/>
        <w:numId w:val="11"/>
      </w:numPr>
      <w:tabs>
        <w:tab w:val="left" w:pos="1984"/>
      </w:tabs>
      <w:ind w:left="1984"/>
    </w:pPr>
  </w:style>
  <w:style w:type="paragraph" w:customStyle="1" w:styleId="Point3number">
    <w:name w:val="Point 3 (number)"/>
    <w:basedOn w:val="Normal"/>
    <w:qFormat/>
    <w:pPr>
      <w:numPr>
        <w:ilvl w:val="6"/>
        <w:numId w:val="11"/>
      </w:numPr>
      <w:tabs>
        <w:tab w:val="left" w:pos="2551"/>
      </w:tabs>
      <w:ind w:left="2551"/>
    </w:pPr>
  </w:style>
  <w:style w:type="paragraph" w:customStyle="1" w:styleId="Point0letter">
    <w:name w:val="Point 0 (letter)"/>
    <w:basedOn w:val="Normal"/>
    <w:qFormat/>
    <w:pPr>
      <w:numPr>
        <w:ilvl w:val="1"/>
        <w:numId w:val="11"/>
      </w:numPr>
      <w:tabs>
        <w:tab w:val="left" w:pos="850"/>
      </w:tabs>
      <w:ind w:left="850" w:hanging="850"/>
    </w:pPr>
  </w:style>
  <w:style w:type="paragraph" w:customStyle="1" w:styleId="Point1letter">
    <w:name w:val="Point 1 (letter)"/>
    <w:basedOn w:val="Normal"/>
    <w:qFormat/>
    <w:pPr>
      <w:numPr>
        <w:ilvl w:val="3"/>
        <w:numId w:val="11"/>
      </w:numPr>
    </w:pPr>
  </w:style>
  <w:style w:type="paragraph" w:customStyle="1" w:styleId="Point2letter">
    <w:name w:val="Point 2 (letter)"/>
    <w:basedOn w:val="Normal"/>
    <w:qFormat/>
    <w:pPr>
      <w:numPr>
        <w:ilvl w:val="5"/>
        <w:numId w:val="11"/>
      </w:numPr>
      <w:tabs>
        <w:tab w:val="left" w:pos="1984"/>
      </w:tabs>
      <w:ind w:left="1984"/>
    </w:pPr>
  </w:style>
  <w:style w:type="paragraph" w:customStyle="1" w:styleId="Point3letter">
    <w:name w:val="Point 3 (letter)"/>
    <w:basedOn w:val="Normal"/>
    <w:qFormat/>
    <w:pPr>
      <w:numPr>
        <w:ilvl w:val="7"/>
        <w:numId w:val="11"/>
      </w:numPr>
      <w:tabs>
        <w:tab w:val="left" w:pos="2551"/>
      </w:tabs>
      <w:ind w:left="2551"/>
    </w:pPr>
  </w:style>
  <w:style w:type="paragraph" w:customStyle="1" w:styleId="Point4letter">
    <w:name w:val="Point 4 (letter)"/>
    <w:basedOn w:val="Normal"/>
    <w:qFormat/>
    <w:pPr>
      <w:tabs>
        <w:tab w:val="left" w:pos="1417"/>
        <w:tab w:val="left" w:pos="3118"/>
      </w:tabs>
      <w:ind w:left="3118" w:hanging="567"/>
    </w:pPr>
  </w:style>
  <w:style w:type="paragraph" w:customStyle="1" w:styleId="Bullet0">
    <w:name w:val="Bullet 0"/>
    <w:basedOn w:val="Normal"/>
    <w:qFormat/>
    <w:pPr>
      <w:numPr>
        <w:numId w:val="12"/>
      </w:numPr>
    </w:pPr>
  </w:style>
  <w:style w:type="paragraph" w:customStyle="1" w:styleId="Bullet1">
    <w:name w:val="Bullet 1"/>
    <w:basedOn w:val="Normal"/>
    <w:qFormat/>
    <w:pPr>
      <w:numPr>
        <w:numId w:val="13"/>
      </w:numPr>
    </w:pPr>
  </w:style>
  <w:style w:type="paragraph" w:customStyle="1" w:styleId="Bullet2">
    <w:name w:val="Bullet 2"/>
    <w:basedOn w:val="Normal"/>
    <w:qFormat/>
    <w:pPr>
      <w:numPr>
        <w:numId w:val="14"/>
      </w:numPr>
    </w:pPr>
  </w:style>
  <w:style w:type="paragraph" w:customStyle="1" w:styleId="Bullet3">
    <w:name w:val="Bullet 3"/>
    <w:basedOn w:val="Normal"/>
    <w:qFormat/>
    <w:pPr>
      <w:numPr>
        <w:numId w:val="15"/>
      </w:numPr>
    </w:pPr>
  </w:style>
  <w:style w:type="paragraph" w:customStyle="1" w:styleId="Bullet4">
    <w:name w:val="Bullet 4"/>
    <w:basedOn w:val="Normal"/>
    <w:qFormat/>
    <w:pPr>
      <w:numPr>
        <w:numId w:val="16"/>
      </w:numPr>
    </w:pPr>
  </w:style>
  <w:style w:type="paragraph" w:customStyle="1" w:styleId="Annexetitreexpos">
    <w:name w:val="Annexe titre (exposé)"/>
    <w:basedOn w:val="Normal"/>
    <w:next w:val="Normal"/>
    <w:qFormat/>
    <w:pPr>
      <w:jc w:val="center"/>
    </w:pPr>
    <w:rPr>
      <w:b/>
      <w:u w:val="single"/>
    </w:rPr>
  </w:style>
  <w:style w:type="paragraph" w:customStyle="1" w:styleId="Annexetitre">
    <w:name w:val="Annexe titre"/>
    <w:basedOn w:val="Normal"/>
    <w:next w:val="Normal"/>
    <w:qFormat/>
    <w:pPr>
      <w:jc w:val="center"/>
    </w:pPr>
    <w:rPr>
      <w:b/>
      <w:u w:val="single"/>
    </w:rPr>
  </w:style>
  <w:style w:type="paragraph" w:customStyle="1" w:styleId="Annexetitrefichefinancire">
    <w:name w:val="Annexe titre (fiche financière)"/>
    <w:basedOn w:val="Normal"/>
    <w:next w:val="Normal"/>
    <w:qFormat/>
    <w:pPr>
      <w:jc w:val="center"/>
    </w:pPr>
    <w:rPr>
      <w:b/>
      <w:u w:val="single"/>
    </w:rPr>
  </w:style>
  <w:style w:type="paragraph" w:customStyle="1" w:styleId="Applicationdirecte">
    <w:name w:val="Application directe"/>
    <w:basedOn w:val="Normal"/>
    <w:next w:val="Fait"/>
    <w:qFormat/>
    <w:pPr>
      <w:spacing w:before="480"/>
    </w:pPr>
  </w:style>
  <w:style w:type="paragraph" w:customStyle="1" w:styleId="Fait">
    <w:name w:val="Fait à"/>
    <w:basedOn w:val="Normal"/>
    <w:next w:val="Institutionquisigne"/>
    <w:qFormat/>
    <w:pPr>
      <w:keepNext/>
      <w:spacing w:after="0"/>
    </w:pPr>
  </w:style>
  <w:style w:type="paragraph" w:customStyle="1" w:styleId="Institutionquisigne">
    <w:name w:val="Institution qui signe"/>
    <w:basedOn w:val="Normal"/>
    <w:next w:val="Personnequisigne"/>
    <w:qFormat/>
    <w:pPr>
      <w:keepNext/>
      <w:tabs>
        <w:tab w:val="left" w:pos="4252"/>
      </w:tabs>
      <w:spacing w:before="720" w:after="0"/>
    </w:pPr>
    <w:rPr>
      <w:i/>
    </w:rPr>
  </w:style>
  <w:style w:type="paragraph" w:customStyle="1" w:styleId="Personnequisigne">
    <w:name w:val="Personne qui signe"/>
    <w:basedOn w:val="Normal"/>
    <w:next w:val="Institutionquisigne"/>
    <w:qFormat/>
    <w:pPr>
      <w:tabs>
        <w:tab w:val="left" w:pos="4252"/>
      </w:tabs>
      <w:spacing w:before="0" w:after="0"/>
      <w:jc w:val="left"/>
    </w:pPr>
    <w:rPr>
      <w:i/>
    </w:rPr>
  </w:style>
  <w:style w:type="paragraph" w:customStyle="1" w:styleId="Avertissementtitre">
    <w:name w:val="Avertissement titre"/>
    <w:basedOn w:val="Normal"/>
    <w:next w:val="Normal"/>
    <w:qFormat/>
    <w:pPr>
      <w:keepNext/>
      <w:spacing w:before="480"/>
    </w:pPr>
    <w:rPr>
      <w:u w:val="single"/>
    </w:rPr>
  </w:style>
  <w:style w:type="paragraph" w:customStyle="1" w:styleId="Confidence">
    <w:name w:val="Confidence"/>
    <w:basedOn w:val="Normal"/>
    <w:next w:val="Normal"/>
    <w:qFormat/>
    <w:pPr>
      <w:spacing w:before="360"/>
      <w:jc w:val="center"/>
    </w:pPr>
  </w:style>
  <w:style w:type="paragraph" w:customStyle="1" w:styleId="Confidentialit">
    <w:name w:val="Confidentialité"/>
    <w:basedOn w:val="Normal"/>
    <w:next w:val="TypedudocumentPagedecouverture"/>
    <w:qFormat/>
    <w:pPr>
      <w:spacing w:before="240" w:after="240"/>
      <w:ind w:left="5103"/>
    </w:pPr>
    <w:rPr>
      <w:i/>
      <w:sz w:val="32"/>
    </w:rPr>
  </w:style>
  <w:style w:type="paragraph" w:customStyle="1" w:styleId="TypedudocumentPagedecouverture">
    <w:name w:val="Type du document (Page de couverture)"/>
    <w:basedOn w:val="Typedudocument"/>
    <w:next w:val="TitreobjetPagedecouverture"/>
    <w:qFormat/>
  </w:style>
  <w:style w:type="paragraph" w:customStyle="1" w:styleId="Typedudocument">
    <w:name w:val="Type du document"/>
    <w:basedOn w:val="Normal"/>
    <w:next w:val="Titreobjet"/>
    <w:qFormat/>
    <w:pPr>
      <w:spacing w:before="360" w:after="0"/>
      <w:jc w:val="center"/>
    </w:pPr>
    <w:rPr>
      <w:b/>
    </w:rPr>
  </w:style>
  <w:style w:type="paragraph" w:customStyle="1" w:styleId="Titreobjet">
    <w:name w:val="Titre objet"/>
    <w:basedOn w:val="Normal"/>
    <w:next w:val="Sous-titreobjet"/>
    <w:qFormat/>
    <w:pPr>
      <w:spacing w:before="360" w:after="360"/>
      <w:jc w:val="center"/>
    </w:pPr>
    <w:rPr>
      <w:b/>
    </w:rPr>
  </w:style>
  <w:style w:type="paragraph" w:customStyle="1" w:styleId="Sous-titreobjet">
    <w:name w:val="Sous-titre objet"/>
    <w:basedOn w:val="Normal"/>
    <w:qFormat/>
    <w:pPr>
      <w:spacing w:before="0" w:after="0"/>
      <w:jc w:val="center"/>
    </w:pPr>
    <w:rPr>
      <w:b/>
    </w:rPr>
  </w:style>
  <w:style w:type="paragraph" w:customStyle="1" w:styleId="TitreobjetPagedecouverture">
    <w:name w:val="Titre objet (Page de couverture)"/>
    <w:basedOn w:val="Titreobjet"/>
    <w:next w:val="Sous-titreobjetPagedecouverture"/>
    <w:qFormat/>
  </w:style>
  <w:style w:type="paragraph" w:customStyle="1" w:styleId="Sous-titreobjetPagedecouverture">
    <w:name w:val="Sous-titre objet (Page de couverture)"/>
    <w:basedOn w:val="Sous-titreobjet"/>
    <w:qFormat/>
  </w:style>
  <w:style w:type="paragraph" w:customStyle="1" w:styleId="Considrant">
    <w:name w:val="Considérant"/>
    <w:basedOn w:val="Normal"/>
    <w:qFormat/>
    <w:pPr>
      <w:numPr>
        <w:numId w:val="1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qFormat/>
    <w:pPr>
      <w:spacing w:before="360" w:after="0"/>
      <w:jc w:val="center"/>
    </w:pPr>
    <w:rPr>
      <w:b/>
    </w:rPr>
  </w:style>
  <w:style w:type="paragraph" w:customStyle="1" w:styleId="Emission">
    <w:name w:val="Emission"/>
    <w:basedOn w:val="Normal"/>
    <w:next w:val="Rfrenceinstitutionnelle"/>
    <w:qFormat/>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Exposdesmotifstitre">
    <w:name w:val="Exposé des motifs titre"/>
    <w:basedOn w:val="Normal"/>
    <w:next w:val="Normal"/>
    <w:qFormat/>
    <w:pPr>
      <w:jc w:val="center"/>
    </w:pPr>
    <w:rPr>
      <w:b/>
      <w:u w:val="single"/>
    </w:rPr>
  </w:style>
  <w:style w:type="paragraph" w:customStyle="1" w:styleId="Formuledadoption">
    <w:name w:val="Formule d'adoption"/>
    <w:basedOn w:val="Normal"/>
    <w:next w:val="Titrearticle"/>
    <w:qFormat/>
    <w:pPr>
      <w:keepNext/>
    </w:pPr>
  </w:style>
  <w:style w:type="paragraph" w:customStyle="1" w:styleId="Titrearticle">
    <w:name w:val="Titre article"/>
    <w:basedOn w:val="Normal"/>
    <w:next w:val="Normal"/>
    <w:qFormat/>
    <w:pPr>
      <w:keepNext/>
      <w:spacing w:before="360"/>
      <w:jc w:val="center"/>
    </w:pPr>
    <w:rPr>
      <w:i/>
    </w:rPr>
  </w:style>
  <w:style w:type="paragraph" w:customStyle="1" w:styleId="Institutionquiagit">
    <w:name w:val="Institution qui agit"/>
    <w:basedOn w:val="Normal"/>
    <w:next w:val="Normal"/>
    <w:qFormat/>
    <w:pPr>
      <w:keepNext/>
      <w:spacing w:before="600"/>
    </w:pPr>
  </w:style>
  <w:style w:type="paragraph" w:customStyle="1" w:styleId="Langue">
    <w:name w:val="Langue"/>
    <w:basedOn w:val="Normal"/>
    <w:next w:val="Rfrenceinterne"/>
    <w:qFormat/>
    <w:pPr>
      <w:framePr w:wrap="around" w:vAnchor="page" w:hAnchor="text" w:xAlign="center" w:y="14741"/>
      <w:spacing w:before="0" w:after="600"/>
      <w:jc w:val="center"/>
    </w:pPr>
    <w:rPr>
      <w:b/>
      <w:caps/>
    </w:rPr>
  </w:style>
  <w:style w:type="paragraph" w:customStyle="1" w:styleId="Rfrenceinterne">
    <w:name w:val="Référence interne"/>
    <w:basedOn w:val="Normal"/>
    <w:next w:val="Rfrenceinterinstitutionnelle"/>
    <w:qFormat/>
    <w:pPr>
      <w:spacing w:before="0" w:after="0"/>
      <w:ind w:left="5103"/>
      <w:jc w:val="left"/>
    </w:pPr>
  </w:style>
  <w:style w:type="paragraph" w:customStyle="1" w:styleId="Rfrenceinterinstitutionnelle">
    <w:name w:val="Référence interinstitutionnelle"/>
    <w:basedOn w:val="Normal"/>
    <w:next w:val="Statut"/>
    <w:qFormat/>
    <w:pPr>
      <w:spacing w:before="0" w:after="0"/>
      <w:ind w:left="5103"/>
      <w:jc w:val="left"/>
    </w:pPr>
  </w:style>
  <w:style w:type="paragraph" w:customStyle="1" w:styleId="Statut">
    <w:name w:val="Statut"/>
    <w:basedOn w:val="Normal"/>
    <w:next w:val="Typedudocument"/>
    <w:qFormat/>
    <w:pPr>
      <w:spacing w:before="360" w:after="0"/>
      <w:jc w:val="center"/>
    </w:pPr>
  </w:style>
  <w:style w:type="paragraph" w:customStyle="1" w:styleId="ManualConsidrant">
    <w:name w:val="Manual Considérant"/>
    <w:basedOn w:val="Normal"/>
    <w:qFormat/>
    <w:pPr>
      <w:ind w:left="709" w:hanging="709"/>
    </w:pPr>
  </w:style>
  <w:style w:type="paragraph" w:customStyle="1" w:styleId="Nomdelinstitution">
    <w:name w:val="Nom de l'institution"/>
    <w:basedOn w:val="Normal"/>
    <w:next w:val="Emission"/>
    <w:qFormat/>
    <w:pPr>
      <w:spacing w:before="0" w:after="0"/>
      <w:jc w:val="left"/>
    </w:pPr>
    <w:rPr>
      <w:rFonts w:ascii="Arial" w:hAnsi="Arial" w:cs="Arial"/>
    </w:rPr>
  </w:style>
  <w:style w:type="character" w:customStyle="1" w:styleId="Added">
    <w:name w:val="Added"/>
    <w:qFormat/>
    <w:rPr>
      <w:b/>
      <w:u w:val="single"/>
      <w:shd w:val="clear" w:color="auto" w:fill="auto"/>
    </w:rPr>
  </w:style>
  <w:style w:type="character" w:customStyle="1" w:styleId="Deleted">
    <w:name w:val="Deleted"/>
    <w:qFormat/>
    <w:rPr>
      <w:strike/>
      <w:shd w:val="clear" w:color="auto" w:fill="auto"/>
    </w:rPr>
  </w:style>
  <w:style w:type="paragraph" w:customStyle="1" w:styleId="Address">
    <w:name w:val="Address"/>
    <w:basedOn w:val="Normal"/>
    <w:next w:val="Normal"/>
    <w:qFormat/>
    <w:pPr>
      <w:keepLines/>
      <w:spacing w:line="360" w:lineRule="auto"/>
      <w:ind w:left="3402"/>
      <w:jc w:val="left"/>
    </w:pPr>
  </w:style>
  <w:style w:type="paragraph" w:customStyle="1" w:styleId="Objetexterne">
    <w:name w:val="Objet externe"/>
    <w:basedOn w:val="Normal"/>
    <w:next w:val="Normal"/>
    <w:qFormat/>
    <w:rPr>
      <w:i/>
      <w:caps/>
    </w:rPr>
  </w:style>
  <w:style w:type="paragraph" w:customStyle="1" w:styleId="Pagedecouverture">
    <w:name w:val="Page de couverture"/>
    <w:basedOn w:val="Normal"/>
    <w:next w:val="Normal"/>
    <w:qFormat/>
    <w:pPr>
      <w:spacing w:before="0" w:after="0"/>
    </w:pPr>
  </w:style>
  <w:style w:type="paragraph" w:customStyle="1" w:styleId="Supertitre">
    <w:name w:val="Supertitre"/>
    <w:basedOn w:val="Normal"/>
    <w:next w:val="Normal"/>
    <w:qFormat/>
    <w:pPr>
      <w:spacing w:before="0" w:after="600"/>
      <w:jc w:val="center"/>
    </w:pPr>
    <w:rPr>
      <w:b/>
    </w:rPr>
  </w:style>
  <w:style w:type="paragraph" w:customStyle="1" w:styleId="Languesfaisantfoi">
    <w:name w:val="Langues faisant foi"/>
    <w:basedOn w:val="Normal"/>
    <w:next w:val="Normal"/>
    <w:qFormat/>
    <w:pPr>
      <w:spacing w:before="360" w:after="0"/>
      <w:jc w:val="center"/>
    </w:pPr>
  </w:style>
  <w:style w:type="paragraph" w:customStyle="1" w:styleId="Rfrencecroise">
    <w:name w:val="Référence croisée"/>
    <w:basedOn w:val="Normal"/>
    <w:qFormat/>
    <w:pPr>
      <w:spacing w:before="0" w:after="0"/>
      <w:jc w:val="center"/>
    </w:pPr>
  </w:style>
  <w:style w:type="paragraph" w:customStyle="1" w:styleId="Fichefinanciretitre">
    <w:name w:val="Fiche financière titre"/>
    <w:basedOn w:val="Normal"/>
    <w:next w:val="Normal"/>
    <w:qFormat/>
    <w:pPr>
      <w:jc w:val="center"/>
    </w:pPr>
    <w:rPr>
      <w:b/>
      <w:u w:val="single"/>
    </w:rPr>
  </w:style>
  <w:style w:type="paragraph" w:customStyle="1" w:styleId="DatedadoptionPagedecouverture">
    <w:name w:val="Date d'adoption (Page de couverture)"/>
    <w:basedOn w:val="Datedadoption"/>
    <w:next w:val="TitreobjetPagedecouverture"/>
    <w:qFormat/>
  </w:style>
  <w:style w:type="paragraph" w:customStyle="1" w:styleId="RfrenceinterinstitutionnellePagedecouverture">
    <w:name w:val="Référence interinstitutionnelle (Page de couverture)"/>
    <w:basedOn w:val="Rfrenceinterinstitutionnelle"/>
    <w:next w:val="Confidentialit"/>
    <w:qFormat/>
  </w:style>
  <w:style w:type="paragraph" w:customStyle="1" w:styleId="StatutPagedecouverture">
    <w:name w:val="Statut (Page de couverture)"/>
    <w:basedOn w:val="Statut"/>
    <w:next w:val="TypedudocumentPagedecouverture"/>
    <w:qFormat/>
  </w:style>
  <w:style w:type="paragraph" w:customStyle="1" w:styleId="Volume">
    <w:name w:val="Volume"/>
    <w:basedOn w:val="Normal"/>
    <w:next w:val="Confidentialit"/>
    <w:qFormat/>
    <w:pPr>
      <w:spacing w:before="0" w:after="240"/>
      <w:ind w:left="5103"/>
      <w:jc w:val="left"/>
    </w:pPr>
  </w:style>
  <w:style w:type="paragraph" w:customStyle="1" w:styleId="IntrtEEE">
    <w:name w:val="Intérêt EEE"/>
    <w:basedOn w:val="Languesfaisantfoi"/>
    <w:next w:val="Normal"/>
    <w:qFormat/>
    <w:pPr>
      <w:spacing w:after="240"/>
    </w:pPr>
  </w:style>
  <w:style w:type="paragraph" w:customStyle="1" w:styleId="Accompagnant">
    <w:name w:val="Accompagnant"/>
    <w:basedOn w:val="Normal"/>
    <w:next w:val="Typeacteprincipal"/>
    <w:qFormat/>
    <w:pPr>
      <w:spacing w:before="0" w:after="240"/>
      <w:jc w:val="center"/>
    </w:pPr>
    <w:rPr>
      <w:b/>
      <w:i/>
    </w:rPr>
  </w:style>
  <w:style w:type="paragraph" w:customStyle="1" w:styleId="Typeacteprincipal">
    <w:name w:val="Type acte principal"/>
    <w:basedOn w:val="Normal"/>
    <w:next w:val="Objetacteprincipal"/>
    <w:qFormat/>
    <w:pPr>
      <w:spacing w:before="0" w:after="240"/>
      <w:jc w:val="center"/>
    </w:pPr>
    <w:rPr>
      <w:b/>
    </w:rPr>
  </w:style>
  <w:style w:type="paragraph" w:customStyle="1" w:styleId="Objetacteprincipal">
    <w:name w:val="Objet acte principal"/>
    <w:basedOn w:val="Normal"/>
    <w:next w:val="Titrearticle"/>
    <w:qFormat/>
    <w:pPr>
      <w:spacing w:before="0" w:after="360"/>
      <w:jc w:val="center"/>
    </w:pPr>
    <w:rPr>
      <w:b/>
    </w:rPr>
  </w:style>
  <w:style w:type="paragraph" w:customStyle="1" w:styleId="IntrtEEEPagedecouverture">
    <w:name w:val="Intérêt EEE (Page de couverture)"/>
    <w:basedOn w:val="IntrtEEE"/>
    <w:next w:val="Rfrencecroise"/>
    <w:qFormat/>
  </w:style>
  <w:style w:type="paragraph" w:customStyle="1" w:styleId="AccompagnantPagedecouverture">
    <w:name w:val="Accompagnant (Page de couverture)"/>
    <w:basedOn w:val="Accompagnant"/>
    <w:next w:val="TypeacteprincipalPagedecouverture"/>
    <w:qFormat/>
  </w:style>
  <w:style w:type="paragraph" w:customStyle="1" w:styleId="TypeacteprincipalPagedecouverture">
    <w:name w:val="Type acte principal (Page de couverture)"/>
    <w:basedOn w:val="Typeacteprincipal"/>
    <w:next w:val="ObjetacteprincipalPagedecouverture"/>
    <w:qFormat/>
  </w:style>
  <w:style w:type="paragraph" w:customStyle="1" w:styleId="ObjetacteprincipalPagedecouverture">
    <w:name w:val="Objet acte principal (Page de couverture)"/>
    <w:basedOn w:val="Objetacteprincipal"/>
    <w:next w:val="Rfrencecroise"/>
    <w:qFormat/>
  </w:style>
  <w:style w:type="paragraph" w:customStyle="1" w:styleId="LanguesfaisantfoiPagedecouverture">
    <w:name w:val="Langues faisant foi (Page de couverture)"/>
    <w:basedOn w:val="Normal"/>
    <w:next w:val="Normal"/>
    <w:qFormat/>
    <w:pPr>
      <w:spacing w:before="360" w:after="0"/>
      <w:jc w:val="center"/>
    </w:pPr>
  </w:style>
  <w:style w:type="paragraph" w:customStyle="1" w:styleId="TOCHeading1">
    <w:name w:val="TOC Heading1"/>
    <w:basedOn w:val="Heading1"/>
    <w:next w:val="Normal"/>
    <w:uiPriority w:val="39"/>
    <w:unhideWhenUsed/>
    <w:qFormat/>
    <w:pPr>
      <w:numPr>
        <w:numId w:val="0"/>
      </w:numPr>
      <w:spacing w:before="240" w:after="60"/>
      <w:outlineLvl w:val="9"/>
    </w:pPr>
    <w:rPr>
      <w:rFonts w:ascii="Cambria" w:hAnsi="Cambria"/>
      <w:smallCaps w:val="0"/>
      <w:kern w:val="32"/>
      <w:sz w:val="32"/>
    </w:rPr>
  </w:style>
  <w:style w:type="paragraph" w:customStyle="1" w:styleId="Fichedinformationtitre">
    <w:name w:val="Fiche d'information titre"/>
    <w:basedOn w:val="Normal"/>
    <w:next w:val="Normal"/>
    <w:qFormat/>
    <w:pPr>
      <w:jc w:val="center"/>
    </w:pPr>
    <w:rPr>
      <w:b/>
      <w:u w:val="single"/>
    </w:rPr>
  </w:style>
  <w:style w:type="paragraph" w:customStyle="1" w:styleId="ListDash1">
    <w:name w:val="List Dash 1"/>
    <w:basedOn w:val="Normal"/>
    <w:qFormat/>
    <w:pPr>
      <w:numPr>
        <w:numId w:val="18"/>
      </w:numPr>
    </w:pPr>
    <w:rPr>
      <w:lang w:eastAsia="de-DE"/>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sz w:val="24"/>
      <w:szCs w:val="24"/>
    </w:rPr>
  </w:style>
  <w:style w:type="paragraph" w:customStyle="1" w:styleId="ListNumber2Level2">
    <w:name w:val="List Number 2 (Level 2)"/>
    <w:basedOn w:val="Text2"/>
    <w:qFormat/>
    <w:pPr>
      <w:numPr>
        <w:ilvl w:val="1"/>
        <w:numId w:val="5"/>
      </w:numPr>
    </w:pPr>
    <w:rPr>
      <w:lang w:eastAsia="de-DE"/>
    </w:rPr>
  </w:style>
  <w:style w:type="paragraph" w:customStyle="1" w:styleId="ListNumber2Level3">
    <w:name w:val="List Number 2 (Level 3)"/>
    <w:basedOn w:val="Text2"/>
    <w:qFormat/>
    <w:pPr>
      <w:numPr>
        <w:ilvl w:val="2"/>
        <w:numId w:val="5"/>
      </w:numPr>
    </w:pPr>
    <w:rPr>
      <w:lang w:eastAsia="de-DE"/>
    </w:rPr>
  </w:style>
  <w:style w:type="paragraph" w:customStyle="1" w:styleId="ListNumber2Level4">
    <w:name w:val="List Number 2 (Level 4)"/>
    <w:basedOn w:val="Text2"/>
    <w:qFormat/>
    <w:pPr>
      <w:tabs>
        <w:tab w:val="left" w:pos="3686"/>
      </w:tabs>
      <w:ind w:left="3686" w:hanging="709"/>
    </w:pPr>
    <w:rPr>
      <w:lang w:eastAsia="de-DE"/>
    </w:rPr>
  </w:style>
  <w:style w:type="paragraph" w:customStyle="1" w:styleId="ListNumber1">
    <w:name w:val="List Number 1"/>
    <w:basedOn w:val="Text1"/>
    <w:qFormat/>
    <w:pPr>
      <w:numPr>
        <w:numId w:val="19"/>
      </w:numPr>
    </w:pPr>
    <w:rPr>
      <w:szCs w:val="20"/>
      <w:lang w:eastAsia="zh-CN"/>
    </w:rPr>
  </w:style>
  <w:style w:type="paragraph" w:customStyle="1" w:styleId="ListNumber1Level2">
    <w:name w:val="List Number 1 (Level 2)"/>
    <w:basedOn w:val="Text1"/>
    <w:qFormat/>
    <w:pPr>
      <w:numPr>
        <w:ilvl w:val="1"/>
        <w:numId w:val="19"/>
      </w:numPr>
    </w:pPr>
    <w:rPr>
      <w:lang w:eastAsia="de-DE"/>
    </w:rPr>
  </w:style>
  <w:style w:type="paragraph" w:customStyle="1" w:styleId="ListNumber1Level3">
    <w:name w:val="List Number 1 (Level 3)"/>
    <w:basedOn w:val="Text1"/>
    <w:qFormat/>
    <w:pPr>
      <w:tabs>
        <w:tab w:val="left" w:pos="2977"/>
      </w:tabs>
      <w:ind w:left="2977" w:hanging="709"/>
    </w:pPr>
    <w:rPr>
      <w:szCs w:val="20"/>
      <w:lang w:eastAsia="zh-CN"/>
    </w:rPr>
  </w:style>
  <w:style w:type="paragraph" w:customStyle="1" w:styleId="ListNumber1Level4">
    <w:name w:val="List Number 1 (Level 4)"/>
    <w:basedOn w:val="Text1"/>
    <w:qFormat/>
    <w:pPr>
      <w:tabs>
        <w:tab w:val="left" w:pos="3686"/>
      </w:tabs>
      <w:ind w:left="3686" w:hanging="709"/>
    </w:pPr>
    <w:rPr>
      <w:szCs w:val="20"/>
      <w:lang w:eastAsia="zh-CN"/>
    </w:rPr>
  </w:style>
  <w:style w:type="paragraph" w:customStyle="1" w:styleId="ZDGName">
    <w:name w:val="Z_DGName"/>
    <w:basedOn w:val="Normal"/>
    <w:qFormat/>
    <w:pPr>
      <w:widowControl w:val="0"/>
      <w:snapToGrid w:val="0"/>
      <w:spacing w:before="0" w:after="0"/>
      <w:ind w:right="85"/>
    </w:pPr>
    <w:rPr>
      <w:rFonts w:ascii="Arial" w:hAnsi="Arial"/>
      <w:sz w:val="16"/>
      <w:szCs w:val="20"/>
    </w:rPr>
  </w:style>
  <w:style w:type="paragraph" w:customStyle="1" w:styleId="ZCom">
    <w:name w:val="Z_Com"/>
    <w:basedOn w:val="Normal"/>
    <w:next w:val="ZDGName"/>
    <w:qFormat/>
    <w:pPr>
      <w:widowControl w:val="0"/>
      <w:snapToGrid w:val="0"/>
      <w:spacing w:before="0" w:after="0"/>
      <w:ind w:right="85"/>
    </w:pPr>
    <w:rPr>
      <w:rFonts w:ascii="Arial" w:hAnsi="Arial"/>
      <w:szCs w:val="20"/>
    </w:rPr>
  </w:style>
  <w:style w:type="paragraph" w:customStyle="1" w:styleId="ListParagraph1">
    <w:name w:val="List Paragraph1"/>
    <w:basedOn w:val="Normal"/>
    <w:link w:val="ListParagraphChar"/>
    <w:uiPriority w:val="34"/>
    <w:qFormat/>
    <w:pPr>
      <w:spacing w:before="0" w:after="0"/>
      <w:ind w:left="720"/>
      <w:jc w:val="left"/>
    </w:pPr>
    <w:rPr>
      <w:rFonts w:ascii="Calibri" w:hAnsi="Calibri"/>
      <w:sz w:val="22"/>
      <w:szCs w:val="22"/>
    </w:rPr>
  </w:style>
  <w:style w:type="character" w:customStyle="1" w:styleId="ListParagraphChar">
    <w:name w:val="List Paragraph Char"/>
    <w:basedOn w:val="DefaultParagraphFont"/>
    <w:link w:val="ListParagraph1"/>
    <w:uiPriority w:val="34"/>
    <w:qFormat/>
    <w:rPr>
      <w:rFonts w:ascii="Calibri" w:eastAsia="Times New Roman" w:hAnsi="Calibri" w:cs="Times New Roman"/>
    </w:rPr>
  </w:style>
  <w:style w:type="character" w:customStyle="1" w:styleId="Hyperlink1">
    <w:name w:val="Hyperlink1"/>
    <w:qFormat/>
    <w:rPr>
      <w:color w:val="000000"/>
      <w:sz w:val="20"/>
      <w:u w:val="single"/>
    </w:rPr>
  </w:style>
  <w:style w:type="paragraph" w:customStyle="1" w:styleId="ListDash2">
    <w:name w:val="List Dash 2"/>
    <w:basedOn w:val="Normal"/>
    <w:qFormat/>
    <w:pPr>
      <w:numPr>
        <w:numId w:val="20"/>
      </w:numPr>
    </w:pPr>
    <w:rPr>
      <w:lang w:eastAsia="de-DE"/>
    </w:rPr>
  </w:style>
  <w:style w:type="paragraph" w:customStyle="1" w:styleId="Corpo">
    <w:name w:val="Corpo"/>
    <w:qFormat/>
    <w:pPr>
      <w:spacing w:after="0" w:line="240" w:lineRule="auto"/>
    </w:pPr>
    <w:rPr>
      <w:rFonts w:ascii="Helvetica" w:eastAsia="Arial Unicode MS" w:hAnsi="Arial Unicode MS" w:cs="Arial Unicode MS"/>
      <w:color w:val="000000"/>
      <w:sz w:val="22"/>
      <w:szCs w:val="22"/>
    </w:rPr>
  </w:style>
  <w:style w:type="paragraph" w:customStyle="1" w:styleId="Pa35">
    <w:name w:val="Pa35"/>
    <w:basedOn w:val="Normal"/>
    <w:next w:val="Normal"/>
    <w:uiPriority w:val="99"/>
    <w:qFormat/>
    <w:pPr>
      <w:autoSpaceDE w:val="0"/>
      <w:autoSpaceDN w:val="0"/>
      <w:adjustRightInd w:val="0"/>
      <w:spacing w:before="0" w:after="40" w:line="181" w:lineRule="atLeast"/>
      <w:jc w:val="left"/>
    </w:pPr>
    <w:rPr>
      <w:rFonts w:ascii="Adobe Garamond Pro" w:hAnsi="Adobe Garamond Pro"/>
      <w:lang w:val="it-IT" w:eastAsia="it-IT"/>
    </w:rPr>
  </w:style>
  <w:style w:type="character" w:customStyle="1" w:styleId="DeltaViewInsertion">
    <w:name w:val="DeltaView Insertion"/>
    <w:uiPriority w:val="99"/>
    <w:qFormat/>
    <w:rPr>
      <w:b/>
      <w:i/>
      <w:color w:val="000000"/>
    </w:rPr>
  </w:style>
  <w:style w:type="paragraph" w:customStyle="1" w:styleId="Default">
    <w:name w:val="Default"/>
    <w:qForma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VIfnrCharCharChar">
    <w:name w:val="BVI fnr Char Char Char"/>
    <w:basedOn w:val="Normal"/>
    <w:next w:val="Normal"/>
    <w:uiPriority w:val="99"/>
    <w:qFormat/>
    <w:pPr>
      <w:spacing w:before="0" w:after="160" w:line="240" w:lineRule="exact"/>
    </w:pPr>
    <w:rPr>
      <w:rFonts w:asciiTheme="minorHAnsi" w:eastAsiaTheme="minorHAnsi" w:hAnsiTheme="minorHAnsi" w:cstheme="minorBidi"/>
      <w:sz w:val="22"/>
      <w:szCs w:val="22"/>
      <w:vertAlign w:val="superscript"/>
      <w:lang w:val="es-CO"/>
    </w:rPr>
  </w:style>
  <w:style w:type="character" w:customStyle="1" w:styleId="Bodytext2">
    <w:name w:val="Body text (2)_"/>
    <w:basedOn w:val="DefaultParagraphFont"/>
    <w:link w:val="Bodytext20"/>
    <w:qFormat/>
    <w:rPr>
      <w:shd w:val="clear" w:color="auto" w:fill="FFFFFF"/>
    </w:rPr>
  </w:style>
  <w:style w:type="paragraph" w:customStyle="1" w:styleId="Bodytext20">
    <w:name w:val="Body text (2)"/>
    <w:basedOn w:val="Normal"/>
    <w:link w:val="Bodytext2"/>
    <w:qFormat/>
    <w:pPr>
      <w:widowControl w:val="0"/>
      <w:shd w:val="clear" w:color="auto" w:fill="FFFFFF"/>
      <w:spacing w:before="280" w:after="280" w:line="274" w:lineRule="exact"/>
      <w:ind w:hanging="720"/>
    </w:pPr>
    <w:rPr>
      <w:rFonts w:asciiTheme="minorHAnsi" w:eastAsiaTheme="minorHAnsi" w:hAnsiTheme="minorHAnsi" w:cstheme="minorBidi"/>
      <w:sz w:val="22"/>
      <w:szCs w:val="22"/>
    </w:rPr>
  </w:style>
  <w:style w:type="paragraph" w:styleId="Revision">
    <w:name w:val="Revision"/>
    <w:hidden/>
    <w:uiPriority w:val="99"/>
    <w:unhideWhenUsed/>
    <w:rsid w:val="00AD4E53"/>
    <w:pPr>
      <w:spacing w:after="0" w:line="240" w:lineRule="auto"/>
    </w:pPr>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AF1210"/>
    <w:pPr>
      <w:spacing w:before="0" w:after="0"/>
    </w:pPr>
    <w:rPr>
      <w:sz w:val="20"/>
      <w:szCs w:val="20"/>
    </w:rPr>
  </w:style>
  <w:style w:type="character" w:customStyle="1" w:styleId="EndnoteTextChar">
    <w:name w:val="Endnote Text Char"/>
    <w:basedOn w:val="DefaultParagraphFont"/>
    <w:link w:val="EndnoteText"/>
    <w:uiPriority w:val="99"/>
    <w:semiHidden/>
    <w:rsid w:val="00AF1210"/>
    <w:rPr>
      <w:rFonts w:ascii="Times New Roman" w:eastAsia="Times New Roman" w:hAnsi="Times New Roman" w:cs="Times New Roman"/>
      <w:lang w:eastAsia="en-US"/>
    </w:rPr>
  </w:style>
  <w:style w:type="character" w:styleId="EndnoteReference">
    <w:name w:val="endnote reference"/>
    <w:basedOn w:val="DefaultParagraphFont"/>
    <w:uiPriority w:val="99"/>
    <w:semiHidden/>
    <w:unhideWhenUsed/>
    <w:rsid w:val="00AF1210"/>
    <w:rPr>
      <w:vertAlign w:val="superscript"/>
    </w:rPr>
  </w:style>
  <w:style w:type="paragraph" w:styleId="ListParagraph">
    <w:name w:val="List Paragraph"/>
    <w:basedOn w:val="Normal"/>
    <w:uiPriority w:val="34"/>
    <w:unhideWhenUsed/>
    <w:qFormat/>
    <w:rsid w:val="006E7D31"/>
    <w:pPr>
      <w:ind w:left="720"/>
      <w:contextualSpacing/>
    </w:pPr>
  </w:style>
  <w:style w:type="character" w:customStyle="1" w:styleId="Bodytext2Bold">
    <w:name w:val="Body text (2) + Bold"/>
    <w:basedOn w:val="DefaultParagraphFont"/>
    <w:rsid w:val="00E7291C"/>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character" w:customStyle="1" w:styleId="FootnoteItalic">
    <w:name w:val="Footnote + Italic"/>
    <w:basedOn w:val="DefaultParagraphFont"/>
    <w:rsid w:val="00E27ED6"/>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paragraph" w:customStyle="1" w:styleId="CM1">
    <w:name w:val="CM1"/>
    <w:basedOn w:val="Default"/>
    <w:next w:val="Default"/>
    <w:uiPriority w:val="99"/>
    <w:rsid w:val="00470B43"/>
    <w:rPr>
      <w:rFonts w:eastAsiaTheme="minorHAnsi"/>
      <w:color w:val="auto"/>
    </w:rPr>
  </w:style>
  <w:style w:type="paragraph" w:customStyle="1" w:styleId="CM3">
    <w:name w:val="CM3"/>
    <w:basedOn w:val="Default"/>
    <w:next w:val="Default"/>
    <w:uiPriority w:val="99"/>
    <w:rsid w:val="00470B43"/>
    <w:rPr>
      <w:rFonts w:eastAsiaTheme="minorHAnsi"/>
      <w:color w:val="auto"/>
    </w:rPr>
  </w:style>
  <w:style w:type="paragraph" w:customStyle="1" w:styleId="CM4">
    <w:name w:val="CM4"/>
    <w:basedOn w:val="Default"/>
    <w:next w:val="Default"/>
    <w:uiPriority w:val="99"/>
    <w:rsid w:val="00470B43"/>
    <w:rPr>
      <w:rFonts w:eastAsiaTheme="minorHAnsi"/>
      <w:color w:val="auto"/>
    </w:rPr>
  </w:style>
  <w:style w:type="paragraph" w:customStyle="1" w:styleId="19">
    <w:name w:val="19"/>
    <w:basedOn w:val="Normal"/>
    <w:rsid w:val="00DB6463"/>
    <w:pPr>
      <w:spacing w:before="0" w:after="0"/>
      <w:jc w:val="left"/>
    </w:pPr>
    <w:rPr>
      <w:rFonts w:eastAsiaTheme="minorHAns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Text1"/>
    <w:link w:val="Heading1Char"/>
    <w:uiPriority w:val="9"/>
    <w:qFormat/>
    <w:pPr>
      <w:keepNext/>
      <w:numPr>
        <w:numId w:val="1"/>
      </w:numPr>
      <w:spacing w:before="360" w:after="360"/>
      <w:contextualSpacing/>
      <w:outlineLvl w:val="0"/>
    </w:pPr>
    <w:rPr>
      <w:b/>
      <w:bCs/>
      <w:smallCaps/>
      <w:color w:val="000000" w:themeColor="text1"/>
      <w:szCs w:val="32"/>
    </w:rPr>
  </w:style>
  <w:style w:type="paragraph" w:styleId="Heading2">
    <w:name w:val="heading 2"/>
    <w:basedOn w:val="Normal"/>
    <w:next w:val="Text1"/>
    <w:link w:val="Heading2Char"/>
    <w:uiPriority w:val="9"/>
    <w:qFormat/>
    <w:pPr>
      <w:keepNext/>
      <w:numPr>
        <w:ilvl w:val="1"/>
        <w:numId w:val="2"/>
      </w:numPr>
      <w:tabs>
        <w:tab w:val="clear" w:pos="1276"/>
        <w:tab w:val="left" w:pos="992"/>
      </w:tabs>
      <w:ind w:left="992"/>
      <w:outlineLvl w:val="1"/>
    </w:pPr>
    <w:rPr>
      <w:b/>
      <w:color w:val="000000" w:themeColor="text1"/>
      <w:szCs w:val="28"/>
    </w:rPr>
  </w:style>
  <w:style w:type="paragraph" w:styleId="Heading3">
    <w:name w:val="heading 3"/>
    <w:basedOn w:val="Normal"/>
    <w:next w:val="Text1"/>
    <w:link w:val="Heading3Char"/>
    <w:uiPriority w:val="9"/>
    <w:qFormat/>
    <w:pPr>
      <w:keepNext/>
      <w:outlineLvl w:val="2"/>
    </w:pPr>
    <w:rPr>
      <w:bCs/>
      <w:i/>
      <w:szCs w:val="26"/>
    </w:rPr>
  </w:style>
  <w:style w:type="paragraph" w:styleId="Heading4">
    <w:name w:val="heading 4"/>
    <w:basedOn w:val="Normal"/>
    <w:next w:val="Text1"/>
    <w:link w:val="Heading4Char"/>
    <w:uiPriority w:val="9"/>
    <w:qFormat/>
    <w:pPr>
      <w:keepNext/>
      <w:outlineLvl w:val="3"/>
    </w:pPr>
    <w:rPr>
      <w:bCs/>
      <w:szCs w:val="28"/>
    </w:rPr>
  </w:style>
  <w:style w:type="paragraph" w:styleId="Heading5">
    <w:name w:val="heading 5"/>
    <w:basedOn w:val="Normal"/>
    <w:next w:val="Normal"/>
    <w:link w:val="Heading5Char"/>
    <w:unhideWhenUsed/>
    <w:qFormat/>
    <w:pPr>
      <w:numPr>
        <w:ilvl w:val="4"/>
        <w:numId w:val="3"/>
      </w:numPr>
      <w:spacing w:before="240" w:after="60"/>
      <w:jc w:val="left"/>
      <w:outlineLvl w:val="4"/>
    </w:pPr>
    <w:rPr>
      <w:rFonts w:ascii="Calibri" w:hAnsi="Calibri"/>
      <w:b/>
      <w:bCs/>
      <w:i/>
      <w:iCs/>
      <w:sz w:val="26"/>
      <w:szCs w:val="26"/>
      <w:lang w:eastAsia="en-GB"/>
    </w:rPr>
  </w:style>
  <w:style w:type="paragraph" w:styleId="Heading6">
    <w:name w:val="heading 6"/>
    <w:basedOn w:val="Normal"/>
    <w:next w:val="Normal"/>
    <w:link w:val="Heading6Char"/>
    <w:unhideWhenUsed/>
    <w:qFormat/>
    <w:pPr>
      <w:numPr>
        <w:ilvl w:val="5"/>
        <w:numId w:val="3"/>
      </w:numPr>
      <w:spacing w:before="240" w:after="60"/>
      <w:jc w:val="left"/>
      <w:outlineLvl w:val="5"/>
    </w:pPr>
    <w:rPr>
      <w:rFonts w:ascii="Calibri" w:hAnsi="Calibri"/>
      <w:b/>
      <w:bCs/>
      <w:sz w:val="22"/>
      <w:szCs w:val="22"/>
      <w:lang w:eastAsia="en-GB"/>
    </w:rPr>
  </w:style>
  <w:style w:type="paragraph" w:styleId="Heading7">
    <w:name w:val="heading 7"/>
    <w:basedOn w:val="Normal"/>
    <w:next w:val="Normal"/>
    <w:link w:val="Heading7Char"/>
    <w:unhideWhenUsed/>
    <w:qFormat/>
    <w:pPr>
      <w:numPr>
        <w:ilvl w:val="6"/>
        <w:numId w:val="3"/>
      </w:numPr>
      <w:spacing w:before="240" w:after="60"/>
      <w:jc w:val="left"/>
      <w:outlineLvl w:val="6"/>
    </w:pPr>
    <w:rPr>
      <w:rFonts w:ascii="Calibri" w:hAnsi="Calibri"/>
      <w:lang w:eastAsia="en-GB"/>
    </w:rPr>
  </w:style>
  <w:style w:type="paragraph" w:styleId="Heading8">
    <w:name w:val="heading 8"/>
    <w:basedOn w:val="Normal"/>
    <w:next w:val="Normal"/>
    <w:link w:val="Heading8Char"/>
    <w:unhideWhenUsed/>
    <w:qFormat/>
    <w:pPr>
      <w:numPr>
        <w:ilvl w:val="7"/>
        <w:numId w:val="3"/>
      </w:numPr>
      <w:spacing w:before="240" w:after="60"/>
      <w:jc w:val="left"/>
      <w:outlineLvl w:val="7"/>
    </w:pPr>
    <w:rPr>
      <w:rFonts w:ascii="Calibri" w:hAnsi="Calibri"/>
      <w:i/>
      <w:iCs/>
      <w:lang w:eastAsia="en-GB"/>
    </w:rPr>
  </w:style>
  <w:style w:type="paragraph" w:styleId="Heading9">
    <w:name w:val="heading 9"/>
    <w:basedOn w:val="Normal"/>
    <w:next w:val="Normal"/>
    <w:link w:val="Heading9Char"/>
    <w:unhideWhenUsed/>
    <w:qFormat/>
    <w:pPr>
      <w:numPr>
        <w:ilvl w:val="8"/>
        <w:numId w:val="3"/>
      </w:numPr>
      <w:spacing w:before="240" w:after="60"/>
      <w:jc w:val="left"/>
      <w:outlineLvl w:val="8"/>
    </w:pPr>
    <w:rPr>
      <w:rFonts w:ascii="Cambria" w:hAnsi="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ar"/>
    <w:qFormat/>
    <w:pPr>
      <w:ind w:left="850"/>
    </w:pPr>
  </w:style>
  <w:style w:type="character" w:customStyle="1" w:styleId="Text1Car">
    <w:name w:val="Text 1 Car"/>
    <w:link w:val="Text1"/>
    <w:qFormat/>
    <w:locke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mallCaps/>
      <w:color w:val="000000" w:themeColor="text1"/>
      <w:sz w:val="24"/>
      <w:szCs w:val="32"/>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themeColor="text1"/>
      <w:sz w:val="24"/>
      <w:szCs w:val="28"/>
    </w:rPr>
  </w:style>
  <w:style w:type="character" w:customStyle="1" w:styleId="Heading3Char">
    <w:name w:val="Heading 3 Char"/>
    <w:basedOn w:val="DefaultParagraphFont"/>
    <w:link w:val="Heading3"/>
    <w:qFormat/>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qFormat/>
    <w:rPr>
      <w:rFonts w:ascii="Times New Roman" w:eastAsia="Times New Roman" w:hAnsi="Times New Roman" w:cs="Times New Roman"/>
      <w:bCs/>
      <w:sz w:val="24"/>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qFormat/>
    <w:rPr>
      <w:rFonts w:ascii="Calibri" w:eastAsia="Times New Roman" w:hAnsi="Calibri" w:cs="Times New Roman"/>
      <w:b/>
      <w:bCs/>
      <w:lang w:eastAsia="en-GB"/>
    </w:rPr>
  </w:style>
  <w:style w:type="character" w:customStyle="1" w:styleId="Heading7Char">
    <w:name w:val="Heading 7 Char"/>
    <w:basedOn w:val="DefaultParagraphFont"/>
    <w:link w:val="Heading7"/>
    <w:qFormat/>
    <w:rPr>
      <w:rFonts w:ascii="Calibri" w:eastAsia="Times New Roman" w:hAnsi="Calibri" w:cs="Times New Roman"/>
      <w:sz w:val="24"/>
      <w:szCs w:val="24"/>
      <w:lang w:eastAsia="en-GB"/>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qFormat/>
    <w:rPr>
      <w:rFonts w:ascii="Cambria" w:eastAsia="Times New Roman" w:hAnsi="Cambria" w:cs="Times New Roman"/>
      <w:lang w:eastAsia="en-GB"/>
    </w:rPr>
  </w:style>
  <w:style w:type="paragraph" w:styleId="BalloonText">
    <w:name w:val="Balloon Text"/>
    <w:basedOn w:val="Normal"/>
    <w:link w:val="BalloonTextChar"/>
    <w:uiPriority w:val="99"/>
    <w:qFormat/>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styleId="CommentText">
    <w:name w:val="annotation text"/>
    <w:basedOn w:val="Normal"/>
    <w:link w:val="CommentTextChar"/>
    <w:uiPriority w:val="99"/>
    <w:qFormat/>
    <w:rPr>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rPr>
  </w:style>
  <w:style w:type="paragraph" w:styleId="Footer">
    <w:name w:val="footer"/>
    <w:basedOn w:val="Normal"/>
    <w:link w:val="FooterChar"/>
    <w:uiPriority w:val="99"/>
    <w:qFormat/>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FootnoteText">
    <w:name w:val="footnote text"/>
    <w:basedOn w:val="Normal"/>
    <w:link w:val="FootnoteTextChar"/>
    <w:uiPriority w:val="99"/>
    <w:qFormat/>
    <w:pPr>
      <w:spacing w:before="0" w:after="0"/>
      <w:ind w:left="720" w:hanging="720"/>
    </w:pPr>
    <w:rPr>
      <w:sz w:val="20"/>
      <w:szCs w:val="20"/>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paragraph" w:styleId="Header">
    <w:name w:val="header"/>
    <w:basedOn w:val="Normal"/>
    <w:link w:val="HeaderChar"/>
    <w:uiPriority w:val="99"/>
    <w:unhideWhenUsed/>
    <w:qFormat/>
    <w:pPr>
      <w:tabs>
        <w:tab w:val="center" w:pos="4535"/>
        <w:tab w:val="right" w:pos="9071"/>
      </w:tabs>
      <w:spacing w:before="0"/>
    </w:pPr>
    <w:rPr>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rPr>
  </w:style>
  <w:style w:type="paragraph" w:styleId="ListBullet">
    <w:name w:val="List Bullet"/>
    <w:basedOn w:val="Normal"/>
    <w:uiPriority w:val="99"/>
    <w:qFormat/>
    <w:pPr>
      <w:tabs>
        <w:tab w:val="left" w:pos="1417"/>
      </w:tabs>
      <w:ind w:left="360" w:hanging="360"/>
      <w:contextualSpacing/>
    </w:pPr>
  </w:style>
  <w:style w:type="paragraph" w:styleId="ListBullet2">
    <w:name w:val="List Bullet 2"/>
    <w:basedOn w:val="Normal"/>
    <w:uiPriority w:val="99"/>
    <w:qFormat/>
    <w:pPr>
      <w:tabs>
        <w:tab w:val="left" w:pos="643"/>
        <w:tab w:val="left" w:pos="1984"/>
      </w:tabs>
      <w:ind w:left="643" w:hanging="360"/>
      <w:contextualSpacing/>
    </w:pPr>
  </w:style>
  <w:style w:type="paragraph" w:styleId="ListBullet3">
    <w:name w:val="List Bullet 3"/>
    <w:basedOn w:val="Normal"/>
    <w:uiPriority w:val="99"/>
    <w:qFormat/>
    <w:pPr>
      <w:tabs>
        <w:tab w:val="left" w:pos="926"/>
        <w:tab w:val="left" w:pos="2551"/>
      </w:tabs>
      <w:ind w:left="926" w:hanging="360"/>
      <w:contextualSpacing/>
    </w:pPr>
  </w:style>
  <w:style w:type="paragraph" w:styleId="ListBullet4">
    <w:name w:val="List Bullet 4"/>
    <w:basedOn w:val="Normal"/>
    <w:uiPriority w:val="99"/>
    <w:qFormat/>
    <w:pPr>
      <w:tabs>
        <w:tab w:val="left" w:pos="1209"/>
        <w:tab w:val="left" w:pos="3118"/>
      </w:tabs>
      <w:ind w:left="1209" w:hanging="360"/>
      <w:contextualSpacing/>
    </w:pPr>
  </w:style>
  <w:style w:type="paragraph" w:styleId="ListNumber">
    <w:name w:val="List Number"/>
    <w:basedOn w:val="Normal"/>
    <w:uiPriority w:val="99"/>
    <w:qFormat/>
    <w:pPr>
      <w:numPr>
        <w:numId w:val="4"/>
      </w:numPr>
      <w:spacing w:before="0" w:after="0"/>
      <w:contextualSpacing/>
      <w:jc w:val="left"/>
    </w:pPr>
    <w:rPr>
      <w:lang w:eastAsia="en-GB"/>
    </w:rPr>
  </w:style>
  <w:style w:type="paragraph" w:styleId="ListNumber2">
    <w:name w:val="List Number 2"/>
    <w:basedOn w:val="Normal"/>
    <w:uiPriority w:val="99"/>
    <w:unhideWhenUsed/>
    <w:qFormat/>
    <w:pPr>
      <w:numPr>
        <w:numId w:val="5"/>
      </w:numPr>
    </w:pPr>
    <w:rPr>
      <w:lang w:eastAsia="de-DE"/>
    </w:rPr>
  </w:style>
  <w:style w:type="paragraph" w:styleId="NormalWeb">
    <w:name w:val="Normal (Web)"/>
    <w:basedOn w:val="Normal"/>
    <w:uiPriority w:val="99"/>
    <w:unhideWhenUsed/>
    <w:qFormat/>
    <w:pPr>
      <w:spacing w:before="100" w:beforeAutospacing="1" w:after="100" w:afterAutospacing="1"/>
      <w:jc w:val="left"/>
    </w:pPr>
    <w:rPr>
      <w:lang w:eastAsia="en-GB"/>
    </w:rPr>
  </w:style>
  <w:style w:type="paragraph" w:styleId="TOC1">
    <w:name w:val="toc 1"/>
    <w:basedOn w:val="Normal"/>
    <w:next w:val="Normal"/>
    <w:uiPriority w:val="39"/>
    <w:qFormat/>
    <w:pPr>
      <w:tabs>
        <w:tab w:val="right" w:leader="dot" w:pos="9071"/>
      </w:tabs>
      <w:spacing w:before="60"/>
      <w:ind w:left="850" w:hanging="850"/>
      <w:jc w:val="left"/>
    </w:pPr>
  </w:style>
  <w:style w:type="paragraph" w:styleId="TOC2">
    <w:name w:val="toc 2"/>
    <w:basedOn w:val="Normal"/>
    <w:next w:val="Normal"/>
    <w:uiPriority w:val="39"/>
    <w:qFormat/>
    <w:pPr>
      <w:tabs>
        <w:tab w:val="right" w:leader="dot" w:pos="9071"/>
      </w:tabs>
      <w:spacing w:before="60"/>
      <w:ind w:left="850" w:hanging="850"/>
      <w:jc w:val="left"/>
    </w:pPr>
  </w:style>
  <w:style w:type="paragraph" w:styleId="TOC3">
    <w:name w:val="toc 3"/>
    <w:basedOn w:val="Normal"/>
    <w:next w:val="Normal"/>
    <w:uiPriority w:val="39"/>
    <w:qFormat/>
    <w:pPr>
      <w:tabs>
        <w:tab w:val="right" w:leader="dot" w:pos="9071"/>
      </w:tabs>
      <w:spacing w:before="60"/>
      <w:ind w:left="850" w:hanging="850"/>
      <w:jc w:val="left"/>
    </w:pPr>
  </w:style>
  <w:style w:type="paragraph" w:styleId="TOC4">
    <w:name w:val="toc 4"/>
    <w:basedOn w:val="Normal"/>
    <w:next w:val="Normal"/>
    <w:uiPriority w:val="39"/>
    <w:semiHidden/>
    <w:qFormat/>
    <w:pPr>
      <w:tabs>
        <w:tab w:val="right" w:leader="dot" w:pos="9071"/>
      </w:tabs>
      <w:spacing w:before="60"/>
      <w:ind w:left="850" w:hanging="850"/>
      <w:jc w:val="left"/>
    </w:pPr>
  </w:style>
  <w:style w:type="paragraph" w:styleId="TOC5">
    <w:name w:val="toc 5"/>
    <w:basedOn w:val="Normal"/>
    <w:next w:val="Normal"/>
    <w:uiPriority w:val="39"/>
    <w:semiHidden/>
    <w:qFormat/>
    <w:pPr>
      <w:tabs>
        <w:tab w:val="right" w:leader="dot" w:pos="9071"/>
      </w:tabs>
      <w:spacing w:before="300"/>
      <w:jc w:val="left"/>
    </w:pPr>
  </w:style>
  <w:style w:type="paragraph" w:styleId="TOC6">
    <w:name w:val="toc 6"/>
    <w:basedOn w:val="Normal"/>
    <w:next w:val="Normal"/>
    <w:uiPriority w:val="39"/>
    <w:semiHidden/>
    <w:qFormat/>
    <w:pPr>
      <w:tabs>
        <w:tab w:val="right" w:leader="dot" w:pos="9071"/>
      </w:tabs>
      <w:spacing w:before="240"/>
      <w:jc w:val="left"/>
    </w:pPr>
  </w:style>
  <w:style w:type="paragraph" w:styleId="TOC7">
    <w:name w:val="toc 7"/>
    <w:basedOn w:val="Normal"/>
    <w:next w:val="Normal"/>
    <w:uiPriority w:val="39"/>
    <w:semiHidden/>
    <w:qFormat/>
    <w:pPr>
      <w:tabs>
        <w:tab w:val="right" w:leader="dot" w:pos="9071"/>
      </w:tabs>
      <w:spacing w:before="180"/>
      <w:jc w:val="left"/>
    </w:pPr>
  </w:style>
  <w:style w:type="paragraph" w:styleId="TOC8">
    <w:name w:val="toc 8"/>
    <w:basedOn w:val="Normal"/>
    <w:next w:val="Normal"/>
    <w:uiPriority w:val="39"/>
    <w:semiHidden/>
    <w:qFormat/>
    <w:pPr>
      <w:tabs>
        <w:tab w:val="right" w:leader="dot" w:pos="9071"/>
      </w:tabs>
      <w:jc w:val="left"/>
    </w:pPr>
  </w:style>
  <w:style w:type="paragraph" w:styleId="TOC9">
    <w:name w:val="toc 9"/>
    <w:basedOn w:val="Normal"/>
    <w:next w:val="Normal"/>
    <w:uiPriority w:val="39"/>
    <w:semiHidden/>
    <w:qFormat/>
    <w:pPr>
      <w:tabs>
        <w:tab w:val="right" w:leader="dot" w:pos="9071"/>
      </w:tabs>
    </w:pPr>
  </w:style>
  <w:style w:type="character" w:styleId="CommentReference">
    <w:name w:val="annotation reference"/>
    <w:uiPriority w:val="99"/>
    <w:qFormat/>
    <w:rPr>
      <w:sz w:val="16"/>
    </w:rPr>
  </w:style>
  <w:style w:type="character" w:styleId="Emphasis">
    <w:name w:val="Emphasis"/>
    <w:qFormat/>
    <w:rPr>
      <w:i/>
    </w:rPr>
  </w:style>
  <w:style w:type="character" w:styleId="FollowedHyperlink">
    <w:name w:val="FollowedHyperlink"/>
    <w:uiPriority w:val="99"/>
    <w:qFormat/>
    <w:rPr>
      <w:color w:val="800080"/>
      <w:u w:val="single"/>
    </w:rPr>
  </w:style>
  <w:style w:type="character" w:styleId="FootnoteReference">
    <w:name w:val="footnote reference"/>
    <w:link w:val="CharCharCharChar"/>
    <w:uiPriority w:val="99"/>
    <w:qFormat/>
    <w:rPr>
      <w:vertAlign w:val="superscript"/>
    </w:rPr>
  </w:style>
  <w:style w:type="paragraph" w:customStyle="1" w:styleId="CharCharCharChar">
    <w:name w:val="Char Char Char Char"/>
    <w:basedOn w:val="Normal"/>
    <w:next w:val="Normal"/>
    <w:link w:val="FootnoteReference"/>
    <w:uiPriority w:val="99"/>
    <w:qFormat/>
    <w:pPr>
      <w:spacing w:before="0" w:after="160" w:line="240" w:lineRule="exact"/>
      <w:jc w:val="left"/>
    </w:pPr>
    <w:rPr>
      <w:rFonts w:asciiTheme="minorHAnsi" w:eastAsiaTheme="minorHAnsi" w:hAnsiTheme="minorHAnsi" w:cstheme="minorBidi"/>
      <w:sz w:val="22"/>
      <w:szCs w:val="22"/>
      <w:vertAlign w:val="superscript"/>
    </w:rPr>
  </w:style>
  <w:style w:type="character" w:styleId="Hyperlink">
    <w:name w:val="Hyperlink"/>
    <w:uiPriority w:val="99"/>
    <w:qFormat/>
    <w:rPr>
      <w:color w:val="0000FF"/>
      <w:u w:val="single"/>
    </w:rPr>
  </w:style>
  <w:style w:type="character" w:styleId="Strong">
    <w:name w:val="Strong"/>
    <w:uiPriority w:val="22"/>
    <w:qFormat/>
    <w:rPr>
      <w:b/>
    </w:rPr>
  </w:style>
  <w:style w:type="table" w:styleId="TableGrid">
    <w:name w:val="Table Grid"/>
    <w:basedOn w:val="TableNormal"/>
    <w:uiPriority w:val="59"/>
    <w:qFormat/>
    <w:pPr>
      <w:spacing w:before="120" w:after="12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qFormat/>
    <w:pPr>
      <w:tabs>
        <w:tab w:val="center" w:pos="7285"/>
        <w:tab w:val="right" w:pos="14003"/>
      </w:tabs>
      <w:spacing w:before="0"/>
    </w:pPr>
    <w:rPr>
      <w:rFonts w:eastAsia="Calibri"/>
      <w:szCs w:val="22"/>
    </w:rPr>
  </w:style>
  <w:style w:type="paragraph" w:customStyle="1" w:styleId="FooterLandscape">
    <w:name w:val="FooterLandscape"/>
    <w:basedOn w:val="Normal"/>
    <w:qFormat/>
    <w:pPr>
      <w:tabs>
        <w:tab w:val="center" w:pos="7285"/>
        <w:tab w:val="center" w:pos="10913"/>
        <w:tab w:val="right" w:pos="15137"/>
      </w:tabs>
      <w:spacing w:before="360" w:after="0"/>
      <w:ind w:left="-567" w:right="-567"/>
      <w:jc w:val="left"/>
    </w:pPr>
  </w:style>
  <w:style w:type="paragraph" w:customStyle="1" w:styleId="Text2">
    <w:name w:val="Text 2"/>
    <w:basedOn w:val="Normal"/>
    <w:link w:val="Text2Car"/>
    <w:qFormat/>
    <w:pPr>
      <w:ind w:left="1417"/>
    </w:pPr>
  </w:style>
  <w:style w:type="character" w:customStyle="1" w:styleId="Text2Car">
    <w:name w:val="Text 2 Car"/>
    <w:link w:val="Text2"/>
    <w:qFormat/>
    <w:rPr>
      <w:rFonts w:ascii="Times New Roman" w:eastAsia="Times New Roman" w:hAnsi="Times New Roman" w:cs="Times New Roman"/>
      <w:sz w:val="24"/>
      <w:szCs w:val="24"/>
    </w:rPr>
  </w:style>
  <w:style w:type="paragraph" w:customStyle="1" w:styleId="Text3">
    <w:name w:val="Text 3"/>
    <w:basedOn w:val="Normal"/>
    <w:qFormat/>
    <w:pPr>
      <w:ind w:left="1984"/>
    </w:pPr>
  </w:style>
  <w:style w:type="paragraph" w:customStyle="1" w:styleId="Text4">
    <w:name w:val="Text 4"/>
    <w:basedOn w:val="Normal"/>
    <w:qFormat/>
    <w:pPr>
      <w:ind w:left="2551"/>
    </w:pPr>
  </w:style>
  <w:style w:type="paragraph" w:customStyle="1" w:styleId="NormalCentered">
    <w:name w:val="Normal Centered"/>
    <w:basedOn w:val="Normal"/>
    <w:qFormat/>
    <w:pPr>
      <w:jc w:val="center"/>
    </w:pPr>
  </w:style>
  <w:style w:type="paragraph" w:customStyle="1" w:styleId="NormalLeft">
    <w:name w:val="Normal Left"/>
    <w:basedOn w:val="Normal"/>
    <w:qFormat/>
    <w:pPr>
      <w:jc w:val="left"/>
    </w:pPr>
  </w:style>
  <w:style w:type="paragraph" w:customStyle="1" w:styleId="NormalRight">
    <w:name w:val="Normal Right"/>
    <w:basedOn w:val="Normal"/>
    <w:qFormat/>
    <w:pPr>
      <w:jc w:val="right"/>
    </w:pPr>
  </w:style>
  <w:style w:type="paragraph" w:customStyle="1" w:styleId="QuotedText">
    <w:name w:val="Quoted Text"/>
    <w:basedOn w:val="Normal"/>
    <w:qFormat/>
    <w:pPr>
      <w:ind w:left="1417"/>
    </w:pPr>
  </w:style>
  <w:style w:type="paragraph" w:customStyle="1" w:styleId="Point0">
    <w:name w:val="Point 0"/>
    <w:basedOn w:val="Normal"/>
    <w:qFormat/>
    <w:pPr>
      <w:ind w:left="850" w:hanging="850"/>
    </w:pPr>
  </w:style>
  <w:style w:type="paragraph" w:customStyle="1" w:styleId="Point1">
    <w:name w:val="Point 1"/>
    <w:basedOn w:val="Normal"/>
    <w:qFormat/>
    <w:pPr>
      <w:ind w:left="1417" w:hanging="567"/>
    </w:pPr>
  </w:style>
  <w:style w:type="paragraph" w:customStyle="1" w:styleId="Point2">
    <w:name w:val="Point 2"/>
    <w:basedOn w:val="Normal"/>
    <w:qFormat/>
    <w:pPr>
      <w:ind w:left="1984" w:hanging="567"/>
    </w:pPr>
  </w:style>
  <w:style w:type="paragraph" w:customStyle="1" w:styleId="Point3">
    <w:name w:val="Point 3"/>
    <w:basedOn w:val="Normal"/>
    <w:qFormat/>
    <w:pPr>
      <w:ind w:left="2551" w:hanging="567"/>
    </w:pPr>
  </w:style>
  <w:style w:type="paragraph" w:customStyle="1" w:styleId="Point4">
    <w:name w:val="Point 4"/>
    <w:basedOn w:val="Normal"/>
    <w:qFormat/>
    <w:pPr>
      <w:ind w:left="3118" w:hanging="567"/>
    </w:pPr>
  </w:style>
  <w:style w:type="paragraph" w:customStyle="1" w:styleId="Tiret0">
    <w:name w:val="Tiret 0"/>
    <w:basedOn w:val="Point0"/>
    <w:qFormat/>
    <w:pPr>
      <w:numPr>
        <w:numId w:val="6"/>
      </w:numPr>
      <w:tabs>
        <w:tab w:val="clear" w:pos="360"/>
        <w:tab w:val="left" w:pos="850"/>
      </w:tabs>
    </w:pPr>
  </w:style>
  <w:style w:type="paragraph" w:customStyle="1" w:styleId="Tiret1">
    <w:name w:val="Tiret 1"/>
    <w:basedOn w:val="Point1"/>
    <w:qFormat/>
    <w:pPr>
      <w:tabs>
        <w:tab w:val="left" w:pos="1417"/>
      </w:tabs>
    </w:pPr>
  </w:style>
  <w:style w:type="paragraph" w:customStyle="1" w:styleId="Tiret2">
    <w:name w:val="Tiret 2"/>
    <w:basedOn w:val="Point2"/>
    <w:qFormat/>
    <w:pPr>
      <w:numPr>
        <w:numId w:val="7"/>
      </w:numPr>
    </w:pPr>
  </w:style>
  <w:style w:type="paragraph" w:customStyle="1" w:styleId="Tiret3">
    <w:name w:val="Tiret 3"/>
    <w:basedOn w:val="Point3"/>
    <w:qFormat/>
    <w:pPr>
      <w:numPr>
        <w:numId w:val="8"/>
      </w:numPr>
    </w:pPr>
  </w:style>
  <w:style w:type="paragraph" w:customStyle="1" w:styleId="Tiret4">
    <w:name w:val="Tiret 4"/>
    <w:basedOn w:val="Point4"/>
    <w:qFormat/>
    <w:pPr>
      <w:numPr>
        <w:numId w:val="9"/>
      </w:numPr>
    </w:pPr>
  </w:style>
  <w:style w:type="paragraph" w:customStyle="1" w:styleId="PointDouble0">
    <w:name w:val="PointDouble 0"/>
    <w:basedOn w:val="Normal"/>
    <w:qFormat/>
    <w:pPr>
      <w:tabs>
        <w:tab w:val="left" w:pos="850"/>
      </w:tabs>
      <w:ind w:left="1417" w:hanging="1417"/>
    </w:pPr>
  </w:style>
  <w:style w:type="paragraph" w:customStyle="1" w:styleId="PointDouble1">
    <w:name w:val="PointDouble 1"/>
    <w:basedOn w:val="Normal"/>
    <w:qFormat/>
    <w:pPr>
      <w:tabs>
        <w:tab w:val="left" w:pos="1417"/>
      </w:tabs>
      <w:ind w:left="1984" w:hanging="1134"/>
    </w:pPr>
  </w:style>
  <w:style w:type="paragraph" w:customStyle="1" w:styleId="PointDouble2">
    <w:name w:val="PointDouble 2"/>
    <w:basedOn w:val="Normal"/>
    <w:qFormat/>
    <w:pPr>
      <w:tabs>
        <w:tab w:val="left" w:pos="1984"/>
      </w:tabs>
      <w:ind w:left="2551" w:hanging="1134"/>
    </w:pPr>
  </w:style>
  <w:style w:type="paragraph" w:customStyle="1" w:styleId="PointDouble3">
    <w:name w:val="PointDouble 3"/>
    <w:basedOn w:val="Normal"/>
    <w:qFormat/>
    <w:pPr>
      <w:tabs>
        <w:tab w:val="left" w:pos="2551"/>
      </w:tabs>
      <w:ind w:left="3118" w:hanging="1134"/>
    </w:pPr>
  </w:style>
  <w:style w:type="paragraph" w:customStyle="1" w:styleId="PointDouble4">
    <w:name w:val="PointDouble 4"/>
    <w:basedOn w:val="Normal"/>
    <w:qFormat/>
    <w:pPr>
      <w:tabs>
        <w:tab w:val="left" w:pos="3118"/>
      </w:tabs>
      <w:ind w:left="3685" w:hanging="1134"/>
    </w:pPr>
  </w:style>
  <w:style w:type="paragraph" w:customStyle="1" w:styleId="PointTriple0">
    <w:name w:val="PointTriple 0"/>
    <w:basedOn w:val="Normal"/>
    <w:qFormat/>
    <w:pPr>
      <w:tabs>
        <w:tab w:val="left" w:pos="850"/>
        <w:tab w:val="left" w:pos="1417"/>
      </w:tabs>
      <w:ind w:left="1984" w:hanging="1984"/>
    </w:pPr>
  </w:style>
  <w:style w:type="paragraph" w:customStyle="1" w:styleId="PointTriple1">
    <w:name w:val="PointTriple 1"/>
    <w:basedOn w:val="Normal"/>
    <w:qFormat/>
    <w:pPr>
      <w:tabs>
        <w:tab w:val="left" w:pos="1417"/>
        <w:tab w:val="left" w:pos="1984"/>
      </w:tabs>
      <w:ind w:left="2551" w:hanging="1701"/>
    </w:pPr>
  </w:style>
  <w:style w:type="paragraph" w:customStyle="1" w:styleId="PointTriple2">
    <w:name w:val="PointTriple 2"/>
    <w:basedOn w:val="Normal"/>
    <w:qFormat/>
    <w:pPr>
      <w:tabs>
        <w:tab w:val="left" w:pos="1984"/>
        <w:tab w:val="left" w:pos="2551"/>
      </w:tabs>
      <w:ind w:left="3118" w:hanging="1701"/>
    </w:pPr>
  </w:style>
  <w:style w:type="paragraph" w:customStyle="1" w:styleId="PointTriple3">
    <w:name w:val="PointTriple 3"/>
    <w:basedOn w:val="Normal"/>
    <w:qFormat/>
    <w:pPr>
      <w:tabs>
        <w:tab w:val="left" w:pos="2551"/>
        <w:tab w:val="left" w:pos="3118"/>
      </w:tabs>
      <w:ind w:left="3685" w:hanging="1701"/>
    </w:pPr>
  </w:style>
  <w:style w:type="paragraph" w:customStyle="1" w:styleId="PointTriple4">
    <w:name w:val="PointTriple 4"/>
    <w:basedOn w:val="Normal"/>
    <w:qFormat/>
    <w:pPr>
      <w:tabs>
        <w:tab w:val="left" w:pos="3118"/>
        <w:tab w:val="left" w:pos="3685"/>
      </w:tabs>
      <w:ind w:left="4252" w:hanging="1701"/>
    </w:pPr>
  </w:style>
  <w:style w:type="paragraph" w:customStyle="1" w:styleId="NumPar1">
    <w:name w:val="NumPar 1"/>
    <w:basedOn w:val="Normal"/>
    <w:next w:val="Text1"/>
    <w:qFormat/>
    <w:pPr>
      <w:numPr>
        <w:numId w:val="10"/>
      </w:numPr>
    </w:pPr>
  </w:style>
  <w:style w:type="paragraph" w:customStyle="1" w:styleId="NumPar2">
    <w:name w:val="NumPar 2"/>
    <w:basedOn w:val="Normal"/>
    <w:next w:val="Text1"/>
    <w:qFormat/>
    <w:pPr>
      <w:numPr>
        <w:ilvl w:val="1"/>
        <w:numId w:val="10"/>
      </w:numPr>
    </w:pPr>
  </w:style>
  <w:style w:type="paragraph" w:customStyle="1" w:styleId="NumPar3">
    <w:name w:val="NumPar 3"/>
    <w:basedOn w:val="Normal"/>
    <w:next w:val="Text1"/>
    <w:qFormat/>
    <w:pPr>
      <w:numPr>
        <w:ilvl w:val="2"/>
        <w:numId w:val="10"/>
      </w:numPr>
    </w:pPr>
  </w:style>
  <w:style w:type="paragraph" w:customStyle="1" w:styleId="NumPar4">
    <w:name w:val="NumPar 4"/>
    <w:basedOn w:val="Normal"/>
    <w:next w:val="Text1"/>
    <w:qFormat/>
    <w:pPr>
      <w:numPr>
        <w:ilvl w:val="3"/>
        <w:numId w:val="10"/>
      </w:numPr>
    </w:pPr>
  </w:style>
  <w:style w:type="paragraph" w:customStyle="1" w:styleId="ManualNumPar1">
    <w:name w:val="Manual NumPar 1"/>
    <w:basedOn w:val="Normal"/>
    <w:next w:val="Text1"/>
    <w:qFormat/>
    <w:pPr>
      <w:ind w:left="850" w:hanging="850"/>
    </w:pPr>
  </w:style>
  <w:style w:type="paragraph" w:customStyle="1" w:styleId="ManualNumPar2">
    <w:name w:val="Manual NumPar 2"/>
    <w:basedOn w:val="Normal"/>
    <w:next w:val="Text1"/>
    <w:qFormat/>
    <w:pPr>
      <w:ind w:left="850" w:hanging="850"/>
    </w:pPr>
  </w:style>
  <w:style w:type="paragraph" w:customStyle="1" w:styleId="ManualNumPar3">
    <w:name w:val="Manual NumPar 3"/>
    <w:basedOn w:val="Normal"/>
    <w:next w:val="Text1"/>
    <w:qFormat/>
    <w:pPr>
      <w:ind w:left="850" w:hanging="850"/>
    </w:pPr>
  </w:style>
  <w:style w:type="paragraph" w:customStyle="1" w:styleId="ManualNumPar4">
    <w:name w:val="Manual NumPar 4"/>
    <w:basedOn w:val="Normal"/>
    <w:next w:val="Text1"/>
    <w:qFormat/>
    <w:pPr>
      <w:ind w:left="850" w:hanging="850"/>
    </w:pPr>
  </w:style>
  <w:style w:type="paragraph" w:customStyle="1" w:styleId="QuotedNumPar">
    <w:name w:val="Quoted NumPar"/>
    <w:basedOn w:val="Normal"/>
    <w:qFormat/>
    <w:pPr>
      <w:ind w:left="1417" w:hanging="567"/>
    </w:pPr>
  </w:style>
  <w:style w:type="paragraph" w:customStyle="1" w:styleId="ManualHeading1">
    <w:name w:val="Manual Heading 1"/>
    <w:basedOn w:val="Normal"/>
    <w:next w:val="Text1"/>
    <w:qFormat/>
    <w:pPr>
      <w:keepNext/>
      <w:tabs>
        <w:tab w:val="left" w:pos="850"/>
      </w:tabs>
      <w:spacing w:before="360"/>
      <w:ind w:left="850" w:hanging="850"/>
      <w:outlineLvl w:val="0"/>
    </w:pPr>
    <w:rPr>
      <w:b/>
      <w:smallCaps/>
    </w:rPr>
  </w:style>
  <w:style w:type="paragraph" w:customStyle="1" w:styleId="ManualHeading2">
    <w:name w:val="Manual Heading 2"/>
    <w:basedOn w:val="Normal"/>
    <w:next w:val="Text1"/>
    <w:qFormat/>
    <w:pPr>
      <w:keepNext/>
      <w:tabs>
        <w:tab w:val="left" w:pos="850"/>
      </w:tabs>
      <w:ind w:left="850" w:hanging="850"/>
      <w:outlineLvl w:val="1"/>
    </w:pPr>
    <w:rPr>
      <w:b/>
    </w:rPr>
  </w:style>
  <w:style w:type="paragraph" w:customStyle="1" w:styleId="ManualHeading3">
    <w:name w:val="Manual Heading 3"/>
    <w:basedOn w:val="Normal"/>
    <w:next w:val="Text1"/>
    <w:qFormat/>
    <w:pPr>
      <w:keepNext/>
      <w:tabs>
        <w:tab w:val="left" w:pos="850"/>
      </w:tabs>
      <w:ind w:left="850" w:hanging="850"/>
      <w:outlineLvl w:val="2"/>
    </w:pPr>
    <w:rPr>
      <w:i/>
    </w:rPr>
  </w:style>
  <w:style w:type="paragraph" w:customStyle="1" w:styleId="ManualHeading4">
    <w:name w:val="Manual Heading 4"/>
    <w:basedOn w:val="Normal"/>
    <w:next w:val="Text1"/>
    <w:qFormat/>
    <w:pPr>
      <w:keepNext/>
      <w:tabs>
        <w:tab w:val="left" w:pos="850"/>
      </w:tabs>
      <w:ind w:left="850" w:hanging="850"/>
      <w:outlineLvl w:val="3"/>
    </w:pPr>
  </w:style>
  <w:style w:type="paragraph" w:customStyle="1" w:styleId="ChapterTitle">
    <w:name w:val="ChapterTitle"/>
    <w:basedOn w:val="Normal"/>
    <w:next w:val="Normal"/>
    <w:qFormat/>
    <w:pPr>
      <w:keepNext/>
      <w:spacing w:after="360"/>
      <w:jc w:val="center"/>
    </w:pPr>
    <w:rPr>
      <w:b/>
      <w:sz w:val="32"/>
    </w:rPr>
  </w:style>
  <w:style w:type="paragraph" w:customStyle="1" w:styleId="PartTitle">
    <w:name w:val="PartTitle"/>
    <w:basedOn w:val="Normal"/>
    <w:next w:val="ChapterTitle"/>
    <w:qFormat/>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qFormat/>
    <w:pPr>
      <w:jc w:val="center"/>
    </w:pPr>
    <w:rPr>
      <w:b/>
    </w:rPr>
  </w:style>
  <w:style w:type="character" w:customStyle="1" w:styleId="Marker">
    <w:name w:val="Marker"/>
    <w:qFormat/>
    <w:rPr>
      <w:color w:val="0000FF"/>
      <w:shd w:val="clear" w:color="auto" w:fill="auto"/>
    </w:rPr>
  </w:style>
  <w:style w:type="character" w:customStyle="1" w:styleId="Marker1">
    <w:name w:val="Marker1"/>
    <w:qFormat/>
    <w:rPr>
      <w:color w:val="008000"/>
      <w:shd w:val="clear" w:color="auto" w:fill="auto"/>
    </w:rPr>
  </w:style>
  <w:style w:type="character" w:customStyle="1" w:styleId="Marker2">
    <w:name w:val="Marker2"/>
    <w:qFormat/>
    <w:rPr>
      <w:color w:val="FF0000"/>
      <w:shd w:val="clear" w:color="auto" w:fill="auto"/>
    </w:rPr>
  </w:style>
  <w:style w:type="paragraph" w:customStyle="1" w:styleId="Kopvaninhoudsopgave">
    <w:name w:val="Kop van inhoudsopgave"/>
    <w:basedOn w:val="Normal"/>
    <w:next w:val="Normal"/>
    <w:uiPriority w:val="39"/>
    <w:qFormat/>
    <w:pPr>
      <w:spacing w:after="240"/>
      <w:jc w:val="center"/>
    </w:pPr>
    <w:rPr>
      <w:b/>
      <w:sz w:val="28"/>
    </w:rPr>
  </w:style>
  <w:style w:type="paragraph" w:customStyle="1" w:styleId="Point0number">
    <w:name w:val="Point 0 (number)"/>
    <w:basedOn w:val="Normal"/>
    <w:qFormat/>
    <w:pPr>
      <w:tabs>
        <w:tab w:val="left" w:pos="850"/>
        <w:tab w:val="left" w:pos="1417"/>
      </w:tabs>
      <w:ind w:left="850" w:hanging="850"/>
    </w:pPr>
  </w:style>
  <w:style w:type="paragraph" w:customStyle="1" w:styleId="Point1number">
    <w:name w:val="Point 1 (number)"/>
    <w:basedOn w:val="Normal"/>
    <w:qFormat/>
    <w:pPr>
      <w:numPr>
        <w:ilvl w:val="2"/>
        <w:numId w:val="11"/>
      </w:numPr>
    </w:pPr>
  </w:style>
  <w:style w:type="paragraph" w:customStyle="1" w:styleId="Point2number">
    <w:name w:val="Point 2 (number)"/>
    <w:basedOn w:val="Normal"/>
    <w:qFormat/>
    <w:pPr>
      <w:numPr>
        <w:ilvl w:val="4"/>
        <w:numId w:val="11"/>
      </w:numPr>
      <w:tabs>
        <w:tab w:val="left" w:pos="1984"/>
      </w:tabs>
      <w:ind w:left="1984"/>
    </w:pPr>
  </w:style>
  <w:style w:type="paragraph" w:customStyle="1" w:styleId="Point3number">
    <w:name w:val="Point 3 (number)"/>
    <w:basedOn w:val="Normal"/>
    <w:qFormat/>
    <w:pPr>
      <w:numPr>
        <w:ilvl w:val="6"/>
        <w:numId w:val="11"/>
      </w:numPr>
      <w:tabs>
        <w:tab w:val="left" w:pos="2551"/>
      </w:tabs>
      <w:ind w:left="2551"/>
    </w:pPr>
  </w:style>
  <w:style w:type="paragraph" w:customStyle="1" w:styleId="Point0letter">
    <w:name w:val="Point 0 (letter)"/>
    <w:basedOn w:val="Normal"/>
    <w:qFormat/>
    <w:pPr>
      <w:numPr>
        <w:ilvl w:val="1"/>
        <w:numId w:val="11"/>
      </w:numPr>
      <w:tabs>
        <w:tab w:val="left" w:pos="850"/>
      </w:tabs>
      <w:ind w:left="850" w:hanging="850"/>
    </w:pPr>
  </w:style>
  <w:style w:type="paragraph" w:customStyle="1" w:styleId="Point1letter">
    <w:name w:val="Point 1 (letter)"/>
    <w:basedOn w:val="Normal"/>
    <w:qFormat/>
    <w:pPr>
      <w:numPr>
        <w:ilvl w:val="3"/>
        <w:numId w:val="11"/>
      </w:numPr>
    </w:pPr>
  </w:style>
  <w:style w:type="paragraph" w:customStyle="1" w:styleId="Point2letter">
    <w:name w:val="Point 2 (letter)"/>
    <w:basedOn w:val="Normal"/>
    <w:qFormat/>
    <w:pPr>
      <w:numPr>
        <w:ilvl w:val="5"/>
        <w:numId w:val="11"/>
      </w:numPr>
      <w:tabs>
        <w:tab w:val="left" w:pos="1984"/>
      </w:tabs>
      <w:ind w:left="1984"/>
    </w:pPr>
  </w:style>
  <w:style w:type="paragraph" w:customStyle="1" w:styleId="Point3letter">
    <w:name w:val="Point 3 (letter)"/>
    <w:basedOn w:val="Normal"/>
    <w:qFormat/>
    <w:pPr>
      <w:numPr>
        <w:ilvl w:val="7"/>
        <w:numId w:val="11"/>
      </w:numPr>
      <w:tabs>
        <w:tab w:val="left" w:pos="2551"/>
      </w:tabs>
      <w:ind w:left="2551"/>
    </w:pPr>
  </w:style>
  <w:style w:type="paragraph" w:customStyle="1" w:styleId="Point4letter">
    <w:name w:val="Point 4 (letter)"/>
    <w:basedOn w:val="Normal"/>
    <w:qFormat/>
    <w:pPr>
      <w:tabs>
        <w:tab w:val="left" w:pos="1417"/>
        <w:tab w:val="left" w:pos="3118"/>
      </w:tabs>
      <w:ind w:left="3118" w:hanging="567"/>
    </w:pPr>
  </w:style>
  <w:style w:type="paragraph" w:customStyle="1" w:styleId="Bullet0">
    <w:name w:val="Bullet 0"/>
    <w:basedOn w:val="Normal"/>
    <w:qFormat/>
    <w:pPr>
      <w:numPr>
        <w:numId w:val="12"/>
      </w:numPr>
    </w:pPr>
  </w:style>
  <w:style w:type="paragraph" w:customStyle="1" w:styleId="Bullet1">
    <w:name w:val="Bullet 1"/>
    <w:basedOn w:val="Normal"/>
    <w:qFormat/>
    <w:pPr>
      <w:numPr>
        <w:numId w:val="13"/>
      </w:numPr>
    </w:pPr>
  </w:style>
  <w:style w:type="paragraph" w:customStyle="1" w:styleId="Bullet2">
    <w:name w:val="Bullet 2"/>
    <w:basedOn w:val="Normal"/>
    <w:qFormat/>
    <w:pPr>
      <w:numPr>
        <w:numId w:val="14"/>
      </w:numPr>
    </w:pPr>
  </w:style>
  <w:style w:type="paragraph" w:customStyle="1" w:styleId="Bullet3">
    <w:name w:val="Bullet 3"/>
    <w:basedOn w:val="Normal"/>
    <w:qFormat/>
    <w:pPr>
      <w:numPr>
        <w:numId w:val="15"/>
      </w:numPr>
    </w:pPr>
  </w:style>
  <w:style w:type="paragraph" w:customStyle="1" w:styleId="Bullet4">
    <w:name w:val="Bullet 4"/>
    <w:basedOn w:val="Normal"/>
    <w:qFormat/>
    <w:pPr>
      <w:numPr>
        <w:numId w:val="16"/>
      </w:numPr>
    </w:pPr>
  </w:style>
  <w:style w:type="paragraph" w:customStyle="1" w:styleId="Annexetitreexpos">
    <w:name w:val="Annexe titre (exposé)"/>
    <w:basedOn w:val="Normal"/>
    <w:next w:val="Normal"/>
    <w:qFormat/>
    <w:pPr>
      <w:jc w:val="center"/>
    </w:pPr>
    <w:rPr>
      <w:b/>
      <w:u w:val="single"/>
    </w:rPr>
  </w:style>
  <w:style w:type="paragraph" w:customStyle="1" w:styleId="Annexetitre">
    <w:name w:val="Annexe titre"/>
    <w:basedOn w:val="Normal"/>
    <w:next w:val="Normal"/>
    <w:qFormat/>
    <w:pPr>
      <w:jc w:val="center"/>
    </w:pPr>
    <w:rPr>
      <w:b/>
      <w:u w:val="single"/>
    </w:rPr>
  </w:style>
  <w:style w:type="paragraph" w:customStyle="1" w:styleId="Annexetitrefichefinancire">
    <w:name w:val="Annexe titre (fiche financière)"/>
    <w:basedOn w:val="Normal"/>
    <w:next w:val="Normal"/>
    <w:qFormat/>
    <w:pPr>
      <w:jc w:val="center"/>
    </w:pPr>
    <w:rPr>
      <w:b/>
      <w:u w:val="single"/>
    </w:rPr>
  </w:style>
  <w:style w:type="paragraph" w:customStyle="1" w:styleId="Applicationdirecte">
    <w:name w:val="Application directe"/>
    <w:basedOn w:val="Normal"/>
    <w:next w:val="Fait"/>
    <w:qFormat/>
    <w:pPr>
      <w:spacing w:before="480"/>
    </w:pPr>
  </w:style>
  <w:style w:type="paragraph" w:customStyle="1" w:styleId="Fait">
    <w:name w:val="Fait à"/>
    <w:basedOn w:val="Normal"/>
    <w:next w:val="Institutionquisigne"/>
    <w:qFormat/>
    <w:pPr>
      <w:keepNext/>
      <w:spacing w:after="0"/>
    </w:pPr>
  </w:style>
  <w:style w:type="paragraph" w:customStyle="1" w:styleId="Institutionquisigne">
    <w:name w:val="Institution qui signe"/>
    <w:basedOn w:val="Normal"/>
    <w:next w:val="Personnequisigne"/>
    <w:qFormat/>
    <w:pPr>
      <w:keepNext/>
      <w:tabs>
        <w:tab w:val="left" w:pos="4252"/>
      </w:tabs>
      <w:spacing w:before="720" w:after="0"/>
    </w:pPr>
    <w:rPr>
      <w:i/>
    </w:rPr>
  </w:style>
  <w:style w:type="paragraph" w:customStyle="1" w:styleId="Personnequisigne">
    <w:name w:val="Personne qui signe"/>
    <w:basedOn w:val="Normal"/>
    <w:next w:val="Institutionquisigne"/>
    <w:qFormat/>
    <w:pPr>
      <w:tabs>
        <w:tab w:val="left" w:pos="4252"/>
      </w:tabs>
      <w:spacing w:before="0" w:after="0"/>
      <w:jc w:val="left"/>
    </w:pPr>
    <w:rPr>
      <w:i/>
    </w:rPr>
  </w:style>
  <w:style w:type="paragraph" w:customStyle="1" w:styleId="Avertissementtitre">
    <w:name w:val="Avertissement titre"/>
    <w:basedOn w:val="Normal"/>
    <w:next w:val="Normal"/>
    <w:qFormat/>
    <w:pPr>
      <w:keepNext/>
      <w:spacing w:before="480"/>
    </w:pPr>
    <w:rPr>
      <w:u w:val="single"/>
    </w:rPr>
  </w:style>
  <w:style w:type="paragraph" w:customStyle="1" w:styleId="Confidence">
    <w:name w:val="Confidence"/>
    <w:basedOn w:val="Normal"/>
    <w:next w:val="Normal"/>
    <w:qFormat/>
    <w:pPr>
      <w:spacing w:before="360"/>
      <w:jc w:val="center"/>
    </w:pPr>
  </w:style>
  <w:style w:type="paragraph" w:customStyle="1" w:styleId="Confidentialit">
    <w:name w:val="Confidentialité"/>
    <w:basedOn w:val="Normal"/>
    <w:next w:val="TypedudocumentPagedecouverture"/>
    <w:qFormat/>
    <w:pPr>
      <w:spacing w:before="240" w:after="240"/>
      <w:ind w:left="5103"/>
    </w:pPr>
    <w:rPr>
      <w:i/>
      <w:sz w:val="32"/>
    </w:rPr>
  </w:style>
  <w:style w:type="paragraph" w:customStyle="1" w:styleId="TypedudocumentPagedecouverture">
    <w:name w:val="Type du document (Page de couverture)"/>
    <w:basedOn w:val="Typedudocument"/>
    <w:next w:val="TitreobjetPagedecouverture"/>
    <w:qFormat/>
  </w:style>
  <w:style w:type="paragraph" w:customStyle="1" w:styleId="Typedudocument">
    <w:name w:val="Type du document"/>
    <w:basedOn w:val="Normal"/>
    <w:next w:val="Titreobjet"/>
    <w:qFormat/>
    <w:pPr>
      <w:spacing w:before="360" w:after="0"/>
      <w:jc w:val="center"/>
    </w:pPr>
    <w:rPr>
      <w:b/>
    </w:rPr>
  </w:style>
  <w:style w:type="paragraph" w:customStyle="1" w:styleId="Titreobjet">
    <w:name w:val="Titre objet"/>
    <w:basedOn w:val="Normal"/>
    <w:next w:val="Sous-titreobjet"/>
    <w:qFormat/>
    <w:pPr>
      <w:spacing w:before="360" w:after="360"/>
      <w:jc w:val="center"/>
    </w:pPr>
    <w:rPr>
      <w:b/>
    </w:rPr>
  </w:style>
  <w:style w:type="paragraph" w:customStyle="1" w:styleId="Sous-titreobjet">
    <w:name w:val="Sous-titre objet"/>
    <w:basedOn w:val="Normal"/>
    <w:qFormat/>
    <w:pPr>
      <w:spacing w:before="0" w:after="0"/>
      <w:jc w:val="center"/>
    </w:pPr>
    <w:rPr>
      <w:b/>
    </w:rPr>
  </w:style>
  <w:style w:type="paragraph" w:customStyle="1" w:styleId="TitreobjetPagedecouverture">
    <w:name w:val="Titre objet (Page de couverture)"/>
    <w:basedOn w:val="Titreobjet"/>
    <w:next w:val="Sous-titreobjetPagedecouverture"/>
    <w:qFormat/>
  </w:style>
  <w:style w:type="paragraph" w:customStyle="1" w:styleId="Sous-titreobjetPagedecouverture">
    <w:name w:val="Sous-titre objet (Page de couverture)"/>
    <w:basedOn w:val="Sous-titreobjet"/>
    <w:qFormat/>
  </w:style>
  <w:style w:type="paragraph" w:customStyle="1" w:styleId="Considrant">
    <w:name w:val="Considérant"/>
    <w:basedOn w:val="Normal"/>
    <w:qFormat/>
    <w:pPr>
      <w:numPr>
        <w:numId w:val="1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qFormat/>
    <w:pPr>
      <w:spacing w:before="360" w:after="0"/>
      <w:jc w:val="center"/>
    </w:pPr>
    <w:rPr>
      <w:b/>
    </w:rPr>
  </w:style>
  <w:style w:type="paragraph" w:customStyle="1" w:styleId="Emission">
    <w:name w:val="Emission"/>
    <w:basedOn w:val="Normal"/>
    <w:next w:val="Rfrenceinstitutionnelle"/>
    <w:qFormat/>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Exposdesmotifstitre">
    <w:name w:val="Exposé des motifs titre"/>
    <w:basedOn w:val="Normal"/>
    <w:next w:val="Normal"/>
    <w:qFormat/>
    <w:pPr>
      <w:jc w:val="center"/>
    </w:pPr>
    <w:rPr>
      <w:b/>
      <w:u w:val="single"/>
    </w:rPr>
  </w:style>
  <w:style w:type="paragraph" w:customStyle="1" w:styleId="Formuledadoption">
    <w:name w:val="Formule d'adoption"/>
    <w:basedOn w:val="Normal"/>
    <w:next w:val="Titrearticle"/>
    <w:qFormat/>
    <w:pPr>
      <w:keepNext/>
    </w:pPr>
  </w:style>
  <w:style w:type="paragraph" w:customStyle="1" w:styleId="Titrearticle">
    <w:name w:val="Titre article"/>
    <w:basedOn w:val="Normal"/>
    <w:next w:val="Normal"/>
    <w:qFormat/>
    <w:pPr>
      <w:keepNext/>
      <w:spacing w:before="360"/>
      <w:jc w:val="center"/>
    </w:pPr>
    <w:rPr>
      <w:i/>
    </w:rPr>
  </w:style>
  <w:style w:type="paragraph" w:customStyle="1" w:styleId="Institutionquiagit">
    <w:name w:val="Institution qui agit"/>
    <w:basedOn w:val="Normal"/>
    <w:next w:val="Normal"/>
    <w:qFormat/>
    <w:pPr>
      <w:keepNext/>
      <w:spacing w:before="600"/>
    </w:pPr>
  </w:style>
  <w:style w:type="paragraph" w:customStyle="1" w:styleId="Langue">
    <w:name w:val="Langue"/>
    <w:basedOn w:val="Normal"/>
    <w:next w:val="Rfrenceinterne"/>
    <w:qFormat/>
    <w:pPr>
      <w:framePr w:wrap="around" w:vAnchor="page" w:hAnchor="text" w:xAlign="center" w:y="14741"/>
      <w:spacing w:before="0" w:after="600"/>
      <w:jc w:val="center"/>
    </w:pPr>
    <w:rPr>
      <w:b/>
      <w:caps/>
    </w:rPr>
  </w:style>
  <w:style w:type="paragraph" w:customStyle="1" w:styleId="Rfrenceinterne">
    <w:name w:val="Référence interne"/>
    <w:basedOn w:val="Normal"/>
    <w:next w:val="Rfrenceinterinstitutionnelle"/>
    <w:qFormat/>
    <w:pPr>
      <w:spacing w:before="0" w:after="0"/>
      <w:ind w:left="5103"/>
      <w:jc w:val="left"/>
    </w:pPr>
  </w:style>
  <w:style w:type="paragraph" w:customStyle="1" w:styleId="Rfrenceinterinstitutionnelle">
    <w:name w:val="Référence interinstitutionnelle"/>
    <w:basedOn w:val="Normal"/>
    <w:next w:val="Statut"/>
    <w:qFormat/>
    <w:pPr>
      <w:spacing w:before="0" w:after="0"/>
      <w:ind w:left="5103"/>
      <w:jc w:val="left"/>
    </w:pPr>
  </w:style>
  <w:style w:type="paragraph" w:customStyle="1" w:styleId="Statut">
    <w:name w:val="Statut"/>
    <w:basedOn w:val="Normal"/>
    <w:next w:val="Typedudocument"/>
    <w:qFormat/>
    <w:pPr>
      <w:spacing w:before="360" w:after="0"/>
      <w:jc w:val="center"/>
    </w:pPr>
  </w:style>
  <w:style w:type="paragraph" w:customStyle="1" w:styleId="ManualConsidrant">
    <w:name w:val="Manual Considérant"/>
    <w:basedOn w:val="Normal"/>
    <w:qFormat/>
    <w:pPr>
      <w:ind w:left="709" w:hanging="709"/>
    </w:pPr>
  </w:style>
  <w:style w:type="paragraph" w:customStyle="1" w:styleId="Nomdelinstitution">
    <w:name w:val="Nom de l'institution"/>
    <w:basedOn w:val="Normal"/>
    <w:next w:val="Emission"/>
    <w:qFormat/>
    <w:pPr>
      <w:spacing w:before="0" w:after="0"/>
      <w:jc w:val="left"/>
    </w:pPr>
    <w:rPr>
      <w:rFonts w:ascii="Arial" w:hAnsi="Arial" w:cs="Arial"/>
    </w:rPr>
  </w:style>
  <w:style w:type="character" w:customStyle="1" w:styleId="Added">
    <w:name w:val="Added"/>
    <w:qFormat/>
    <w:rPr>
      <w:b/>
      <w:u w:val="single"/>
      <w:shd w:val="clear" w:color="auto" w:fill="auto"/>
    </w:rPr>
  </w:style>
  <w:style w:type="character" w:customStyle="1" w:styleId="Deleted">
    <w:name w:val="Deleted"/>
    <w:qFormat/>
    <w:rPr>
      <w:strike/>
      <w:shd w:val="clear" w:color="auto" w:fill="auto"/>
    </w:rPr>
  </w:style>
  <w:style w:type="paragraph" w:customStyle="1" w:styleId="Address">
    <w:name w:val="Address"/>
    <w:basedOn w:val="Normal"/>
    <w:next w:val="Normal"/>
    <w:qFormat/>
    <w:pPr>
      <w:keepLines/>
      <w:spacing w:line="360" w:lineRule="auto"/>
      <w:ind w:left="3402"/>
      <w:jc w:val="left"/>
    </w:pPr>
  </w:style>
  <w:style w:type="paragraph" w:customStyle="1" w:styleId="Objetexterne">
    <w:name w:val="Objet externe"/>
    <w:basedOn w:val="Normal"/>
    <w:next w:val="Normal"/>
    <w:qFormat/>
    <w:rPr>
      <w:i/>
      <w:caps/>
    </w:rPr>
  </w:style>
  <w:style w:type="paragraph" w:customStyle="1" w:styleId="Pagedecouverture">
    <w:name w:val="Page de couverture"/>
    <w:basedOn w:val="Normal"/>
    <w:next w:val="Normal"/>
    <w:qFormat/>
    <w:pPr>
      <w:spacing w:before="0" w:after="0"/>
    </w:pPr>
  </w:style>
  <w:style w:type="paragraph" w:customStyle="1" w:styleId="Supertitre">
    <w:name w:val="Supertitre"/>
    <w:basedOn w:val="Normal"/>
    <w:next w:val="Normal"/>
    <w:qFormat/>
    <w:pPr>
      <w:spacing w:before="0" w:after="600"/>
      <w:jc w:val="center"/>
    </w:pPr>
    <w:rPr>
      <w:b/>
    </w:rPr>
  </w:style>
  <w:style w:type="paragraph" w:customStyle="1" w:styleId="Languesfaisantfoi">
    <w:name w:val="Langues faisant foi"/>
    <w:basedOn w:val="Normal"/>
    <w:next w:val="Normal"/>
    <w:qFormat/>
    <w:pPr>
      <w:spacing w:before="360" w:after="0"/>
      <w:jc w:val="center"/>
    </w:pPr>
  </w:style>
  <w:style w:type="paragraph" w:customStyle="1" w:styleId="Rfrencecroise">
    <w:name w:val="Référence croisée"/>
    <w:basedOn w:val="Normal"/>
    <w:qFormat/>
    <w:pPr>
      <w:spacing w:before="0" w:after="0"/>
      <w:jc w:val="center"/>
    </w:pPr>
  </w:style>
  <w:style w:type="paragraph" w:customStyle="1" w:styleId="Fichefinanciretitre">
    <w:name w:val="Fiche financière titre"/>
    <w:basedOn w:val="Normal"/>
    <w:next w:val="Normal"/>
    <w:qFormat/>
    <w:pPr>
      <w:jc w:val="center"/>
    </w:pPr>
    <w:rPr>
      <w:b/>
      <w:u w:val="single"/>
    </w:rPr>
  </w:style>
  <w:style w:type="paragraph" w:customStyle="1" w:styleId="DatedadoptionPagedecouverture">
    <w:name w:val="Date d'adoption (Page de couverture)"/>
    <w:basedOn w:val="Datedadoption"/>
    <w:next w:val="TitreobjetPagedecouverture"/>
    <w:qFormat/>
  </w:style>
  <w:style w:type="paragraph" w:customStyle="1" w:styleId="RfrenceinterinstitutionnellePagedecouverture">
    <w:name w:val="Référence interinstitutionnelle (Page de couverture)"/>
    <w:basedOn w:val="Rfrenceinterinstitutionnelle"/>
    <w:next w:val="Confidentialit"/>
    <w:qFormat/>
  </w:style>
  <w:style w:type="paragraph" w:customStyle="1" w:styleId="StatutPagedecouverture">
    <w:name w:val="Statut (Page de couverture)"/>
    <w:basedOn w:val="Statut"/>
    <w:next w:val="TypedudocumentPagedecouverture"/>
    <w:qFormat/>
  </w:style>
  <w:style w:type="paragraph" w:customStyle="1" w:styleId="Volume">
    <w:name w:val="Volume"/>
    <w:basedOn w:val="Normal"/>
    <w:next w:val="Confidentialit"/>
    <w:qFormat/>
    <w:pPr>
      <w:spacing w:before="0" w:after="240"/>
      <w:ind w:left="5103"/>
      <w:jc w:val="left"/>
    </w:pPr>
  </w:style>
  <w:style w:type="paragraph" w:customStyle="1" w:styleId="IntrtEEE">
    <w:name w:val="Intérêt EEE"/>
    <w:basedOn w:val="Languesfaisantfoi"/>
    <w:next w:val="Normal"/>
    <w:qFormat/>
    <w:pPr>
      <w:spacing w:after="240"/>
    </w:pPr>
  </w:style>
  <w:style w:type="paragraph" w:customStyle="1" w:styleId="Accompagnant">
    <w:name w:val="Accompagnant"/>
    <w:basedOn w:val="Normal"/>
    <w:next w:val="Typeacteprincipal"/>
    <w:qFormat/>
    <w:pPr>
      <w:spacing w:before="0" w:after="240"/>
      <w:jc w:val="center"/>
    </w:pPr>
    <w:rPr>
      <w:b/>
      <w:i/>
    </w:rPr>
  </w:style>
  <w:style w:type="paragraph" w:customStyle="1" w:styleId="Typeacteprincipal">
    <w:name w:val="Type acte principal"/>
    <w:basedOn w:val="Normal"/>
    <w:next w:val="Objetacteprincipal"/>
    <w:qFormat/>
    <w:pPr>
      <w:spacing w:before="0" w:after="240"/>
      <w:jc w:val="center"/>
    </w:pPr>
    <w:rPr>
      <w:b/>
    </w:rPr>
  </w:style>
  <w:style w:type="paragraph" w:customStyle="1" w:styleId="Objetacteprincipal">
    <w:name w:val="Objet acte principal"/>
    <w:basedOn w:val="Normal"/>
    <w:next w:val="Titrearticle"/>
    <w:qFormat/>
    <w:pPr>
      <w:spacing w:before="0" w:after="360"/>
      <w:jc w:val="center"/>
    </w:pPr>
    <w:rPr>
      <w:b/>
    </w:rPr>
  </w:style>
  <w:style w:type="paragraph" w:customStyle="1" w:styleId="IntrtEEEPagedecouverture">
    <w:name w:val="Intérêt EEE (Page de couverture)"/>
    <w:basedOn w:val="IntrtEEE"/>
    <w:next w:val="Rfrencecroise"/>
    <w:qFormat/>
  </w:style>
  <w:style w:type="paragraph" w:customStyle="1" w:styleId="AccompagnantPagedecouverture">
    <w:name w:val="Accompagnant (Page de couverture)"/>
    <w:basedOn w:val="Accompagnant"/>
    <w:next w:val="TypeacteprincipalPagedecouverture"/>
    <w:qFormat/>
  </w:style>
  <w:style w:type="paragraph" w:customStyle="1" w:styleId="TypeacteprincipalPagedecouverture">
    <w:name w:val="Type acte principal (Page de couverture)"/>
    <w:basedOn w:val="Typeacteprincipal"/>
    <w:next w:val="ObjetacteprincipalPagedecouverture"/>
    <w:qFormat/>
  </w:style>
  <w:style w:type="paragraph" w:customStyle="1" w:styleId="ObjetacteprincipalPagedecouverture">
    <w:name w:val="Objet acte principal (Page de couverture)"/>
    <w:basedOn w:val="Objetacteprincipal"/>
    <w:next w:val="Rfrencecroise"/>
    <w:qFormat/>
  </w:style>
  <w:style w:type="paragraph" w:customStyle="1" w:styleId="LanguesfaisantfoiPagedecouverture">
    <w:name w:val="Langues faisant foi (Page de couverture)"/>
    <w:basedOn w:val="Normal"/>
    <w:next w:val="Normal"/>
    <w:qFormat/>
    <w:pPr>
      <w:spacing w:before="360" w:after="0"/>
      <w:jc w:val="center"/>
    </w:pPr>
  </w:style>
  <w:style w:type="paragraph" w:customStyle="1" w:styleId="TOCHeading1">
    <w:name w:val="TOC Heading1"/>
    <w:basedOn w:val="Heading1"/>
    <w:next w:val="Normal"/>
    <w:uiPriority w:val="39"/>
    <w:unhideWhenUsed/>
    <w:qFormat/>
    <w:pPr>
      <w:numPr>
        <w:numId w:val="0"/>
      </w:numPr>
      <w:spacing w:before="240" w:after="60"/>
      <w:outlineLvl w:val="9"/>
    </w:pPr>
    <w:rPr>
      <w:rFonts w:ascii="Cambria" w:hAnsi="Cambria"/>
      <w:smallCaps w:val="0"/>
      <w:kern w:val="32"/>
      <w:sz w:val="32"/>
    </w:rPr>
  </w:style>
  <w:style w:type="paragraph" w:customStyle="1" w:styleId="Fichedinformationtitre">
    <w:name w:val="Fiche d'information titre"/>
    <w:basedOn w:val="Normal"/>
    <w:next w:val="Normal"/>
    <w:qFormat/>
    <w:pPr>
      <w:jc w:val="center"/>
    </w:pPr>
    <w:rPr>
      <w:b/>
      <w:u w:val="single"/>
    </w:rPr>
  </w:style>
  <w:style w:type="paragraph" w:customStyle="1" w:styleId="ListDash1">
    <w:name w:val="List Dash 1"/>
    <w:basedOn w:val="Normal"/>
    <w:qFormat/>
    <w:pPr>
      <w:numPr>
        <w:numId w:val="18"/>
      </w:numPr>
    </w:pPr>
    <w:rPr>
      <w:lang w:eastAsia="de-DE"/>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sz w:val="24"/>
      <w:szCs w:val="24"/>
    </w:rPr>
  </w:style>
  <w:style w:type="paragraph" w:customStyle="1" w:styleId="ListNumber2Level2">
    <w:name w:val="List Number 2 (Level 2)"/>
    <w:basedOn w:val="Text2"/>
    <w:qFormat/>
    <w:pPr>
      <w:numPr>
        <w:ilvl w:val="1"/>
        <w:numId w:val="5"/>
      </w:numPr>
    </w:pPr>
    <w:rPr>
      <w:lang w:eastAsia="de-DE"/>
    </w:rPr>
  </w:style>
  <w:style w:type="paragraph" w:customStyle="1" w:styleId="ListNumber2Level3">
    <w:name w:val="List Number 2 (Level 3)"/>
    <w:basedOn w:val="Text2"/>
    <w:qFormat/>
    <w:pPr>
      <w:numPr>
        <w:ilvl w:val="2"/>
        <w:numId w:val="5"/>
      </w:numPr>
    </w:pPr>
    <w:rPr>
      <w:lang w:eastAsia="de-DE"/>
    </w:rPr>
  </w:style>
  <w:style w:type="paragraph" w:customStyle="1" w:styleId="ListNumber2Level4">
    <w:name w:val="List Number 2 (Level 4)"/>
    <w:basedOn w:val="Text2"/>
    <w:qFormat/>
    <w:pPr>
      <w:tabs>
        <w:tab w:val="left" w:pos="3686"/>
      </w:tabs>
      <w:ind w:left="3686" w:hanging="709"/>
    </w:pPr>
    <w:rPr>
      <w:lang w:eastAsia="de-DE"/>
    </w:rPr>
  </w:style>
  <w:style w:type="paragraph" w:customStyle="1" w:styleId="ListNumber1">
    <w:name w:val="List Number 1"/>
    <w:basedOn w:val="Text1"/>
    <w:qFormat/>
    <w:pPr>
      <w:numPr>
        <w:numId w:val="19"/>
      </w:numPr>
    </w:pPr>
    <w:rPr>
      <w:szCs w:val="20"/>
      <w:lang w:eastAsia="zh-CN"/>
    </w:rPr>
  </w:style>
  <w:style w:type="paragraph" w:customStyle="1" w:styleId="ListNumber1Level2">
    <w:name w:val="List Number 1 (Level 2)"/>
    <w:basedOn w:val="Text1"/>
    <w:qFormat/>
    <w:pPr>
      <w:numPr>
        <w:ilvl w:val="1"/>
        <w:numId w:val="19"/>
      </w:numPr>
    </w:pPr>
    <w:rPr>
      <w:lang w:eastAsia="de-DE"/>
    </w:rPr>
  </w:style>
  <w:style w:type="paragraph" w:customStyle="1" w:styleId="ListNumber1Level3">
    <w:name w:val="List Number 1 (Level 3)"/>
    <w:basedOn w:val="Text1"/>
    <w:qFormat/>
    <w:pPr>
      <w:tabs>
        <w:tab w:val="left" w:pos="2977"/>
      </w:tabs>
      <w:ind w:left="2977" w:hanging="709"/>
    </w:pPr>
    <w:rPr>
      <w:szCs w:val="20"/>
      <w:lang w:eastAsia="zh-CN"/>
    </w:rPr>
  </w:style>
  <w:style w:type="paragraph" w:customStyle="1" w:styleId="ListNumber1Level4">
    <w:name w:val="List Number 1 (Level 4)"/>
    <w:basedOn w:val="Text1"/>
    <w:qFormat/>
    <w:pPr>
      <w:tabs>
        <w:tab w:val="left" w:pos="3686"/>
      </w:tabs>
      <w:ind w:left="3686" w:hanging="709"/>
    </w:pPr>
    <w:rPr>
      <w:szCs w:val="20"/>
      <w:lang w:eastAsia="zh-CN"/>
    </w:rPr>
  </w:style>
  <w:style w:type="paragraph" w:customStyle="1" w:styleId="ZDGName">
    <w:name w:val="Z_DGName"/>
    <w:basedOn w:val="Normal"/>
    <w:qFormat/>
    <w:pPr>
      <w:widowControl w:val="0"/>
      <w:snapToGrid w:val="0"/>
      <w:spacing w:before="0" w:after="0"/>
      <w:ind w:right="85"/>
    </w:pPr>
    <w:rPr>
      <w:rFonts w:ascii="Arial" w:hAnsi="Arial"/>
      <w:sz w:val="16"/>
      <w:szCs w:val="20"/>
    </w:rPr>
  </w:style>
  <w:style w:type="paragraph" w:customStyle="1" w:styleId="ZCom">
    <w:name w:val="Z_Com"/>
    <w:basedOn w:val="Normal"/>
    <w:next w:val="ZDGName"/>
    <w:qFormat/>
    <w:pPr>
      <w:widowControl w:val="0"/>
      <w:snapToGrid w:val="0"/>
      <w:spacing w:before="0" w:after="0"/>
      <w:ind w:right="85"/>
    </w:pPr>
    <w:rPr>
      <w:rFonts w:ascii="Arial" w:hAnsi="Arial"/>
      <w:szCs w:val="20"/>
    </w:rPr>
  </w:style>
  <w:style w:type="paragraph" w:customStyle="1" w:styleId="ListParagraph1">
    <w:name w:val="List Paragraph1"/>
    <w:basedOn w:val="Normal"/>
    <w:link w:val="ListParagraphChar"/>
    <w:uiPriority w:val="34"/>
    <w:qFormat/>
    <w:pPr>
      <w:spacing w:before="0" w:after="0"/>
      <w:ind w:left="720"/>
      <w:jc w:val="left"/>
    </w:pPr>
    <w:rPr>
      <w:rFonts w:ascii="Calibri" w:hAnsi="Calibri"/>
      <w:sz w:val="22"/>
      <w:szCs w:val="22"/>
    </w:rPr>
  </w:style>
  <w:style w:type="character" w:customStyle="1" w:styleId="ListParagraphChar">
    <w:name w:val="List Paragraph Char"/>
    <w:basedOn w:val="DefaultParagraphFont"/>
    <w:link w:val="ListParagraph1"/>
    <w:uiPriority w:val="34"/>
    <w:qFormat/>
    <w:rPr>
      <w:rFonts w:ascii="Calibri" w:eastAsia="Times New Roman" w:hAnsi="Calibri" w:cs="Times New Roman"/>
    </w:rPr>
  </w:style>
  <w:style w:type="character" w:customStyle="1" w:styleId="Hyperlink1">
    <w:name w:val="Hyperlink1"/>
    <w:qFormat/>
    <w:rPr>
      <w:color w:val="000000"/>
      <w:sz w:val="20"/>
      <w:u w:val="single"/>
    </w:rPr>
  </w:style>
  <w:style w:type="paragraph" w:customStyle="1" w:styleId="ListDash2">
    <w:name w:val="List Dash 2"/>
    <w:basedOn w:val="Normal"/>
    <w:qFormat/>
    <w:pPr>
      <w:numPr>
        <w:numId w:val="20"/>
      </w:numPr>
    </w:pPr>
    <w:rPr>
      <w:lang w:eastAsia="de-DE"/>
    </w:rPr>
  </w:style>
  <w:style w:type="paragraph" w:customStyle="1" w:styleId="Corpo">
    <w:name w:val="Corpo"/>
    <w:qFormat/>
    <w:pPr>
      <w:spacing w:after="0" w:line="240" w:lineRule="auto"/>
    </w:pPr>
    <w:rPr>
      <w:rFonts w:ascii="Helvetica" w:eastAsia="Arial Unicode MS" w:hAnsi="Arial Unicode MS" w:cs="Arial Unicode MS"/>
      <w:color w:val="000000"/>
      <w:sz w:val="22"/>
      <w:szCs w:val="22"/>
    </w:rPr>
  </w:style>
  <w:style w:type="paragraph" w:customStyle="1" w:styleId="Pa35">
    <w:name w:val="Pa35"/>
    <w:basedOn w:val="Normal"/>
    <w:next w:val="Normal"/>
    <w:uiPriority w:val="99"/>
    <w:qFormat/>
    <w:pPr>
      <w:autoSpaceDE w:val="0"/>
      <w:autoSpaceDN w:val="0"/>
      <w:adjustRightInd w:val="0"/>
      <w:spacing w:before="0" w:after="40" w:line="181" w:lineRule="atLeast"/>
      <w:jc w:val="left"/>
    </w:pPr>
    <w:rPr>
      <w:rFonts w:ascii="Adobe Garamond Pro" w:hAnsi="Adobe Garamond Pro"/>
      <w:lang w:val="it-IT" w:eastAsia="it-IT"/>
    </w:rPr>
  </w:style>
  <w:style w:type="character" w:customStyle="1" w:styleId="DeltaViewInsertion">
    <w:name w:val="DeltaView Insertion"/>
    <w:uiPriority w:val="99"/>
    <w:qFormat/>
    <w:rPr>
      <w:b/>
      <w:i/>
      <w:color w:val="000000"/>
    </w:rPr>
  </w:style>
  <w:style w:type="paragraph" w:customStyle="1" w:styleId="Default">
    <w:name w:val="Default"/>
    <w:qForma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VIfnrCharCharChar">
    <w:name w:val="BVI fnr Char Char Char"/>
    <w:basedOn w:val="Normal"/>
    <w:next w:val="Normal"/>
    <w:uiPriority w:val="99"/>
    <w:qFormat/>
    <w:pPr>
      <w:spacing w:before="0" w:after="160" w:line="240" w:lineRule="exact"/>
    </w:pPr>
    <w:rPr>
      <w:rFonts w:asciiTheme="minorHAnsi" w:eastAsiaTheme="minorHAnsi" w:hAnsiTheme="minorHAnsi" w:cstheme="minorBidi"/>
      <w:sz w:val="22"/>
      <w:szCs w:val="22"/>
      <w:vertAlign w:val="superscript"/>
      <w:lang w:val="es-CO"/>
    </w:rPr>
  </w:style>
  <w:style w:type="character" w:customStyle="1" w:styleId="Bodytext2">
    <w:name w:val="Body text (2)_"/>
    <w:basedOn w:val="DefaultParagraphFont"/>
    <w:link w:val="Bodytext20"/>
    <w:qFormat/>
    <w:rPr>
      <w:shd w:val="clear" w:color="auto" w:fill="FFFFFF"/>
    </w:rPr>
  </w:style>
  <w:style w:type="paragraph" w:customStyle="1" w:styleId="Bodytext20">
    <w:name w:val="Body text (2)"/>
    <w:basedOn w:val="Normal"/>
    <w:link w:val="Bodytext2"/>
    <w:qFormat/>
    <w:pPr>
      <w:widowControl w:val="0"/>
      <w:shd w:val="clear" w:color="auto" w:fill="FFFFFF"/>
      <w:spacing w:before="280" w:after="280" w:line="274" w:lineRule="exact"/>
      <w:ind w:hanging="720"/>
    </w:pPr>
    <w:rPr>
      <w:rFonts w:asciiTheme="minorHAnsi" w:eastAsiaTheme="minorHAnsi" w:hAnsiTheme="minorHAnsi" w:cstheme="minorBidi"/>
      <w:sz w:val="22"/>
      <w:szCs w:val="22"/>
    </w:rPr>
  </w:style>
  <w:style w:type="paragraph" w:styleId="Revision">
    <w:name w:val="Revision"/>
    <w:hidden/>
    <w:uiPriority w:val="99"/>
    <w:unhideWhenUsed/>
    <w:rsid w:val="00AD4E53"/>
    <w:pPr>
      <w:spacing w:after="0" w:line="240" w:lineRule="auto"/>
    </w:pPr>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AF1210"/>
    <w:pPr>
      <w:spacing w:before="0" w:after="0"/>
    </w:pPr>
    <w:rPr>
      <w:sz w:val="20"/>
      <w:szCs w:val="20"/>
    </w:rPr>
  </w:style>
  <w:style w:type="character" w:customStyle="1" w:styleId="EndnoteTextChar">
    <w:name w:val="Endnote Text Char"/>
    <w:basedOn w:val="DefaultParagraphFont"/>
    <w:link w:val="EndnoteText"/>
    <w:uiPriority w:val="99"/>
    <w:semiHidden/>
    <w:rsid w:val="00AF1210"/>
    <w:rPr>
      <w:rFonts w:ascii="Times New Roman" w:eastAsia="Times New Roman" w:hAnsi="Times New Roman" w:cs="Times New Roman"/>
      <w:lang w:eastAsia="en-US"/>
    </w:rPr>
  </w:style>
  <w:style w:type="character" w:styleId="EndnoteReference">
    <w:name w:val="endnote reference"/>
    <w:basedOn w:val="DefaultParagraphFont"/>
    <w:uiPriority w:val="99"/>
    <w:semiHidden/>
    <w:unhideWhenUsed/>
    <w:rsid w:val="00AF1210"/>
    <w:rPr>
      <w:vertAlign w:val="superscript"/>
    </w:rPr>
  </w:style>
  <w:style w:type="paragraph" w:styleId="ListParagraph">
    <w:name w:val="List Paragraph"/>
    <w:basedOn w:val="Normal"/>
    <w:uiPriority w:val="34"/>
    <w:unhideWhenUsed/>
    <w:qFormat/>
    <w:rsid w:val="006E7D31"/>
    <w:pPr>
      <w:ind w:left="720"/>
      <w:contextualSpacing/>
    </w:pPr>
  </w:style>
  <w:style w:type="character" w:customStyle="1" w:styleId="Bodytext2Bold">
    <w:name w:val="Body text (2) + Bold"/>
    <w:basedOn w:val="DefaultParagraphFont"/>
    <w:rsid w:val="00E7291C"/>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character" w:customStyle="1" w:styleId="FootnoteItalic">
    <w:name w:val="Footnote + Italic"/>
    <w:basedOn w:val="DefaultParagraphFont"/>
    <w:rsid w:val="00E27ED6"/>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paragraph" w:customStyle="1" w:styleId="CM1">
    <w:name w:val="CM1"/>
    <w:basedOn w:val="Default"/>
    <w:next w:val="Default"/>
    <w:uiPriority w:val="99"/>
    <w:rsid w:val="00470B43"/>
    <w:rPr>
      <w:rFonts w:eastAsiaTheme="minorHAnsi"/>
      <w:color w:val="auto"/>
    </w:rPr>
  </w:style>
  <w:style w:type="paragraph" w:customStyle="1" w:styleId="CM3">
    <w:name w:val="CM3"/>
    <w:basedOn w:val="Default"/>
    <w:next w:val="Default"/>
    <w:uiPriority w:val="99"/>
    <w:rsid w:val="00470B43"/>
    <w:rPr>
      <w:rFonts w:eastAsiaTheme="minorHAnsi"/>
      <w:color w:val="auto"/>
    </w:rPr>
  </w:style>
  <w:style w:type="paragraph" w:customStyle="1" w:styleId="CM4">
    <w:name w:val="CM4"/>
    <w:basedOn w:val="Default"/>
    <w:next w:val="Default"/>
    <w:uiPriority w:val="99"/>
    <w:rsid w:val="00470B43"/>
    <w:rPr>
      <w:rFonts w:eastAsiaTheme="minorHAnsi"/>
      <w:color w:val="auto"/>
    </w:rPr>
  </w:style>
  <w:style w:type="paragraph" w:customStyle="1" w:styleId="19">
    <w:name w:val="19"/>
    <w:basedOn w:val="Normal"/>
    <w:rsid w:val="00DB6463"/>
    <w:pPr>
      <w:spacing w:before="0" w:after="0"/>
      <w:jc w:val="left"/>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193">
      <w:bodyDiv w:val="1"/>
      <w:marLeft w:val="0"/>
      <w:marRight w:val="0"/>
      <w:marTop w:val="0"/>
      <w:marBottom w:val="0"/>
      <w:divBdr>
        <w:top w:val="none" w:sz="0" w:space="0" w:color="auto"/>
        <w:left w:val="none" w:sz="0" w:space="0" w:color="auto"/>
        <w:bottom w:val="none" w:sz="0" w:space="0" w:color="auto"/>
        <w:right w:val="none" w:sz="0" w:space="0" w:color="auto"/>
      </w:divBdr>
    </w:div>
    <w:div w:id="57872167">
      <w:bodyDiv w:val="1"/>
      <w:marLeft w:val="0"/>
      <w:marRight w:val="0"/>
      <w:marTop w:val="0"/>
      <w:marBottom w:val="0"/>
      <w:divBdr>
        <w:top w:val="none" w:sz="0" w:space="0" w:color="auto"/>
        <w:left w:val="none" w:sz="0" w:space="0" w:color="auto"/>
        <w:bottom w:val="none" w:sz="0" w:space="0" w:color="auto"/>
        <w:right w:val="none" w:sz="0" w:space="0" w:color="auto"/>
      </w:divBdr>
    </w:div>
    <w:div w:id="136387127">
      <w:bodyDiv w:val="1"/>
      <w:marLeft w:val="0"/>
      <w:marRight w:val="0"/>
      <w:marTop w:val="0"/>
      <w:marBottom w:val="0"/>
      <w:divBdr>
        <w:top w:val="none" w:sz="0" w:space="0" w:color="auto"/>
        <w:left w:val="none" w:sz="0" w:space="0" w:color="auto"/>
        <w:bottom w:val="none" w:sz="0" w:space="0" w:color="auto"/>
        <w:right w:val="none" w:sz="0" w:space="0" w:color="auto"/>
      </w:divBdr>
    </w:div>
    <w:div w:id="235625522">
      <w:bodyDiv w:val="1"/>
      <w:marLeft w:val="0"/>
      <w:marRight w:val="0"/>
      <w:marTop w:val="0"/>
      <w:marBottom w:val="0"/>
      <w:divBdr>
        <w:top w:val="none" w:sz="0" w:space="0" w:color="auto"/>
        <w:left w:val="none" w:sz="0" w:space="0" w:color="auto"/>
        <w:bottom w:val="none" w:sz="0" w:space="0" w:color="auto"/>
        <w:right w:val="none" w:sz="0" w:space="0" w:color="auto"/>
      </w:divBdr>
    </w:div>
    <w:div w:id="257372268">
      <w:bodyDiv w:val="1"/>
      <w:marLeft w:val="0"/>
      <w:marRight w:val="0"/>
      <w:marTop w:val="0"/>
      <w:marBottom w:val="0"/>
      <w:divBdr>
        <w:top w:val="none" w:sz="0" w:space="0" w:color="auto"/>
        <w:left w:val="none" w:sz="0" w:space="0" w:color="auto"/>
        <w:bottom w:val="none" w:sz="0" w:space="0" w:color="auto"/>
        <w:right w:val="none" w:sz="0" w:space="0" w:color="auto"/>
      </w:divBdr>
    </w:div>
    <w:div w:id="369453981">
      <w:bodyDiv w:val="1"/>
      <w:marLeft w:val="0"/>
      <w:marRight w:val="0"/>
      <w:marTop w:val="0"/>
      <w:marBottom w:val="0"/>
      <w:divBdr>
        <w:top w:val="none" w:sz="0" w:space="0" w:color="auto"/>
        <w:left w:val="none" w:sz="0" w:space="0" w:color="auto"/>
        <w:bottom w:val="none" w:sz="0" w:space="0" w:color="auto"/>
        <w:right w:val="none" w:sz="0" w:space="0" w:color="auto"/>
      </w:divBdr>
    </w:div>
    <w:div w:id="442456678">
      <w:bodyDiv w:val="1"/>
      <w:marLeft w:val="0"/>
      <w:marRight w:val="0"/>
      <w:marTop w:val="0"/>
      <w:marBottom w:val="0"/>
      <w:divBdr>
        <w:top w:val="none" w:sz="0" w:space="0" w:color="auto"/>
        <w:left w:val="none" w:sz="0" w:space="0" w:color="auto"/>
        <w:bottom w:val="none" w:sz="0" w:space="0" w:color="auto"/>
        <w:right w:val="none" w:sz="0" w:space="0" w:color="auto"/>
      </w:divBdr>
    </w:div>
    <w:div w:id="616836148">
      <w:bodyDiv w:val="1"/>
      <w:marLeft w:val="0"/>
      <w:marRight w:val="0"/>
      <w:marTop w:val="0"/>
      <w:marBottom w:val="0"/>
      <w:divBdr>
        <w:top w:val="none" w:sz="0" w:space="0" w:color="auto"/>
        <w:left w:val="none" w:sz="0" w:space="0" w:color="auto"/>
        <w:bottom w:val="none" w:sz="0" w:space="0" w:color="auto"/>
        <w:right w:val="none" w:sz="0" w:space="0" w:color="auto"/>
      </w:divBdr>
    </w:div>
    <w:div w:id="647125388">
      <w:bodyDiv w:val="1"/>
      <w:marLeft w:val="0"/>
      <w:marRight w:val="0"/>
      <w:marTop w:val="0"/>
      <w:marBottom w:val="0"/>
      <w:divBdr>
        <w:top w:val="none" w:sz="0" w:space="0" w:color="auto"/>
        <w:left w:val="none" w:sz="0" w:space="0" w:color="auto"/>
        <w:bottom w:val="none" w:sz="0" w:space="0" w:color="auto"/>
        <w:right w:val="none" w:sz="0" w:space="0" w:color="auto"/>
      </w:divBdr>
    </w:div>
    <w:div w:id="1031418318">
      <w:bodyDiv w:val="1"/>
      <w:marLeft w:val="0"/>
      <w:marRight w:val="0"/>
      <w:marTop w:val="0"/>
      <w:marBottom w:val="0"/>
      <w:divBdr>
        <w:top w:val="none" w:sz="0" w:space="0" w:color="auto"/>
        <w:left w:val="none" w:sz="0" w:space="0" w:color="auto"/>
        <w:bottom w:val="none" w:sz="0" w:space="0" w:color="auto"/>
        <w:right w:val="none" w:sz="0" w:space="0" w:color="auto"/>
      </w:divBdr>
    </w:div>
    <w:div w:id="1314989454">
      <w:bodyDiv w:val="1"/>
      <w:marLeft w:val="0"/>
      <w:marRight w:val="0"/>
      <w:marTop w:val="0"/>
      <w:marBottom w:val="0"/>
      <w:divBdr>
        <w:top w:val="none" w:sz="0" w:space="0" w:color="auto"/>
        <w:left w:val="none" w:sz="0" w:space="0" w:color="auto"/>
        <w:bottom w:val="none" w:sz="0" w:space="0" w:color="auto"/>
        <w:right w:val="none" w:sz="0" w:space="0" w:color="auto"/>
      </w:divBdr>
    </w:div>
    <w:div w:id="1326207262">
      <w:bodyDiv w:val="1"/>
      <w:marLeft w:val="0"/>
      <w:marRight w:val="0"/>
      <w:marTop w:val="0"/>
      <w:marBottom w:val="0"/>
      <w:divBdr>
        <w:top w:val="none" w:sz="0" w:space="0" w:color="auto"/>
        <w:left w:val="none" w:sz="0" w:space="0" w:color="auto"/>
        <w:bottom w:val="none" w:sz="0" w:space="0" w:color="auto"/>
        <w:right w:val="none" w:sz="0" w:space="0" w:color="auto"/>
      </w:divBdr>
    </w:div>
    <w:div w:id="1423641569">
      <w:bodyDiv w:val="1"/>
      <w:marLeft w:val="0"/>
      <w:marRight w:val="0"/>
      <w:marTop w:val="0"/>
      <w:marBottom w:val="0"/>
      <w:divBdr>
        <w:top w:val="none" w:sz="0" w:space="0" w:color="auto"/>
        <w:left w:val="none" w:sz="0" w:space="0" w:color="auto"/>
        <w:bottom w:val="none" w:sz="0" w:space="0" w:color="auto"/>
        <w:right w:val="none" w:sz="0" w:space="0" w:color="auto"/>
      </w:divBdr>
    </w:div>
    <w:div w:id="1574317057">
      <w:bodyDiv w:val="1"/>
      <w:marLeft w:val="0"/>
      <w:marRight w:val="0"/>
      <w:marTop w:val="0"/>
      <w:marBottom w:val="0"/>
      <w:divBdr>
        <w:top w:val="none" w:sz="0" w:space="0" w:color="auto"/>
        <w:left w:val="none" w:sz="0" w:space="0" w:color="auto"/>
        <w:bottom w:val="none" w:sz="0" w:space="0" w:color="auto"/>
        <w:right w:val="none" w:sz="0" w:space="0" w:color="auto"/>
      </w:divBdr>
    </w:div>
    <w:div w:id="1865090446">
      <w:bodyDiv w:val="1"/>
      <w:marLeft w:val="0"/>
      <w:marRight w:val="0"/>
      <w:marTop w:val="0"/>
      <w:marBottom w:val="0"/>
      <w:divBdr>
        <w:top w:val="none" w:sz="0" w:space="0" w:color="auto"/>
        <w:left w:val="none" w:sz="0" w:space="0" w:color="auto"/>
        <w:bottom w:val="none" w:sz="0" w:space="0" w:color="auto"/>
        <w:right w:val="none" w:sz="0" w:space="0" w:color="auto"/>
      </w:divBdr>
    </w:div>
    <w:div w:id="1874531919">
      <w:bodyDiv w:val="1"/>
      <w:marLeft w:val="0"/>
      <w:marRight w:val="0"/>
      <w:marTop w:val="0"/>
      <w:marBottom w:val="0"/>
      <w:divBdr>
        <w:top w:val="none" w:sz="0" w:space="0" w:color="auto"/>
        <w:left w:val="none" w:sz="0" w:space="0" w:color="auto"/>
        <w:bottom w:val="none" w:sz="0" w:space="0" w:color="auto"/>
        <w:right w:val="none" w:sz="0" w:space="0" w:color="auto"/>
      </w:divBdr>
    </w:div>
    <w:div w:id="1961646687">
      <w:bodyDiv w:val="1"/>
      <w:marLeft w:val="0"/>
      <w:marRight w:val="0"/>
      <w:marTop w:val="0"/>
      <w:marBottom w:val="0"/>
      <w:divBdr>
        <w:top w:val="none" w:sz="0" w:space="0" w:color="auto"/>
        <w:left w:val="none" w:sz="0" w:space="0" w:color="auto"/>
        <w:bottom w:val="none" w:sz="0" w:space="0" w:color="auto"/>
        <w:right w:val="none" w:sz="0" w:space="0" w:color="auto"/>
      </w:divBdr>
    </w:div>
    <w:div w:id="206871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idhr.eu/files/dmfile/SWD_2014_152_F1_STAFF_WORKING_PAPER_EN_V5_P1_768467.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onsilium.europa.eu/uedocs/cms_data/docs/pressdata/en/foraff/14268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dhr.eu/files/dmfile/SWD_2014_152_F1_STAFF_WORKING_PAPER_EN_V5_P1_768467.pdf"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nsilium.europa.eu/uedocs/cms_data/docs/pressdata/en/foraff/14268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EN/TXT/?uri=celex:32012R1268" TargetMode="External"/><Relationship Id="rId1" Type="http://schemas.openxmlformats.org/officeDocument/2006/relationships/hyperlink" Target="https://nhri.ohchr.org/EN/AboutUs/Pages/RolesTypesNHRI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494E6-8F0C-435A-9DD9-81462689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8101</Words>
  <Characters>46176</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CBSS AD</vt:lpstr>
    </vt:vector>
  </TitlesOfParts>
  <Company>European Commission</Company>
  <LinksUpToDate>false</LinksUpToDate>
  <CharactersWithSpaces>54169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CBSS AD</dc:title>
  <dc:creator>SARTHOU Chloe (DEVCO-EXT)</dc:creator>
  <cp:lastModifiedBy>FONSECA CABRERA Michelle (EEAS-MANAGUA)</cp:lastModifiedBy>
  <cp:revision>2</cp:revision>
  <cp:lastPrinted>2018-10-03T14:44:00Z</cp:lastPrinted>
  <dcterms:created xsi:type="dcterms:W3CDTF">2018-10-03T14:45:00Z</dcterms:created>
  <dcterms:modified xsi:type="dcterms:W3CDTF">2018-10-03T14:45:00Z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