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F7A" w:rsidRPr="00DB79A2" w:rsidRDefault="00CF7F7A" w:rsidP="00CF7F7A">
      <w:pPr>
        <w:tabs>
          <w:tab w:val="left" w:pos="709"/>
        </w:tabs>
        <w:spacing w:line="276" w:lineRule="auto"/>
        <w:jc w:val="center"/>
        <w:rPr>
          <w:rFonts w:eastAsia="Calibri"/>
          <w:b/>
          <w:sz w:val="28"/>
        </w:rPr>
      </w:pPr>
      <w:r>
        <w:rPr>
          <w:b/>
          <w:sz w:val="28"/>
        </w:rPr>
        <w:t>ANNEXE K</w:t>
      </w:r>
    </w:p>
    <w:p w:rsidR="00B168FA" w:rsidRPr="00DB79A2" w:rsidRDefault="00CF7F7A" w:rsidP="0074131C">
      <w:pPr>
        <w:tabs>
          <w:tab w:val="left" w:pos="709"/>
        </w:tabs>
        <w:spacing w:line="276" w:lineRule="auto"/>
        <w:jc w:val="center"/>
        <w:rPr>
          <w:rFonts w:eastAsia="Calibri"/>
          <w:b/>
          <w:sz w:val="28"/>
        </w:rPr>
      </w:pPr>
      <w:r>
        <w:rPr>
          <w:b/>
          <w:sz w:val="28"/>
        </w:rPr>
        <w:t xml:space="preserve">LIGNES DIRECTRICES concernant les OPTIONS SIMPLIFIÉES EN MATIÈRE DE COÛTS </w:t>
      </w:r>
    </w:p>
    <w:p w:rsidR="00CF3686" w:rsidRPr="00DB79A2" w:rsidRDefault="00F56F30" w:rsidP="00CF3686">
      <w:pPr>
        <w:tabs>
          <w:tab w:val="left" w:pos="709"/>
        </w:tabs>
        <w:spacing w:line="276" w:lineRule="auto"/>
        <w:jc w:val="center"/>
        <w:rPr>
          <w:rFonts w:eastAsia="Calibri"/>
          <w:b/>
          <w:sz w:val="28"/>
        </w:rPr>
      </w:pPr>
      <w:r>
        <w:rPr>
          <w:b/>
          <w:sz w:val="28"/>
        </w:rPr>
        <w:t>dans les CONTRATS DE SUBVENTION financés par l’Union</w:t>
      </w:r>
      <w:r w:rsidR="00E116CA">
        <w:rPr>
          <w:b/>
          <w:sz w:val="28"/>
        </w:rPr>
        <w:t xml:space="preserve"> européenne</w:t>
      </w:r>
    </w:p>
    <w:p w:rsidR="00CF7F7A" w:rsidRPr="00DB79A2" w:rsidRDefault="00CF7F7A" w:rsidP="00CF7F7A">
      <w:pPr>
        <w:spacing w:before="120" w:after="120"/>
        <w:jc w:val="center"/>
      </w:pPr>
    </w:p>
    <w:p w:rsidR="00DE58E0" w:rsidRPr="004F56B9" w:rsidRDefault="00D63E8E" w:rsidP="00BF439F">
      <w:pPr>
        <w:spacing w:before="120" w:after="120"/>
        <w:jc w:val="both"/>
        <w:rPr>
          <w:b/>
          <w:sz w:val="24"/>
          <w:szCs w:val="24"/>
        </w:rPr>
      </w:pPr>
      <w:r>
        <w:rPr>
          <w:b/>
          <w:sz w:val="24"/>
        </w:rPr>
        <w:t>1. Introduction</w:t>
      </w:r>
    </w:p>
    <w:p w:rsidR="00875885" w:rsidRPr="00DB79A2" w:rsidRDefault="00875885" w:rsidP="00BF439F">
      <w:pPr>
        <w:spacing w:before="60" w:after="60"/>
        <w:jc w:val="both"/>
        <w:rPr>
          <w:sz w:val="22"/>
        </w:rPr>
      </w:pPr>
      <w:r>
        <w:rPr>
          <w:sz w:val="22"/>
        </w:rPr>
        <w:t>Les options simplifiées en matière de coûts peuvent revêtir la forme de:</w:t>
      </w:r>
    </w:p>
    <w:p w:rsidR="00875885" w:rsidRPr="00DB79A2" w:rsidRDefault="00875885" w:rsidP="00BF439F">
      <w:pPr>
        <w:spacing w:before="60" w:after="60"/>
        <w:ind w:left="567" w:hanging="284"/>
        <w:jc w:val="both"/>
        <w:rPr>
          <w:sz w:val="22"/>
          <w:szCs w:val="22"/>
        </w:rPr>
      </w:pPr>
      <w:r>
        <w:rPr>
          <w:sz w:val="22"/>
        </w:rPr>
        <w:t>-</w:t>
      </w:r>
      <w:r>
        <w:tab/>
      </w:r>
      <w:r>
        <w:rPr>
          <w:b/>
          <w:sz w:val="22"/>
        </w:rPr>
        <w:t>coûts unitaires:</w:t>
      </w:r>
      <w:r>
        <w:rPr>
          <w:sz w:val="22"/>
        </w:rPr>
        <w:t xml:space="preserve"> ceux-ci couvrent tout ou partie de catégories spécifiques de coûts éligibles qui peuvent être clairement déterminés (tel qu’indiqué dans le budget au stade de la proposition), et sont exprimés en </w:t>
      </w:r>
      <w:r>
        <w:rPr>
          <w:sz w:val="22"/>
          <w:u w:val="single"/>
        </w:rPr>
        <w:t>montant par unité</w:t>
      </w:r>
      <w:r>
        <w:rPr>
          <w:sz w:val="22"/>
        </w:rPr>
        <w:t>.</w:t>
      </w:r>
    </w:p>
    <w:p w:rsidR="00875885" w:rsidRPr="0014353B" w:rsidRDefault="00875885" w:rsidP="008218F9">
      <w:pPr>
        <w:ind w:left="1418" w:hanging="709"/>
        <w:jc w:val="both"/>
        <w:rPr>
          <w:i/>
          <w:sz w:val="22"/>
        </w:rPr>
      </w:pPr>
      <w:r>
        <w:rPr>
          <w:i/>
          <w:sz w:val="22"/>
        </w:rPr>
        <w:t>Exemple:</w:t>
      </w:r>
      <w:r>
        <w:rPr>
          <w:sz w:val="22"/>
        </w:rPr>
        <w:t xml:space="preserve"> </w:t>
      </w:r>
      <w:r>
        <w:rPr>
          <w:i/>
          <w:sz w:val="22"/>
        </w:rPr>
        <w:t>coût unitaire</w:t>
      </w:r>
      <w:r>
        <w:rPr>
          <w:sz w:val="22"/>
        </w:rPr>
        <w:t xml:space="preserve"> </w:t>
      </w:r>
      <w:r>
        <w:rPr>
          <w:i/>
          <w:sz w:val="22"/>
        </w:rPr>
        <w:t>par mois de travail pour les coûts de personnel fondés sur des politiques internes et les coûts (salariaux) moyens;  coûts unitaires pour les petits déplacements au niveau local ou d’autres dépenses en zone rurale (relevant souvent de catégories couvrant des dépenses nombreuses et d’un montant peu élevé et/ou accompagnées de peu de pièces justificatives), les per diems</w:t>
      </w:r>
      <w:r>
        <w:rPr>
          <w:rStyle w:val="FootnoteReference"/>
          <w:i/>
          <w:sz w:val="22"/>
        </w:rPr>
        <w:footnoteReference w:id="2"/>
      </w:r>
      <w:r>
        <w:rPr>
          <w:i/>
          <w:sz w:val="22"/>
        </w:rPr>
        <w:t>, etc.</w:t>
      </w:r>
    </w:p>
    <w:p w:rsidR="00875885" w:rsidRPr="00DB79A2" w:rsidRDefault="00875885" w:rsidP="00BF439F">
      <w:pPr>
        <w:spacing w:before="60" w:after="60"/>
        <w:ind w:left="567" w:hanging="284"/>
        <w:jc w:val="both"/>
        <w:rPr>
          <w:sz w:val="22"/>
          <w:szCs w:val="22"/>
        </w:rPr>
      </w:pPr>
      <w:r>
        <w:rPr>
          <w:b/>
          <w:sz w:val="22"/>
        </w:rPr>
        <w:t>-</w:t>
      </w:r>
      <w:r>
        <w:tab/>
      </w:r>
      <w:r>
        <w:rPr>
          <w:b/>
          <w:sz w:val="22"/>
        </w:rPr>
        <w:t xml:space="preserve">montants forfaitaires: </w:t>
      </w:r>
      <w:r>
        <w:rPr>
          <w:sz w:val="22"/>
        </w:rPr>
        <w:t>ceux-ci</w:t>
      </w:r>
      <w:r>
        <w:rPr>
          <w:b/>
          <w:sz w:val="22"/>
        </w:rPr>
        <w:t xml:space="preserve"> </w:t>
      </w:r>
      <w:r>
        <w:rPr>
          <w:sz w:val="22"/>
        </w:rPr>
        <w:t xml:space="preserve">couvrent </w:t>
      </w:r>
      <w:r>
        <w:rPr>
          <w:sz w:val="22"/>
          <w:u w:val="single"/>
        </w:rPr>
        <w:t>globalement</w:t>
      </w:r>
      <w:r>
        <w:rPr>
          <w:sz w:val="22"/>
        </w:rPr>
        <w:t xml:space="preserve"> tout ou partie de catégories spécifiques de coûts éligibles qui peuvent être clairement déterminés (tel qu’indiqué dans le budget au stade de la proposition).</w:t>
      </w:r>
    </w:p>
    <w:p w:rsidR="00875885" w:rsidRPr="0014353B" w:rsidRDefault="00875885" w:rsidP="00BF439F">
      <w:pPr>
        <w:ind w:left="1560" w:hanging="850"/>
        <w:jc w:val="both"/>
        <w:rPr>
          <w:i/>
          <w:sz w:val="22"/>
          <w:szCs w:val="22"/>
        </w:rPr>
      </w:pPr>
      <w:r>
        <w:rPr>
          <w:i/>
          <w:sz w:val="22"/>
        </w:rPr>
        <w:t>Exemple: coût global de l’organisation d’une manifestation inaugurale, coût global de la production de vidéos d’information, etc.</w:t>
      </w:r>
    </w:p>
    <w:p w:rsidR="00875885" w:rsidRPr="00DB79A2" w:rsidRDefault="00875885" w:rsidP="00BF439F">
      <w:pPr>
        <w:spacing w:before="60" w:after="60"/>
        <w:ind w:left="567" w:hanging="284"/>
        <w:jc w:val="both"/>
        <w:rPr>
          <w:sz w:val="22"/>
          <w:szCs w:val="22"/>
        </w:rPr>
      </w:pPr>
      <w:r>
        <w:rPr>
          <w:b/>
          <w:sz w:val="22"/>
        </w:rPr>
        <w:t>-</w:t>
      </w:r>
      <w:r>
        <w:tab/>
      </w:r>
      <w:r>
        <w:rPr>
          <w:b/>
          <w:sz w:val="22"/>
        </w:rPr>
        <w:t>financement à taux forfaitaire:</w:t>
      </w:r>
      <w:r>
        <w:rPr>
          <w:sz w:val="22"/>
        </w:rPr>
        <w:t xml:space="preserve"> ce financement couvre des catégories spécifiques de coûts éligibles qui peuvent être clairement déterminés </w:t>
      </w:r>
      <w:r>
        <w:rPr>
          <w:sz w:val="22"/>
          <w:u w:val="single"/>
        </w:rPr>
        <w:t>(</w:t>
      </w:r>
      <w:r>
        <w:rPr>
          <w:sz w:val="22"/>
        </w:rPr>
        <w:t xml:space="preserve">tel qu’indiqué dans le budget au stade de la proposition) et est exprimé en </w:t>
      </w:r>
      <w:r>
        <w:rPr>
          <w:sz w:val="22"/>
          <w:u w:val="single"/>
        </w:rPr>
        <w:t>pourcentage</w:t>
      </w:r>
      <w:r>
        <w:rPr>
          <w:sz w:val="22"/>
        </w:rPr>
        <w:t xml:space="preserve"> des autres coûts éligibles.</w:t>
      </w:r>
    </w:p>
    <w:p w:rsidR="00875885" w:rsidRDefault="00875885" w:rsidP="00BF439F">
      <w:pPr>
        <w:ind w:left="1560" w:hanging="850"/>
        <w:jc w:val="both"/>
        <w:rPr>
          <w:i/>
          <w:sz w:val="22"/>
          <w:szCs w:val="22"/>
        </w:rPr>
      </w:pPr>
      <w:r>
        <w:rPr>
          <w:i/>
          <w:sz w:val="22"/>
        </w:rPr>
        <w:t>Exemple: frais supportés pour des bureaux locaux et dépenses connexes (entretien, sécurité, véhicule partagé, etc.), exprimés en pourcentage des coûts du personnel, coûts indirects, etc.</w:t>
      </w:r>
    </w:p>
    <w:p w:rsidR="0074131C" w:rsidRDefault="004F56B9" w:rsidP="004F56B9">
      <w:pPr>
        <w:ind w:left="710"/>
        <w:jc w:val="both"/>
        <w:rPr>
          <w:sz w:val="22"/>
          <w:szCs w:val="22"/>
        </w:rPr>
      </w:pPr>
      <w:r>
        <w:rPr>
          <w:b/>
          <w:sz w:val="22"/>
          <w:szCs w:val="22"/>
        </w:rPr>
        <w:sym w:font="Wingdings" w:char="F0E0"/>
      </w:r>
      <w:r>
        <w:rPr>
          <w:b/>
          <w:sz w:val="22"/>
        </w:rPr>
        <w:t xml:space="preserve"> une combinaison des formes susmentionnées </w:t>
      </w:r>
      <w:r>
        <w:rPr>
          <w:sz w:val="22"/>
        </w:rPr>
        <w:t>(par exemple, une répartition des coûts liés aux bureaux de projet).</w:t>
      </w:r>
    </w:p>
    <w:p w:rsidR="00E37EF3" w:rsidRPr="0074131C" w:rsidRDefault="00E37EF3" w:rsidP="004F56B9">
      <w:pPr>
        <w:ind w:left="710"/>
        <w:jc w:val="both"/>
        <w:rPr>
          <w:sz w:val="22"/>
          <w:szCs w:val="22"/>
        </w:rPr>
      </w:pPr>
    </w:p>
    <w:p w:rsidR="004F56B9" w:rsidRDefault="00875885" w:rsidP="00CC0FD4">
      <w:pPr>
        <w:spacing w:before="60" w:after="60"/>
        <w:jc w:val="both"/>
        <w:rPr>
          <w:sz w:val="22"/>
          <w:szCs w:val="22"/>
        </w:rPr>
      </w:pPr>
      <w:r>
        <w:rPr>
          <w:sz w:val="22"/>
        </w:rPr>
        <w:t>Les options simplifiées en matière de coûts peuvent s’appliquer à une ou plusieurs rubriques de coûts directs du budget (rubriques 1 à 6), à des sous-rubriques de coûts ou encore à des postes spécifiques dans ces rubriques budgétaires.</w:t>
      </w:r>
    </w:p>
    <w:p w:rsidR="00F96173" w:rsidRDefault="00F96173" w:rsidP="00CC0FD4">
      <w:pPr>
        <w:spacing w:before="60" w:after="60"/>
        <w:jc w:val="both"/>
        <w:rPr>
          <w:sz w:val="22"/>
          <w:szCs w:val="22"/>
        </w:rPr>
      </w:pPr>
    </w:p>
    <w:p w:rsidR="00F96173" w:rsidRPr="006E6FE4" w:rsidRDefault="00F96173" w:rsidP="00F96173">
      <w:pPr>
        <w:spacing w:after="200"/>
        <w:jc w:val="both"/>
        <w:rPr>
          <w:snapToGrid w:val="0"/>
          <w:sz w:val="22"/>
        </w:rPr>
      </w:pPr>
      <w:r>
        <w:rPr>
          <w:snapToGrid w:val="0"/>
          <w:sz w:val="22"/>
        </w:rPr>
        <w:t>Les options simplifiées en matière de coûts (OSC) sont divisées en deux catégories:</w:t>
      </w:r>
    </w:p>
    <w:p w:rsidR="00F96173" w:rsidRPr="006E6FE4" w:rsidRDefault="00F96173" w:rsidP="00F96173">
      <w:pPr>
        <w:spacing w:after="200"/>
        <w:jc w:val="both"/>
        <w:rPr>
          <w:snapToGrid w:val="0"/>
          <w:sz w:val="22"/>
        </w:rPr>
      </w:pPr>
      <w:r>
        <w:rPr>
          <w:snapToGrid w:val="0"/>
          <w:sz w:val="22"/>
        </w:rPr>
        <w:t xml:space="preserve">1/ les «OSC fondées sur les produits ou les résultats»: cette catégorie inclut les coûts liés aux produits, aux résultats, aux activités et aux éléments livrables dans le cadre d’un projet donné (par exemple, la fixation d’un montant forfaitaire pour l’organisation d’une conférence, l’obtention d’un produit donné ou la réalisation d’une activité donnée). Dans la mesure du possible et s’il y a lieu, les montants forfaitaires, les coûts unitaires ou les financements à taux forfaitaires sont calculés de manière à permettre leur paiement à l’obtention de produits/résultats concrets. Ce type d’OSC peut être proposé par le bénéficiaire (aucun seuil n’est applicable) au stade de la proposition. Si le comité d’évaluation et </w:t>
      </w:r>
      <w:r>
        <w:rPr>
          <w:snapToGrid w:val="0"/>
          <w:sz w:val="22"/>
        </w:rPr>
        <w:lastRenderedPageBreak/>
        <w:t>l’administration contractante ne sont pas convaincus par la justification fournie, un remboursement sur la base des frais effectivement supportés est toujours possible.</w:t>
      </w:r>
    </w:p>
    <w:p w:rsidR="00F96173" w:rsidRPr="00F96173" w:rsidRDefault="00F96173" w:rsidP="00F96173">
      <w:pPr>
        <w:spacing w:after="200"/>
        <w:jc w:val="both"/>
        <w:rPr>
          <w:snapToGrid w:val="0"/>
          <w:sz w:val="22"/>
        </w:rPr>
      </w:pPr>
      <w:r>
        <w:rPr>
          <w:snapToGrid w:val="0"/>
          <w:sz w:val="22"/>
        </w:rPr>
        <w:t>2/ les «autres OSC/OSC récurrentes»: cette seconde catégorie couvre les options simplifiées en matière de coûts intégrées dans les pratiques comptables du bénéficiaire, pour lesquelles une évaluation ex ante est jugée nécessaire, compte tenu de la nécessité d’une application uniforme des conditions requises. Exemples: pourcentage additionnel appliqué aux salaires réels pour couvrir les coûts entrant dans la rémunération ou utilisation d’une méthode pour répartir les coûts d’un bureau de projet prévu dans la description de l’action. Pour pouvoir recourir à des OSC systémiques/récurrentes, les pratiques comptables du bénéficiaire doivent avoir été positivement évaluées par un cabinet d’audit sur la base de termes de référence standardisés fournis par la Commission. Pour obtenir le remboursement de cette catégorie d’OSC, le bénéficiaire renvoie à l’évaluation ex ante obtenue préalablement dans la feuille de justification du budget (annexe e3c). .</w:t>
      </w:r>
    </w:p>
    <w:p w:rsidR="00F96173" w:rsidRDefault="00FD0D13" w:rsidP="00F96173">
      <w:pPr>
        <w:spacing w:before="120" w:after="120"/>
        <w:jc w:val="both"/>
        <w:rPr>
          <w:sz w:val="22"/>
          <w:szCs w:val="22"/>
        </w:rPr>
      </w:pPr>
      <w:r>
        <w:rPr>
          <w:sz w:val="22"/>
        </w:rPr>
        <w:t xml:space="preserve">Les demandeurs peuvent proposer des options simplifiées en matière de coûts au stade de la proposition. Le comité d’évaluation et l’administration contractante décident si ces coûts peuvent être acceptés pendant la phase d’attribution, sur la base du budget soumis. L’administration contractante fonde sa décision sur une analyse du budget présenté au regard des conditions établies dans les présentes lignes directrices. </w:t>
      </w:r>
    </w:p>
    <w:p w:rsidR="00F96173" w:rsidRDefault="00F96173" w:rsidP="00F96173">
      <w:pPr>
        <w:spacing w:before="120" w:after="120"/>
        <w:jc w:val="both"/>
        <w:rPr>
          <w:sz w:val="22"/>
          <w:szCs w:val="22"/>
        </w:rPr>
      </w:pPr>
      <w:r>
        <w:rPr>
          <w:sz w:val="22"/>
        </w:rPr>
        <w:t>Si le comité d’évaluation et l’administration contractante ne sont pas convaincus par la justification fournie, un remboursement sur la base des frais effectivement supportés est toujours possible. Dans ce cas, le budget est adapté en conséquence.</w:t>
      </w:r>
    </w:p>
    <w:p w:rsidR="004E6557" w:rsidRPr="004E6557" w:rsidRDefault="000D54B0" w:rsidP="00F96173">
      <w:pPr>
        <w:spacing w:before="120" w:after="120"/>
        <w:jc w:val="both"/>
        <w:rPr>
          <w:sz w:val="22"/>
          <w:szCs w:val="22"/>
        </w:rPr>
      </w:pPr>
      <w:r>
        <w:rPr>
          <w:sz w:val="22"/>
        </w:rPr>
        <w:t>Les autres OSC/OSC récurrentes/systémiques qui ont fait l'objet d'une évaluation ex ante positive doivent néanmoins figurer dans le budget et être mentionnées dans la feuille de justification du budget; le comité d’évaluation et l’administration contractante vérifient le résultat positif de l’évaluation et déterminent si le budget est suffisamment détaillé.</w:t>
      </w:r>
    </w:p>
    <w:p w:rsidR="0096220E" w:rsidRDefault="0096220E" w:rsidP="00BF439F">
      <w:pPr>
        <w:spacing w:before="120" w:after="120"/>
        <w:ind w:left="284" w:hanging="284"/>
        <w:jc w:val="both"/>
        <w:rPr>
          <w:sz w:val="22"/>
          <w:szCs w:val="22"/>
        </w:rPr>
      </w:pPr>
    </w:p>
    <w:p w:rsidR="0096220E" w:rsidRPr="00C750B2" w:rsidRDefault="00D63E8E" w:rsidP="00C750B2">
      <w:pPr>
        <w:spacing w:before="120" w:after="120"/>
        <w:jc w:val="both"/>
        <w:rPr>
          <w:b/>
          <w:sz w:val="24"/>
          <w:szCs w:val="24"/>
        </w:rPr>
      </w:pPr>
      <w:r>
        <w:rPr>
          <w:b/>
          <w:sz w:val="22"/>
        </w:rPr>
        <w:t>2. Dispositions applicables à la fois aux autres OSC/OSC récurrentes et aux OSC fondées sur les produits ou les résultats</w:t>
      </w:r>
    </w:p>
    <w:p w:rsidR="0096220E" w:rsidRDefault="0096220E" w:rsidP="00BF439F">
      <w:pPr>
        <w:spacing w:before="120" w:after="120"/>
        <w:ind w:left="284" w:hanging="284"/>
        <w:jc w:val="both"/>
        <w:rPr>
          <w:sz w:val="22"/>
          <w:szCs w:val="22"/>
        </w:rPr>
      </w:pPr>
      <w:r>
        <w:rPr>
          <w:sz w:val="22"/>
        </w:rPr>
        <w:t>Conformément à l’article </w:t>
      </w:r>
      <w:r w:rsidR="00B03DF5">
        <w:rPr>
          <w:sz w:val="22"/>
          <w:szCs w:val="22"/>
        </w:rPr>
        <w:t xml:space="preserve">181(4) </w:t>
      </w:r>
      <w:r>
        <w:rPr>
          <w:sz w:val="22"/>
        </w:rPr>
        <w:t>du règlement financier de 2018, une OSC peut être autorisée si les éléments suivants sont réunis:</w:t>
      </w:r>
    </w:p>
    <w:p w:rsidR="0096220E" w:rsidRDefault="0096220E" w:rsidP="00BF439F">
      <w:pPr>
        <w:spacing w:before="120" w:after="120"/>
        <w:ind w:left="284" w:hanging="284"/>
        <w:jc w:val="both"/>
        <w:rPr>
          <w:sz w:val="22"/>
          <w:szCs w:val="22"/>
        </w:rPr>
      </w:pPr>
      <w:r>
        <w:rPr>
          <w:sz w:val="22"/>
        </w:rPr>
        <w:t>a)</w:t>
      </w:r>
      <w:r>
        <w:t xml:space="preserve"> </w:t>
      </w:r>
      <w:r>
        <w:rPr>
          <w:sz w:val="22"/>
        </w:rPr>
        <w:t>une justification concernant l'adéquation de ces formes de financement au regard de la nature des actions soutenues ainsi que des risques d'irrégularités et de fraude et des coûts des contrôles;</w:t>
      </w:r>
    </w:p>
    <w:p w:rsidR="0096220E" w:rsidRDefault="0096220E" w:rsidP="00BF439F">
      <w:pPr>
        <w:spacing w:before="120" w:after="120"/>
        <w:ind w:left="284" w:hanging="284"/>
        <w:jc w:val="both"/>
        <w:rPr>
          <w:sz w:val="22"/>
          <w:szCs w:val="22"/>
        </w:rPr>
      </w:pPr>
      <w:r>
        <w:rPr>
          <w:sz w:val="22"/>
        </w:rPr>
        <w:t>b) l’identification des coûts ou catégories de coûts couverts par les montants forfaitaires, les coûts unitaires ou les financements à taux forfaitaire qui sont considérés comme éligibles conformément aux points 14.1 et 14.2 des conditions générales et qui excluent les coûts inéligibles en vertu du point 14.8 des conditions générales;</w:t>
      </w:r>
    </w:p>
    <w:p w:rsidR="00AF0CD4" w:rsidRPr="0074131C" w:rsidRDefault="0096220E" w:rsidP="00AF0CD4">
      <w:pPr>
        <w:spacing w:before="120" w:after="120"/>
        <w:ind w:left="284" w:hanging="284"/>
        <w:jc w:val="both"/>
        <w:rPr>
          <w:sz w:val="22"/>
          <w:szCs w:val="22"/>
        </w:rPr>
      </w:pPr>
      <w:r>
        <w:rPr>
          <w:sz w:val="22"/>
        </w:rPr>
        <w:t xml:space="preserve">c) la description des méthodes permettant de définir les montants forfaitaires, les coûts unitaires ou les financements à taux forfaitaire. Ces méthodes se fondent sur l’un des éléments suivants: </w:t>
      </w:r>
    </w:p>
    <w:p w:rsidR="00AF0CD4" w:rsidRPr="0074131C" w:rsidRDefault="00AF0CD4" w:rsidP="00AF0CD4">
      <w:pPr>
        <w:spacing w:before="120" w:after="120"/>
        <w:ind w:left="284"/>
        <w:jc w:val="both"/>
        <w:rPr>
          <w:sz w:val="22"/>
          <w:szCs w:val="22"/>
        </w:rPr>
      </w:pPr>
      <w:r>
        <w:rPr>
          <w:sz w:val="22"/>
        </w:rPr>
        <w:t>- des données statistiques, des moyens objectifs similaires ou un jugement d’expert fourni par des experts disponibles en interne à la Commission ou obtenu conformément à la réglementation applicable; ou</w:t>
      </w:r>
    </w:p>
    <w:p w:rsidR="00AF0CD4" w:rsidRDefault="00AF0CD4" w:rsidP="00AF0CD4">
      <w:pPr>
        <w:spacing w:before="120" w:after="120"/>
        <w:ind w:left="284"/>
        <w:jc w:val="both"/>
        <w:rPr>
          <w:sz w:val="22"/>
          <w:szCs w:val="22"/>
        </w:rPr>
      </w:pPr>
      <w:r>
        <w:rPr>
          <w:sz w:val="22"/>
        </w:rPr>
        <w:t>- une approche bénéficiaire par bénéficiaire, en référence à des données historiques certifiées ou vérifiables du bénéficiaire ou à ses pratiques habituelles en matière de comptabilité analytique;</w:t>
      </w:r>
    </w:p>
    <w:p w:rsidR="0096220E" w:rsidRDefault="0096220E" w:rsidP="00BF439F">
      <w:pPr>
        <w:spacing w:before="120" w:after="120"/>
        <w:ind w:left="284" w:hanging="284"/>
        <w:jc w:val="both"/>
        <w:rPr>
          <w:sz w:val="22"/>
          <w:szCs w:val="22"/>
        </w:rPr>
      </w:pPr>
      <w:r>
        <w:rPr>
          <w:sz w:val="22"/>
        </w:rPr>
        <w:lastRenderedPageBreak/>
        <w:t>d)</w:t>
      </w:r>
      <w:r>
        <w:t> </w:t>
      </w:r>
      <w:r>
        <w:rPr>
          <w:sz w:val="22"/>
        </w:rPr>
        <w:t>dans la mesure du possible, les conditions essentielles requises en vue du déclenchement du paiement, y compris, en cas d’OSC fondée sur les produits ou les résultats, les produits et/ou résultats à atteindre;</w:t>
      </w:r>
    </w:p>
    <w:p w:rsidR="0096220E" w:rsidRDefault="0096220E" w:rsidP="00C750B2">
      <w:pPr>
        <w:spacing w:before="120" w:after="120"/>
        <w:ind w:left="284" w:hanging="284"/>
        <w:jc w:val="both"/>
        <w:rPr>
          <w:sz w:val="22"/>
          <w:szCs w:val="22"/>
        </w:rPr>
      </w:pPr>
      <w:r>
        <w:rPr>
          <w:sz w:val="22"/>
        </w:rPr>
        <w:t>e) pour les autres OSC ou les OSC récurrentes pour lesquelles les montants forfaitaires, coûts unitaires et taux forfaitaires ne sont pas liés à des produits et/ou des résultats, une justification des raisons pour lesquelles une approche fondée sur les produits et/ou les résultats est impossible ou inappropriée.</w:t>
      </w:r>
    </w:p>
    <w:p w:rsidR="00C750B2" w:rsidRPr="00C750B2" w:rsidRDefault="00C750B2" w:rsidP="00C750B2">
      <w:pPr>
        <w:spacing w:before="120" w:after="120"/>
        <w:ind w:left="284" w:hanging="284"/>
        <w:jc w:val="both"/>
        <w:rPr>
          <w:sz w:val="22"/>
          <w:szCs w:val="22"/>
        </w:rPr>
      </w:pPr>
      <w:r>
        <w:rPr>
          <w:sz w:val="22"/>
        </w:rPr>
        <w:t>Les méthodes visées au point c) permettent d’assurer:</w:t>
      </w:r>
    </w:p>
    <w:p w:rsidR="00C750B2" w:rsidRDefault="00C750B2" w:rsidP="00C750B2">
      <w:pPr>
        <w:spacing w:before="120" w:after="120"/>
        <w:ind w:firstLine="284"/>
        <w:jc w:val="both"/>
        <w:rPr>
          <w:sz w:val="22"/>
          <w:szCs w:val="22"/>
        </w:rPr>
      </w:pPr>
      <w:r>
        <w:rPr>
          <w:sz w:val="22"/>
        </w:rPr>
        <w:t>- le respect du principe de bonne gestion financière, en particulier le caractère approprié des différents montants au regard des produits et/ou résultats attendus, compte tenu des recettes prévisibles que généreront les actions ou les programmes de travail;</w:t>
      </w:r>
    </w:p>
    <w:p w:rsidR="00C750B2" w:rsidRDefault="00C750B2" w:rsidP="00C750B2">
      <w:pPr>
        <w:spacing w:before="120" w:after="120"/>
        <w:ind w:firstLine="284"/>
        <w:jc w:val="both"/>
        <w:rPr>
          <w:sz w:val="22"/>
          <w:szCs w:val="22"/>
        </w:rPr>
      </w:pPr>
      <w:r>
        <w:rPr>
          <w:sz w:val="22"/>
        </w:rPr>
        <w:t>- la conformité aux principes de cofinancement et d’absence de double financement.</w:t>
      </w:r>
    </w:p>
    <w:p w:rsidR="00D30F38" w:rsidRDefault="00D30F38" w:rsidP="00BF439F">
      <w:pPr>
        <w:spacing w:before="120" w:after="120"/>
        <w:ind w:left="284" w:hanging="284"/>
        <w:jc w:val="both"/>
        <w:rPr>
          <w:sz w:val="22"/>
          <w:szCs w:val="22"/>
        </w:rPr>
      </w:pPr>
    </w:p>
    <w:p w:rsidR="00C750B2" w:rsidRDefault="00C750B2" w:rsidP="00BF439F">
      <w:pPr>
        <w:spacing w:before="120" w:after="120"/>
        <w:ind w:left="284" w:hanging="284"/>
        <w:jc w:val="both"/>
        <w:rPr>
          <w:sz w:val="22"/>
          <w:szCs w:val="22"/>
        </w:rPr>
      </w:pPr>
      <w:r>
        <w:rPr>
          <w:sz w:val="22"/>
        </w:rPr>
        <w:t>Lorsque les OSC sont récurrentes/systémiques, ces contrôles, ainsi que les exigences supplémentaires définies dans les termes de référence, sont exécutés par un auditeur externe dans le cadre d’une évaluation ex ante.</w:t>
      </w:r>
    </w:p>
    <w:p w:rsidR="0019251B" w:rsidRDefault="0019251B" w:rsidP="00BF439F">
      <w:pPr>
        <w:spacing w:before="120" w:after="120"/>
        <w:ind w:left="284" w:hanging="284"/>
        <w:jc w:val="both"/>
        <w:rPr>
          <w:sz w:val="22"/>
          <w:szCs w:val="22"/>
        </w:rPr>
      </w:pPr>
      <w:r>
        <w:rPr>
          <w:sz w:val="22"/>
        </w:rPr>
        <w:t>La décision d’autorisation s’applique au contrat spécifique concerné en cas d’OSC fondée sur les produits ou les résultats, tandis que, si une évaluation ex ante est obtenue, elle s’applique également à des contrats futurs.</w:t>
      </w:r>
    </w:p>
    <w:p w:rsidR="00C750B2" w:rsidRDefault="00C750B2" w:rsidP="00BF439F">
      <w:pPr>
        <w:spacing w:before="120" w:after="120"/>
        <w:ind w:left="284" w:hanging="284"/>
        <w:jc w:val="both"/>
        <w:rPr>
          <w:sz w:val="22"/>
          <w:szCs w:val="22"/>
        </w:rPr>
      </w:pPr>
    </w:p>
    <w:p w:rsidR="00A41D32" w:rsidRPr="00042B2F" w:rsidRDefault="0074131C" w:rsidP="00A036E0">
      <w:pPr>
        <w:spacing w:before="120" w:after="120"/>
        <w:jc w:val="both"/>
        <w:rPr>
          <w:b/>
          <w:sz w:val="22"/>
          <w:szCs w:val="22"/>
        </w:rPr>
      </w:pPr>
      <w:r>
        <w:rPr>
          <w:b/>
          <w:sz w:val="22"/>
        </w:rPr>
        <w:t>3. Dispositions uniquement applicables aux autres OSC/OSC récurrentes</w:t>
      </w:r>
    </w:p>
    <w:p w:rsidR="0096220E" w:rsidRDefault="00A036E0" w:rsidP="00BF439F">
      <w:pPr>
        <w:spacing w:before="120" w:after="120"/>
        <w:ind w:left="284" w:hanging="284"/>
        <w:jc w:val="both"/>
        <w:rPr>
          <w:sz w:val="22"/>
          <w:szCs w:val="22"/>
        </w:rPr>
      </w:pPr>
      <w:r>
        <w:rPr>
          <w:sz w:val="22"/>
        </w:rPr>
        <w:t>Les critères d’acceptation des OSC récurrentes sont définis par la Commission et traduits en termes de référence standardisés qui sont fournis par la Commission et qui doivent être observés par les auditeurs externes.</w:t>
      </w:r>
    </w:p>
    <w:p w:rsidR="0019251B" w:rsidRDefault="0019251B" w:rsidP="00BF439F">
      <w:pPr>
        <w:spacing w:before="120" w:after="120"/>
        <w:ind w:left="284" w:hanging="284"/>
        <w:jc w:val="both"/>
        <w:rPr>
          <w:sz w:val="22"/>
          <w:szCs w:val="22"/>
        </w:rPr>
      </w:pPr>
      <w:r>
        <w:rPr>
          <w:sz w:val="22"/>
        </w:rPr>
        <w:t>Des lignes directrices spécifiques sur la procédure à suivre pour l’évaluation ex ante des autres OSC/OSC récurrentes et la manière de les refléter convenablement dans les budgets de l’action seront transmises aux services.</w:t>
      </w:r>
    </w:p>
    <w:p w:rsidR="00A036E0" w:rsidRDefault="00A036E0" w:rsidP="00BF439F">
      <w:pPr>
        <w:spacing w:before="120" w:after="120"/>
        <w:ind w:left="284" w:hanging="284"/>
        <w:jc w:val="both"/>
        <w:rPr>
          <w:sz w:val="22"/>
          <w:szCs w:val="22"/>
        </w:rPr>
      </w:pPr>
      <w:r>
        <w:rPr>
          <w:sz w:val="22"/>
        </w:rPr>
        <w:t>Les OSC récurrentes/systémiques concernent généralement les méthodes de répartition des coûts pour les bureaux de projet et les coûts unitaires pour le personnel, mais peuvent également couvrir d’autres domaines.</w:t>
      </w:r>
    </w:p>
    <w:p w:rsidR="00A414E5" w:rsidRDefault="00A414E5" w:rsidP="00A414E5">
      <w:pPr>
        <w:pBdr>
          <w:top w:val="single" w:sz="4" w:space="1" w:color="auto"/>
          <w:left w:val="single" w:sz="4" w:space="4" w:color="auto"/>
          <w:bottom w:val="single" w:sz="4" w:space="1" w:color="auto"/>
          <w:right w:val="single" w:sz="4" w:space="4" w:color="auto"/>
        </w:pBdr>
        <w:spacing w:before="120" w:after="120"/>
        <w:ind w:left="284" w:hanging="284"/>
        <w:jc w:val="both"/>
        <w:rPr>
          <w:sz w:val="22"/>
          <w:szCs w:val="22"/>
        </w:rPr>
      </w:pPr>
    </w:p>
    <w:p w:rsidR="00042B2F" w:rsidRDefault="00042B2F" w:rsidP="00A414E5">
      <w:pPr>
        <w:pBdr>
          <w:top w:val="single" w:sz="4" w:space="1" w:color="auto"/>
          <w:left w:val="single" w:sz="4" w:space="4" w:color="auto"/>
          <w:bottom w:val="single" w:sz="4" w:space="1" w:color="auto"/>
          <w:right w:val="single" w:sz="4" w:space="4" w:color="auto"/>
        </w:pBdr>
        <w:spacing w:before="120" w:after="120"/>
        <w:ind w:left="284" w:hanging="284"/>
        <w:jc w:val="both"/>
        <w:rPr>
          <w:sz w:val="22"/>
          <w:szCs w:val="22"/>
        </w:rPr>
      </w:pPr>
      <w:r>
        <w:rPr>
          <w:sz w:val="22"/>
        </w:rPr>
        <w:t>Une fois l’évaluation ex ante réalisée, un service désigné au sein de la Commission est informé de son résultat. Une fois les résultats validés par la Commission, les informations pertinentes sont mises à disposition sur l’intranet de la Commission.</w:t>
      </w:r>
    </w:p>
    <w:p w:rsidR="00A414E5" w:rsidRPr="0074131C" w:rsidRDefault="00A414E5" w:rsidP="00A414E5">
      <w:pPr>
        <w:pBdr>
          <w:top w:val="single" w:sz="4" w:space="1" w:color="auto"/>
          <w:left w:val="single" w:sz="4" w:space="4" w:color="auto"/>
          <w:bottom w:val="single" w:sz="4" w:space="1" w:color="auto"/>
          <w:right w:val="single" w:sz="4" w:space="4" w:color="auto"/>
        </w:pBdr>
        <w:spacing w:before="120" w:after="120"/>
        <w:ind w:left="284" w:hanging="284"/>
        <w:jc w:val="both"/>
        <w:rPr>
          <w:sz w:val="22"/>
          <w:szCs w:val="22"/>
        </w:rPr>
      </w:pPr>
      <w:r>
        <w:rPr>
          <w:sz w:val="22"/>
        </w:rPr>
        <w:t>- Les bénéficiaires doivent conserver des registres adéquats et des pièces justificatives attestant que les coûts sont déclarés conformément à la méthode évaluée ex ante et que les conditions de qualité et de quantité (éventuelles) ont été respectées.</w:t>
      </w:r>
    </w:p>
    <w:p w:rsidR="00A414E5" w:rsidRDefault="0000286C" w:rsidP="00A414E5">
      <w:pPr>
        <w:pBdr>
          <w:top w:val="single" w:sz="4" w:space="1" w:color="auto"/>
          <w:left w:val="single" w:sz="4" w:space="4" w:color="auto"/>
          <w:bottom w:val="single" w:sz="4" w:space="1" w:color="auto"/>
          <w:right w:val="single" w:sz="4" w:space="4" w:color="auto"/>
        </w:pBdr>
        <w:spacing w:before="120" w:after="120"/>
        <w:ind w:left="284" w:hanging="284"/>
        <w:jc w:val="both"/>
        <w:rPr>
          <w:sz w:val="22"/>
          <w:szCs w:val="22"/>
        </w:rPr>
      </w:pPr>
      <w:r>
        <w:rPr>
          <w:sz w:val="22"/>
        </w:rPr>
        <w:t xml:space="preserve">- Si une vérification/un audit révèle que les méthodes de calcul appliquées par le ou les bénéficiaires ou par son entité ou ses entités affiliées pour déterminer les coûts unitaires, les montants forfaitaires, les financements à taux forfaitaire ou la méthode de répartition des coûts ne </w:t>
      </w:r>
      <w:r>
        <w:rPr>
          <w:sz w:val="22"/>
        </w:rPr>
        <w:lastRenderedPageBreak/>
        <w:t>correspondent pas à la méthodologie évaluée ex ante, l’administration contractante peut déclarer ces coûts inéligibles et récupérer jusqu’à l’intégralité du montant des coûts déclarés sous une forme simplifiée.</w:t>
      </w:r>
    </w:p>
    <w:p w:rsidR="00A414E5" w:rsidRDefault="00A414E5" w:rsidP="00A414E5">
      <w:pPr>
        <w:pBdr>
          <w:top w:val="single" w:sz="4" w:space="1" w:color="auto"/>
          <w:left w:val="single" w:sz="4" w:space="4" w:color="auto"/>
          <w:bottom w:val="single" w:sz="4" w:space="1" w:color="auto"/>
          <w:right w:val="single" w:sz="4" w:space="4" w:color="auto"/>
        </w:pBdr>
        <w:spacing w:before="120" w:after="120"/>
        <w:ind w:left="284" w:hanging="284"/>
        <w:jc w:val="both"/>
        <w:rPr>
          <w:sz w:val="22"/>
          <w:szCs w:val="22"/>
        </w:rPr>
      </w:pPr>
    </w:p>
    <w:p w:rsidR="00A414E5" w:rsidRDefault="00A414E5" w:rsidP="00BF439F">
      <w:pPr>
        <w:spacing w:before="120" w:after="120"/>
        <w:ind w:left="284" w:hanging="284"/>
        <w:jc w:val="both"/>
        <w:rPr>
          <w:sz w:val="22"/>
          <w:szCs w:val="22"/>
        </w:rPr>
      </w:pPr>
      <w:r>
        <w:rPr>
          <w:sz w:val="22"/>
        </w:rPr>
        <w:t>Des pratiques qui ont été évaluées positivement peuvent être utilisées pour to</w:t>
      </w:r>
      <w:bookmarkStart w:id="0" w:name="_GoBack"/>
      <w:bookmarkEnd w:id="0"/>
      <w:r>
        <w:rPr>
          <w:sz w:val="22"/>
        </w:rPr>
        <w:t>us les projets spécifiques, en indiquant de manière transparente les coûts correspondants dans le budget proposé et, pour les bureaux de projet, en ajoutant dans la description de l’action une référence claire à la nécessité d’un tel bureau de projet. L’ordonnateur compétent peut vérifier sur l’intranet si les pratiques dont l’utilisation dans des projets spécifiques a été suggérée ont bien fait l’objet d'une évaluation positive.</w:t>
      </w:r>
    </w:p>
    <w:p w:rsidR="00A41D32" w:rsidRDefault="00A41D32" w:rsidP="00A036E0">
      <w:pPr>
        <w:spacing w:before="120" w:after="120"/>
        <w:jc w:val="both"/>
        <w:rPr>
          <w:sz w:val="22"/>
          <w:szCs w:val="22"/>
        </w:rPr>
      </w:pPr>
    </w:p>
    <w:p w:rsidR="00A41D32" w:rsidRPr="00042B2F" w:rsidRDefault="0074131C" w:rsidP="0074131C">
      <w:pPr>
        <w:spacing w:before="120" w:after="120"/>
        <w:ind w:left="284" w:hanging="284"/>
        <w:jc w:val="both"/>
        <w:rPr>
          <w:b/>
          <w:sz w:val="22"/>
          <w:szCs w:val="22"/>
        </w:rPr>
      </w:pPr>
      <w:r>
        <w:rPr>
          <w:b/>
          <w:sz w:val="22"/>
        </w:rPr>
        <w:t>4. Dispositions applicables exclusivement aux OSC fondées sur les produits ou les résultats</w:t>
      </w:r>
    </w:p>
    <w:p w:rsidR="00A41D32" w:rsidRDefault="00A41D32" w:rsidP="00A41D32">
      <w:pPr>
        <w:pBdr>
          <w:top w:val="single" w:sz="4" w:space="1" w:color="auto"/>
          <w:left w:val="single" w:sz="4" w:space="4" w:color="auto"/>
          <w:bottom w:val="single" w:sz="4" w:space="1" w:color="auto"/>
          <w:right w:val="single" w:sz="4" w:space="4" w:color="auto"/>
        </w:pBdr>
        <w:spacing w:before="120" w:after="120"/>
        <w:jc w:val="both"/>
        <w:rPr>
          <w:sz w:val="22"/>
          <w:szCs w:val="22"/>
        </w:rPr>
      </w:pPr>
    </w:p>
    <w:p w:rsidR="00A41D32" w:rsidRPr="00C750B2" w:rsidRDefault="00A41D32" w:rsidP="00A41D32">
      <w:pPr>
        <w:pBdr>
          <w:top w:val="single" w:sz="4" w:space="1" w:color="auto"/>
          <w:left w:val="single" w:sz="4" w:space="4" w:color="auto"/>
          <w:bottom w:val="single" w:sz="4" w:space="1" w:color="auto"/>
          <w:right w:val="single" w:sz="4" w:space="4" w:color="auto"/>
        </w:pBdr>
        <w:spacing w:before="120" w:after="120"/>
        <w:jc w:val="both"/>
        <w:rPr>
          <w:sz w:val="22"/>
          <w:szCs w:val="22"/>
        </w:rPr>
      </w:pPr>
      <w:r>
        <w:rPr>
          <w:sz w:val="22"/>
        </w:rPr>
        <w:t>- Une fois évalués et approuvés par le comité d’évaluation et l’administration contractante, les montants de coûts simplifiés (tels que prévus dans le budget de l’action) ne feront pas l’objet d’une vérification ex post des données réelles sous-tendant les coûts. Ainsi, les auditeurs ne devront pas contrôler les pièces justificatives pour vérifier les frais réels supportés, mais ils vérifieront l’application correcte de la méthode et des formules utilisées pour calculer les coûts en se basant sur les intrants correspondants et les informations quantitatives et qualitatives pertinentes.</w:t>
      </w:r>
    </w:p>
    <w:p w:rsidR="00A41D32" w:rsidRDefault="00A41D32" w:rsidP="00A41D32">
      <w:pPr>
        <w:pBdr>
          <w:top w:val="single" w:sz="4" w:space="1" w:color="auto"/>
          <w:left w:val="single" w:sz="4" w:space="4" w:color="auto"/>
          <w:bottom w:val="single" w:sz="4" w:space="1" w:color="auto"/>
          <w:right w:val="single" w:sz="4" w:space="4" w:color="auto"/>
        </w:pBdr>
        <w:spacing w:before="120" w:after="120"/>
        <w:ind w:left="284" w:hanging="284"/>
        <w:jc w:val="both"/>
        <w:rPr>
          <w:sz w:val="22"/>
          <w:szCs w:val="22"/>
        </w:rPr>
      </w:pPr>
      <w:r>
        <w:rPr>
          <w:sz w:val="22"/>
        </w:rPr>
        <w:t>- Les bénéficiaires doivent conserver des registres adéquats et des pièces justificatives attestant que les coûts sont déclarés conformément à la méthode et aux formules agréées et que les conditions de qualité et de quantité ont été respectées.</w:t>
      </w:r>
    </w:p>
    <w:p w:rsidR="00A41D32" w:rsidRDefault="0000286C" w:rsidP="0074131C">
      <w:pPr>
        <w:pBdr>
          <w:top w:val="single" w:sz="4" w:space="1" w:color="auto"/>
          <w:left w:val="single" w:sz="4" w:space="4" w:color="auto"/>
          <w:bottom w:val="single" w:sz="4" w:space="1" w:color="auto"/>
          <w:right w:val="single" w:sz="4" w:space="4" w:color="auto"/>
        </w:pBdr>
        <w:spacing w:before="120" w:after="120"/>
        <w:ind w:left="284" w:hanging="284"/>
        <w:jc w:val="both"/>
        <w:rPr>
          <w:sz w:val="22"/>
          <w:szCs w:val="22"/>
        </w:rPr>
      </w:pPr>
      <w:r>
        <w:rPr>
          <w:sz w:val="22"/>
        </w:rPr>
        <w:t>- Si une vérification/un audit révèle que les méthodes de calcul appliquées par le ou les bénéficiaires ou par son entité ou ses entités affiliées pour déterminer les coûts unitaires, les montants forfaitaires ou les financements à taux forfaitaire, ne sont pas conformes aux conditions pertinentes ou informations factuelles (par exemple si les faits générateurs n’ont pas eu lieu), l’administration contractante peut déclarer ces coûts inéligibles et récupérer jusqu’à l’intégralité du montant des coûts déclarés sous une forme simplifiée.</w:t>
      </w:r>
    </w:p>
    <w:p w:rsidR="0074131C" w:rsidRDefault="0074131C" w:rsidP="0074131C">
      <w:pPr>
        <w:pBdr>
          <w:top w:val="single" w:sz="4" w:space="1" w:color="auto"/>
          <w:left w:val="single" w:sz="4" w:space="4" w:color="auto"/>
          <w:bottom w:val="single" w:sz="4" w:space="1" w:color="auto"/>
          <w:right w:val="single" w:sz="4" w:space="4" w:color="auto"/>
        </w:pBdr>
        <w:spacing w:before="120" w:after="120"/>
        <w:ind w:left="284" w:hanging="284"/>
        <w:jc w:val="both"/>
        <w:rPr>
          <w:b/>
          <w:sz w:val="22"/>
          <w:szCs w:val="22"/>
        </w:rPr>
      </w:pPr>
    </w:p>
    <w:p w:rsidR="00D63E8E" w:rsidRPr="0074131C" w:rsidRDefault="00D63E8E" w:rsidP="00D63E8E">
      <w:pPr>
        <w:jc w:val="both"/>
      </w:pPr>
    </w:p>
    <w:p w:rsidR="00D63E8E" w:rsidRPr="00D63E8E" w:rsidRDefault="007B63BD" w:rsidP="00D63E8E">
      <w:pPr>
        <w:jc w:val="both"/>
        <w:rPr>
          <w:rFonts w:eastAsia="Calibri"/>
          <w:b/>
          <w:sz w:val="22"/>
          <w:szCs w:val="22"/>
        </w:rPr>
      </w:pPr>
      <w:r>
        <w:rPr>
          <w:b/>
          <w:sz w:val="22"/>
        </w:rPr>
        <w:t>5. Pratiques comptables acceptées par les autorités nationales</w:t>
      </w:r>
    </w:p>
    <w:p w:rsidR="00D63E8E" w:rsidRPr="00D63E8E" w:rsidRDefault="00D63E8E" w:rsidP="00D63E8E">
      <w:pPr>
        <w:jc w:val="both"/>
        <w:rPr>
          <w:rFonts w:eastAsia="Calibri"/>
          <w:sz w:val="22"/>
          <w:szCs w:val="22"/>
        </w:rPr>
      </w:pPr>
    </w:p>
    <w:p w:rsidR="007B63BD" w:rsidRDefault="007B63BD" w:rsidP="00D63E8E">
      <w:pPr>
        <w:jc w:val="both"/>
        <w:rPr>
          <w:rFonts w:eastAsia="Calibri"/>
          <w:sz w:val="22"/>
          <w:szCs w:val="22"/>
        </w:rPr>
      </w:pPr>
      <w:r>
        <w:rPr>
          <w:sz w:val="22"/>
        </w:rPr>
        <w:t>En plus des options susmentionnées, l'ordonnateur compétent peut considérer que les pratiques habituelles du bénéficiaire en matière de comptabilité analytique sont conformes aux conditions établies au point 2, si elles sont acceptées par les autorités nationales dans le cadre de systèmes de financement comparables</w:t>
      </w:r>
      <w:r>
        <w:rPr>
          <w:rStyle w:val="FootnoteReference"/>
          <w:sz w:val="22"/>
        </w:rPr>
        <w:footnoteReference w:id="3"/>
      </w:r>
      <w:r>
        <w:rPr>
          <w:sz w:val="22"/>
        </w:rPr>
        <w:t>. Dans ce cas, le bénéficiaire de la subvention démontre que l’autorité nationale a accepté les pratiques habituelles en matière de comptabilité analytique et est tenu de préciser dans quel contexte cette acceptation a été donnée.</w:t>
      </w:r>
    </w:p>
    <w:p w:rsidR="00D63E8E" w:rsidRPr="00D63E8E" w:rsidRDefault="007B63BD" w:rsidP="00D63E8E">
      <w:pPr>
        <w:jc w:val="both"/>
        <w:rPr>
          <w:rFonts w:eastAsia="Calibri"/>
          <w:sz w:val="22"/>
          <w:szCs w:val="22"/>
        </w:rPr>
      </w:pPr>
      <w:r>
        <w:rPr>
          <w:sz w:val="22"/>
        </w:rPr>
        <w:t>La Commission détermine ensuite si le système de financement est comparable et, dans l'affirmative, considère ces pratiques comme si elles avaient fait l’objet d'une évaluation ex ante par un auditeur externe.</w:t>
      </w:r>
    </w:p>
    <w:p w:rsidR="006504D9" w:rsidRPr="00D63E8E" w:rsidRDefault="006504D9" w:rsidP="00BF439F">
      <w:pPr>
        <w:spacing w:before="120" w:after="120"/>
        <w:jc w:val="both"/>
        <w:rPr>
          <w:rFonts w:eastAsia="Calibri"/>
          <w:sz w:val="22"/>
          <w:szCs w:val="22"/>
        </w:rPr>
      </w:pPr>
    </w:p>
    <w:p w:rsidR="0074131C" w:rsidRDefault="0074131C" w:rsidP="0074131C">
      <w:pPr>
        <w:spacing w:before="120" w:after="120"/>
        <w:ind w:left="284" w:hanging="284"/>
        <w:jc w:val="both"/>
        <w:rPr>
          <w:sz w:val="22"/>
          <w:szCs w:val="22"/>
        </w:rPr>
      </w:pPr>
    </w:p>
    <w:p w:rsidR="0074131C" w:rsidRDefault="0074131C" w:rsidP="0074131C">
      <w:pPr>
        <w:spacing w:before="120" w:after="120"/>
        <w:ind w:left="284" w:hanging="284"/>
        <w:jc w:val="both"/>
        <w:rPr>
          <w:sz w:val="22"/>
          <w:szCs w:val="22"/>
        </w:rPr>
      </w:pPr>
    </w:p>
    <w:p w:rsidR="0074131C" w:rsidRDefault="0074131C" w:rsidP="0074131C">
      <w:pPr>
        <w:spacing w:before="120" w:after="120"/>
        <w:ind w:left="284" w:hanging="284"/>
        <w:jc w:val="both"/>
        <w:rPr>
          <w:sz w:val="22"/>
          <w:szCs w:val="22"/>
        </w:rPr>
      </w:pPr>
    </w:p>
    <w:p w:rsidR="0074131C" w:rsidRDefault="0074131C" w:rsidP="0074131C">
      <w:pPr>
        <w:spacing w:before="120" w:after="120"/>
        <w:ind w:left="284" w:hanging="284"/>
        <w:jc w:val="both"/>
        <w:rPr>
          <w:sz w:val="22"/>
          <w:szCs w:val="22"/>
        </w:rPr>
      </w:pPr>
    </w:p>
    <w:p w:rsidR="0074131C" w:rsidRDefault="0074131C" w:rsidP="0074131C">
      <w:pPr>
        <w:spacing w:before="120" w:after="120"/>
        <w:ind w:left="284" w:hanging="284"/>
        <w:jc w:val="both"/>
        <w:rPr>
          <w:sz w:val="22"/>
          <w:szCs w:val="22"/>
        </w:rPr>
      </w:pPr>
    </w:p>
    <w:p w:rsidR="0074131C" w:rsidRDefault="0074131C" w:rsidP="0074131C">
      <w:pPr>
        <w:spacing w:before="120" w:after="120"/>
        <w:ind w:left="284" w:hanging="284"/>
        <w:jc w:val="both"/>
        <w:rPr>
          <w:sz w:val="22"/>
          <w:szCs w:val="22"/>
        </w:rPr>
      </w:pPr>
    </w:p>
    <w:p w:rsidR="0074131C" w:rsidRDefault="0074131C" w:rsidP="0074131C">
      <w:pPr>
        <w:spacing w:before="120" w:after="120"/>
        <w:ind w:left="284" w:hanging="284"/>
        <w:jc w:val="both"/>
        <w:rPr>
          <w:sz w:val="22"/>
          <w:szCs w:val="22"/>
        </w:rPr>
      </w:pPr>
    </w:p>
    <w:p w:rsidR="0074131C" w:rsidRDefault="0074131C" w:rsidP="0074131C">
      <w:pPr>
        <w:spacing w:before="120" w:after="120"/>
        <w:ind w:left="284" w:hanging="284"/>
        <w:jc w:val="both"/>
        <w:rPr>
          <w:sz w:val="22"/>
          <w:szCs w:val="22"/>
        </w:rPr>
      </w:pPr>
    </w:p>
    <w:p w:rsidR="0074131C" w:rsidRDefault="0074131C" w:rsidP="0074131C">
      <w:pPr>
        <w:spacing w:before="120" w:after="120"/>
        <w:ind w:left="284" w:hanging="284"/>
        <w:jc w:val="both"/>
        <w:rPr>
          <w:sz w:val="22"/>
          <w:szCs w:val="22"/>
        </w:rPr>
      </w:pPr>
    </w:p>
    <w:p w:rsidR="0074131C" w:rsidRDefault="0074131C" w:rsidP="0074131C">
      <w:pPr>
        <w:spacing w:before="120" w:after="120"/>
        <w:ind w:left="284" w:hanging="284"/>
        <w:jc w:val="both"/>
        <w:rPr>
          <w:sz w:val="22"/>
          <w:szCs w:val="22"/>
        </w:rPr>
      </w:pPr>
    </w:p>
    <w:p w:rsidR="0074131C" w:rsidRDefault="0074131C" w:rsidP="0074131C">
      <w:pPr>
        <w:spacing w:before="120" w:after="120"/>
        <w:ind w:left="284" w:hanging="284"/>
        <w:jc w:val="both"/>
        <w:rPr>
          <w:sz w:val="22"/>
          <w:szCs w:val="22"/>
        </w:rPr>
      </w:pPr>
    </w:p>
    <w:p w:rsidR="0074131C" w:rsidRDefault="0074131C" w:rsidP="0074131C">
      <w:pPr>
        <w:spacing w:before="120" w:after="120"/>
        <w:ind w:left="284" w:hanging="284"/>
        <w:jc w:val="both"/>
        <w:rPr>
          <w:sz w:val="22"/>
          <w:szCs w:val="22"/>
        </w:rPr>
      </w:pPr>
    </w:p>
    <w:p w:rsidR="0074131C" w:rsidRDefault="0074131C" w:rsidP="0074131C">
      <w:pPr>
        <w:spacing w:before="120" w:after="120"/>
        <w:ind w:left="284" w:hanging="284"/>
        <w:jc w:val="both"/>
        <w:rPr>
          <w:sz w:val="22"/>
          <w:szCs w:val="22"/>
        </w:rPr>
      </w:pPr>
    </w:p>
    <w:p w:rsidR="0074131C" w:rsidRDefault="0074131C" w:rsidP="0074131C">
      <w:pPr>
        <w:spacing w:before="120" w:after="120"/>
        <w:ind w:left="284" w:hanging="284"/>
        <w:jc w:val="both"/>
        <w:rPr>
          <w:sz w:val="22"/>
          <w:szCs w:val="22"/>
        </w:rPr>
      </w:pPr>
    </w:p>
    <w:p w:rsidR="00262C0E" w:rsidRPr="00DB79A2" w:rsidRDefault="00262C0E" w:rsidP="0074131C">
      <w:pPr>
        <w:spacing w:before="120" w:after="120"/>
        <w:ind w:left="284" w:hanging="284"/>
        <w:jc w:val="both"/>
        <w:rPr>
          <w:sz w:val="22"/>
          <w:szCs w:val="22"/>
        </w:rPr>
      </w:pPr>
    </w:p>
    <w:p w:rsidR="00262C0E" w:rsidRPr="00DB79A2" w:rsidRDefault="00025B15" w:rsidP="00BF439F">
      <w:pPr>
        <w:pBdr>
          <w:top w:val="single" w:sz="8" w:space="1" w:color="auto"/>
          <w:left w:val="single" w:sz="8" w:space="4" w:color="auto"/>
          <w:bottom w:val="single" w:sz="8" w:space="1" w:color="auto"/>
          <w:right w:val="single" w:sz="8" w:space="4" w:color="auto"/>
        </w:pBdr>
        <w:spacing w:before="120"/>
        <w:jc w:val="both"/>
        <w:rPr>
          <w:b/>
          <w:u w:val="single"/>
        </w:rPr>
      </w:pPr>
      <w:r>
        <w:rPr>
          <w:b/>
          <w:u w:val="single"/>
        </w:rPr>
        <w:t xml:space="preserve">NB: informations à faire figurer dans le budget de l’action en cas d'options simplifiées en matière de coûts </w:t>
      </w:r>
    </w:p>
    <w:p w:rsidR="00262C0E" w:rsidRPr="00DB79A2" w:rsidRDefault="00565643" w:rsidP="00BF439F">
      <w:pPr>
        <w:pBdr>
          <w:top w:val="single" w:sz="8" w:space="1" w:color="auto"/>
          <w:left w:val="single" w:sz="8" w:space="4" w:color="auto"/>
          <w:bottom w:val="single" w:sz="8" w:space="1" w:color="auto"/>
          <w:right w:val="single" w:sz="8" w:space="4" w:color="auto"/>
        </w:pBdr>
        <w:spacing w:before="120"/>
        <w:jc w:val="both"/>
        <w:rPr>
          <w:sz w:val="22"/>
          <w:szCs w:val="22"/>
        </w:rPr>
      </w:pPr>
      <w:r>
        <w:rPr>
          <w:sz w:val="22"/>
        </w:rPr>
        <w:t>Les demandeurs qui proposent des options simplifiées en matière de coûts doivent faire apparaître clairement, dans la première feuille de calcul du budget de l’action, chaque rubrique/poste</w:t>
      </w:r>
      <w:r>
        <w:rPr>
          <w:rStyle w:val="FootnoteReference"/>
        </w:rPr>
        <w:footnoteReference w:id="4"/>
      </w:r>
      <w:r>
        <w:rPr>
          <w:sz w:val="22"/>
        </w:rPr>
        <w:t xml:space="preserve"> de coûts éligibles concerné(e) par ce type de financement, en indiquant, en lettres capitales, la mention «COÛT UNITAIRE» (par mois/vol, etc.). «MONTANT FORFAITAIRE» ou «TAUX FORFAITAIRE» dans la colonne «Unité», comme dans l’exemple ci-dessous. </w:t>
      </w:r>
    </w:p>
    <w:p w:rsidR="00262C0E" w:rsidRPr="00DB79A2" w:rsidRDefault="00262C0E" w:rsidP="00DB79A2">
      <w:pPr>
        <w:spacing w:before="120" w:after="120"/>
        <w:rPr>
          <w:sz w:val="22"/>
          <w:szCs w:val="22"/>
        </w:rPr>
      </w:pPr>
    </w:p>
    <w:tbl>
      <w:tblPr>
        <w:tblW w:w="5000" w:type="pct"/>
        <w:tblLook w:val="04A0" w:firstRow="1" w:lastRow="0" w:firstColumn="1" w:lastColumn="0" w:noHBand="0" w:noVBand="1"/>
      </w:tblPr>
      <w:tblGrid>
        <w:gridCol w:w="3328"/>
        <w:gridCol w:w="2761"/>
        <w:gridCol w:w="1389"/>
        <w:gridCol w:w="894"/>
        <w:gridCol w:w="916"/>
      </w:tblGrid>
      <w:tr w:rsidR="00262C0E" w:rsidRPr="00B344FC" w:rsidTr="00B75158">
        <w:trPr>
          <w:trHeight w:val="480"/>
        </w:trPr>
        <w:tc>
          <w:tcPr>
            <w:tcW w:w="2418" w:type="pct"/>
            <w:tcBorders>
              <w:top w:val="single" w:sz="8" w:space="0" w:color="auto"/>
              <w:left w:val="single" w:sz="8" w:space="0" w:color="auto"/>
              <w:bottom w:val="single" w:sz="8" w:space="0" w:color="auto"/>
              <w:right w:val="nil"/>
            </w:tcBorders>
            <w:shd w:val="clear" w:color="auto" w:fill="BFBFBF"/>
            <w:hideMark/>
          </w:tcPr>
          <w:p w:rsidR="00262C0E" w:rsidRPr="00B344FC" w:rsidRDefault="00262C0E" w:rsidP="00DB79A2">
            <w:pPr>
              <w:jc w:val="center"/>
              <w:rPr>
                <w:b/>
              </w:rPr>
            </w:pPr>
            <w:r>
              <w:rPr>
                <w:b/>
              </w:rPr>
              <w:t xml:space="preserve"> Budget de l’action</w:t>
            </w:r>
          </w:p>
        </w:tc>
        <w:tc>
          <w:tcPr>
            <w:tcW w:w="2582" w:type="pct"/>
            <w:gridSpan w:val="4"/>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262C0E" w:rsidRPr="00B344FC" w:rsidRDefault="00262C0E" w:rsidP="00DB79A2">
            <w:pPr>
              <w:jc w:val="center"/>
              <w:rPr>
                <w:b/>
              </w:rPr>
            </w:pPr>
            <w:r>
              <w:rPr>
                <w:b/>
              </w:rPr>
              <w:t>Toutes les années</w:t>
            </w:r>
          </w:p>
        </w:tc>
      </w:tr>
      <w:tr w:rsidR="007D7560" w:rsidRPr="00B344FC" w:rsidTr="00B75158">
        <w:trPr>
          <w:trHeight w:val="736"/>
        </w:trPr>
        <w:tc>
          <w:tcPr>
            <w:tcW w:w="2418" w:type="pct"/>
            <w:tcBorders>
              <w:top w:val="single" w:sz="8" w:space="0" w:color="auto"/>
              <w:left w:val="single" w:sz="8" w:space="0" w:color="auto"/>
              <w:bottom w:val="single" w:sz="4" w:space="0" w:color="auto"/>
              <w:right w:val="single" w:sz="4" w:space="0" w:color="auto"/>
            </w:tcBorders>
            <w:shd w:val="clear" w:color="000000" w:fill="C0C0C0"/>
            <w:vAlign w:val="center"/>
            <w:hideMark/>
          </w:tcPr>
          <w:p w:rsidR="00262C0E" w:rsidRPr="00B344FC" w:rsidRDefault="00262C0E" w:rsidP="00262C0E">
            <w:pPr>
              <w:jc w:val="center"/>
              <w:rPr>
                <w:b/>
              </w:rPr>
            </w:pPr>
            <w:r>
              <w:rPr>
                <w:b/>
              </w:rPr>
              <w:t>Coûts</w:t>
            </w:r>
          </w:p>
        </w:tc>
        <w:tc>
          <w:tcPr>
            <w:tcW w:w="1122" w:type="pct"/>
            <w:tcBorders>
              <w:top w:val="nil"/>
              <w:left w:val="nil"/>
              <w:bottom w:val="single" w:sz="4" w:space="0" w:color="auto"/>
              <w:right w:val="single" w:sz="4" w:space="0" w:color="auto"/>
            </w:tcBorders>
            <w:shd w:val="clear" w:color="000000" w:fill="C0C0C0"/>
            <w:noWrap/>
            <w:hideMark/>
          </w:tcPr>
          <w:p w:rsidR="00262C0E" w:rsidRPr="00B344FC" w:rsidRDefault="00262C0E" w:rsidP="007D7560">
            <w:pPr>
              <w:jc w:val="center"/>
              <w:rPr>
                <w:b/>
              </w:rPr>
            </w:pPr>
            <w:r>
              <w:rPr>
                <w:b/>
              </w:rPr>
              <w:t>Unité</w:t>
            </w:r>
          </w:p>
        </w:tc>
        <w:tc>
          <w:tcPr>
            <w:tcW w:w="653" w:type="pct"/>
            <w:tcBorders>
              <w:top w:val="nil"/>
              <w:left w:val="nil"/>
              <w:bottom w:val="single" w:sz="4" w:space="0" w:color="auto"/>
              <w:right w:val="single" w:sz="4" w:space="0" w:color="auto"/>
            </w:tcBorders>
            <w:shd w:val="clear" w:color="000000" w:fill="C0C0C0"/>
            <w:noWrap/>
            <w:hideMark/>
          </w:tcPr>
          <w:p w:rsidR="00262C0E" w:rsidRPr="00B344FC" w:rsidRDefault="00262C0E" w:rsidP="007D7560">
            <w:pPr>
              <w:jc w:val="center"/>
              <w:rPr>
                <w:b/>
              </w:rPr>
            </w:pPr>
            <w:r>
              <w:rPr>
                <w:b/>
              </w:rPr>
              <w:t>Nbre d’unités</w:t>
            </w:r>
          </w:p>
        </w:tc>
        <w:tc>
          <w:tcPr>
            <w:tcW w:w="390" w:type="pct"/>
            <w:tcBorders>
              <w:top w:val="nil"/>
              <w:left w:val="nil"/>
              <w:bottom w:val="single" w:sz="4" w:space="0" w:color="auto"/>
              <w:right w:val="single" w:sz="4" w:space="0" w:color="auto"/>
            </w:tcBorders>
            <w:shd w:val="clear" w:color="000000" w:fill="C0C0C0"/>
            <w:hideMark/>
          </w:tcPr>
          <w:p w:rsidR="00262C0E" w:rsidRPr="00B344FC" w:rsidRDefault="00262C0E" w:rsidP="00B75158">
            <w:pPr>
              <w:jc w:val="right"/>
              <w:rPr>
                <w:b/>
              </w:rPr>
            </w:pPr>
            <w:r>
              <w:rPr>
                <w:b/>
              </w:rPr>
              <w:t xml:space="preserve">Valeur unitaire </w:t>
            </w:r>
            <w:r>
              <w:rPr>
                <w:b/>
              </w:rPr>
              <w:br/>
              <w:t>(en EUR)</w:t>
            </w:r>
          </w:p>
        </w:tc>
        <w:tc>
          <w:tcPr>
            <w:tcW w:w="418" w:type="pct"/>
            <w:tcBorders>
              <w:top w:val="nil"/>
              <w:left w:val="nil"/>
              <w:bottom w:val="single" w:sz="4" w:space="0" w:color="auto"/>
              <w:right w:val="single" w:sz="8" w:space="0" w:color="auto"/>
            </w:tcBorders>
            <w:shd w:val="clear" w:color="000000" w:fill="C0C0C0"/>
            <w:hideMark/>
          </w:tcPr>
          <w:p w:rsidR="00262C0E" w:rsidRPr="00B344FC" w:rsidRDefault="00262C0E" w:rsidP="007D7560">
            <w:pPr>
              <w:jc w:val="center"/>
              <w:rPr>
                <w:b/>
              </w:rPr>
            </w:pPr>
            <w:r>
              <w:rPr>
                <w:b/>
              </w:rPr>
              <w:t>Coûts</w:t>
            </w:r>
            <w:r>
              <w:rPr>
                <w:b/>
              </w:rPr>
              <w:br/>
              <w:t>(en EUR)</w:t>
            </w:r>
          </w:p>
        </w:tc>
      </w:tr>
      <w:tr w:rsidR="00262C0E" w:rsidRPr="00B344FC" w:rsidTr="00B75158">
        <w:trPr>
          <w:trHeight w:val="300"/>
        </w:trPr>
        <w:tc>
          <w:tcPr>
            <w:tcW w:w="2418" w:type="pct"/>
            <w:tcBorders>
              <w:top w:val="nil"/>
              <w:left w:val="single" w:sz="8" w:space="0" w:color="auto"/>
              <w:bottom w:val="single" w:sz="4" w:space="0" w:color="auto"/>
              <w:right w:val="single" w:sz="4" w:space="0" w:color="auto"/>
            </w:tcBorders>
            <w:shd w:val="clear" w:color="auto" w:fill="auto"/>
            <w:vAlign w:val="center"/>
            <w:hideMark/>
          </w:tcPr>
          <w:p w:rsidR="00262C0E" w:rsidRPr="00B344FC" w:rsidRDefault="00262C0E" w:rsidP="00DB79A2">
            <w:pPr>
              <w:rPr>
                <w:b/>
              </w:rPr>
            </w:pPr>
            <w:r>
              <w:rPr>
                <w:b/>
              </w:rPr>
              <w:t>1. Ressources humaines</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rPr>
                <w:b/>
              </w:rPr>
            </w:pPr>
            <w:r>
              <w:rPr>
                <w:b/>
              </w:rPr>
              <w:t> </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pPr>
              <w:rPr>
                <w:b/>
              </w:rPr>
            </w:pPr>
            <w:r>
              <w:rPr>
                <w:b/>
              </w:rP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rPr>
                <w:b/>
              </w:rPr>
            </w:pPr>
            <w:r>
              <w:rPr>
                <w:b/>
              </w:rP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DB79A2">
            <w:pPr>
              <w:rPr>
                <w:b/>
              </w:rPr>
            </w:pPr>
            <w:r>
              <w:rPr>
                <w:b/>
              </w:rPr>
              <w:t> </w:t>
            </w:r>
          </w:p>
        </w:tc>
      </w:tr>
      <w:tr w:rsidR="00262C0E" w:rsidRPr="00B344FC" w:rsidTr="00B75158">
        <w:trPr>
          <w:trHeight w:val="540"/>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1.1 Salaires (montants bruts incluant les charges de sécurité sociale et les autres coûts liés, personnel local)</w:t>
            </w:r>
            <w:r>
              <w:rPr>
                <w:vertAlign w:val="superscript"/>
              </w:rPr>
              <w:t>4</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pPr>
            <w:r>
              <w:t> </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 xml:space="preserve">   1.1.1 Personnel technique</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7C1CAF" w:rsidP="007D7560">
            <w:pPr>
              <w:jc w:val="center"/>
            </w:pPr>
            <w:r>
              <w:t>par mois</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center"/>
            </w:pPr>
            <w:r>
              <w:t>12</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4 000</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48 000</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 xml:space="preserve">   1.1.2 Personnel administratif/d’appui</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997663" w:rsidP="007D7560">
            <w:pPr>
              <w:jc w:val="center"/>
            </w:pPr>
            <w:r>
              <w:rPr>
                <w:b/>
              </w:rPr>
              <w:t>COÛT UNITAIRE</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center"/>
            </w:pPr>
            <w:r>
              <w:t>12</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3 500 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42 000</w:t>
            </w:r>
          </w:p>
        </w:tc>
      </w:tr>
      <w:tr w:rsidR="00262C0E" w:rsidRPr="00B344FC" w:rsidTr="00B75158">
        <w:trPr>
          <w:trHeight w:val="28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1.3 Per diems pour missions/déplacements</w:t>
            </w:r>
            <w:r>
              <w:rPr>
                <w:vertAlign w:val="superscript"/>
              </w:rPr>
              <w:t>5</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pPr>
            <w:r>
              <w:t> </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center"/>
            </w:pP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lastRenderedPageBreak/>
              <w:t xml:space="preserve">   1.3.1 À l'étranger (personnel affecté à l'action):</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pPr>
            <w:r>
              <w:t>Per diem</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center"/>
            </w:pPr>
            <w:r>
              <w:t>60</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100</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6 000</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 xml:space="preserve">   1.3.1 Sur place (personnel affecté à l'action):</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pPr>
            <w:r>
              <w:rPr>
                <w:b/>
              </w:rPr>
              <w:t xml:space="preserve"> </w:t>
            </w:r>
            <w:r>
              <w:t>Per diem</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center"/>
            </w:pPr>
            <w:r>
              <w:t>200</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20</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4 000 </w:t>
            </w:r>
          </w:p>
        </w:tc>
      </w:tr>
      <w:tr w:rsidR="007D7560" w:rsidRPr="00B344FC" w:rsidTr="00B75158">
        <w:trPr>
          <w:trHeight w:val="300"/>
        </w:trPr>
        <w:tc>
          <w:tcPr>
            <w:tcW w:w="2418" w:type="pct"/>
            <w:tcBorders>
              <w:top w:val="nil"/>
              <w:left w:val="single" w:sz="8" w:space="0" w:color="auto"/>
              <w:bottom w:val="single" w:sz="4" w:space="0" w:color="auto"/>
              <w:right w:val="nil"/>
            </w:tcBorders>
            <w:shd w:val="clear" w:color="000000" w:fill="C0C0C0"/>
            <w:vAlign w:val="bottom"/>
            <w:hideMark/>
          </w:tcPr>
          <w:p w:rsidR="00262C0E" w:rsidRPr="00B344FC" w:rsidRDefault="00262C0E" w:rsidP="00DB79A2">
            <w:pPr>
              <w:rPr>
                <w:b/>
                <w:i/>
              </w:rPr>
            </w:pPr>
            <w:r>
              <w:rPr>
                <w:b/>
                <w:i/>
              </w:rPr>
              <w:t>Sous-total Ressources humaines</w:t>
            </w:r>
          </w:p>
        </w:tc>
        <w:tc>
          <w:tcPr>
            <w:tcW w:w="1122" w:type="pct"/>
            <w:tcBorders>
              <w:top w:val="nil"/>
              <w:left w:val="nil"/>
              <w:bottom w:val="single" w:sz="4" w:space="0" w:color="auto"/>
              <w:right w:val="nil"/>
            </w:tcBorders>
            <w:shd w:val="clear" w:color="000000" w:fill="C0C0C0"/>
            <w:noWrap/>
            <w:vAlign w:val="bottom"/>
            <w:hideMark/>
          </w:tcPr>
          <w:p w:rsidR="00262C0E" w:rsidRPr="00B344FC" w:rsidRDefault="00262C0E" w:rsidP="00DB79A2">
            <w:pPr>
              <w:jc w:val="center"/>
              <w:rPr>
                <w:b/>
                <w:i/>
              </w:rPr>
            </w:pPr>
            <w:r>
              <w:rPr>
                <w:b/>
                <w:i/>
              </w:rPr>
              <w:t> </w:t>
            </w:r>
          </w:p>
        </w:tc>
        <w:tc>
          <w:tcPr>
            <w:tcW w:w="653" w:type="pct"/>
            <w:tcBorders>
              <w:top w:val="nil"/>
              <w:left w:val="nil"/>
              <w:bottom w:val="single" w:sz="4" w:space="0" w:color="auto"/>
              <w:right w:val="nil"/>
            </w:tcBorders>
            <w:shd w:val="clear" w:color="000000" w:fill="C0C0C0"/>
            <w:noWrap/>
            <w:vAlign w:val="bottom"/>
            <w:hideMark/>
          </w:tcPr>
          <w:p w:rsidR="00262C0E" w:rsidRPr="00B344FC" w:rsidRDefault="00262C0E" w:rsidP="00B75158">
            <w:pPr>
              <w:jc w:val="center"/>
              <w:rPr>
                <w:b/>
                <w:i/>
              </w:rPr>
            </w:pPr>
          </w:p>
        </w:tc>
        <w:tc>
          <w:tcPr>
            <w:tcW w:w="390" w:type="pct"/>
            <w:tcBorders>
              <w:top w:val="nil"/>
              <w:left w:val="nil"/>
              <w:bottom w:val="single" w:sz="4" w:space="0" w:color="auto"/>
              <w:right w:val="single" w:sz="4" w:space="0" w:color="auto"/>
            </w:tcBorders>
            <w:shd w:val="clear" w:color="000000" w:fill="C0C0C0"/>
            <w:noWrap/>
            <w:vAlign w:val="bottom"/>
            <w:hideMark/>
          </w:tcPr>
          <w:p w:rsidR="00262C0E" w:rsidRPr="00B344FC" w:rsidRDefault="00262C0E" w:rsidP="00B75158">
            <w:pPr>
              <w:jc w:val="right"/>
              <w:rPr>
                <w:b/>
              </w:rPr>
            </w:pPr>
            <w:r>
              <w:rPr>
                <w:b/>
              </w:rPr>
              <w:t> </w:t>
            </w:r>
          </w:p>
        </w:tc>
        <w:tc>
          <w:tcPr>
            <w:tcW w:w="418" w:type="pct"/>
            <w:tcBorders>
              <w:top w:val="nil"/>
              <w:left w:val="nil"/>
              <w:bottom w:val="single" w:sz="4" w:space="0" w:color="auto"/>
              <w:right w:val="single" w:sz="8" w:space="0" w:color="auto"/>
            </w:tcBorders>
            <w:shd w:val="clear" w:color="000000" w:fill="C0C0C0"/>
            <w:noWrap/>
            <w:vAlign w:val="bottom"/>
            <w:hideMark/>
          </w:tcPr>
          <w:p w:rsidR="00262C0E" w:rsidRPr="00B344FC" w:rsidRDefault="00262C0E" w:rsidP="00B75158">
            <w:pPr>
              <w:jc w:val="right"/>
              <w:rPr>
                <w:b/>
              </w:rPr>
            </w:pPr>
            <w:r>
              <w:rPr>
                <w:b/>
              </w:rPr>
              <w:t> 100 000</w:t>
            </w:r>
          </w:p>
        </w:tc>
      </w:tr>
      <w:tr w:rsidR="00262C0E" w:rsidRPr="00B344FC" w:rsidTr="00B75158">
        <w:trPr>
          <w:trHeight w:val="300"/>
        </w:trPr>
        <w:tc>
          <w:tcPr>
            <w:tcW w:w="2418" w:type="pct"/>
            <w:tcBorders>
              <w:top w:val="nil"/>
              <w:left w:val="single" w:sz="8" w:space="0" w:color="auto"/>
              <w:bottom w:val="single" w:sz="4" w:space="0" w:color="auto"/>
              <w:right w:val="single" w:sz="4" w:space="0" w:color="auto"/>
            </w:tcBorders>
            <w:shd w:val="clear" w:color="auto" w:fill="auto"/>
            <w:vAlign w:val="center"/>
            <w:hideMark/>
          </w:tcPr>
          <w:p w:rsidR="00262C0E" w:rsidRPr="00B344FC" w:rsidRDefault="00262C0E" w:rsidP="00DB79A2">
            <w:pPr>
              <w:rPr>
                <w:b/>
              </w:rPr>
            </w:pPr>
            <w:r>
              <w:rPr>
                <w:b/>
              </w:rPr>
              <w:t>2. Déplacements</w:t>
            </w:r>
            <w:r>
              <w:rPr>
                <w:b/>
                <w:vertAlign w:val="superscript"/>
              </w:rPr>
              <w:t>6</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rPr>
                <w:b/>
              </w:rPr>
            </w:pPr>
            <w:r>
              <w:rPr>
                <w:b/>
              </w:rPr>
              <w:t> </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center"/>
              <w:rPr>
                <w:b/>
              </w:rPr>
            </w:pP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rPr>
                <w:b/>
              </w:rPr>
            </w:pPr>
            <w:r>
              <w:rPr>
                <w:b/>
              </w:rP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rPr>
                <w:b/>
              </w:rPr>
            </w:pPr>
            <w:r>
              <w:rPr>
                <w:b/>
              </w:rPr>
              <w:t> </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2.1. Voyages internationaux</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997663" w:rsidP="007D7560">
            <w:pPr>
              <w:jc w:val="center"/>
            </w:pPr>
            <w:r>
              <w:t>par vol</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center"/>
            </w:pPr>
            <w:r>
              <w:t>5</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1 000</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5 000</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2.2. Déplacements locaux</w:t>
            </w:r>
            <w:r>
              <w:rPr>
                <w:b/>
              </w:rPr>
              <w:t xml:space="preserve"> </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A74E3F" w:rsidP="007D7560">
            <w:pPr>
              <w:jc w:val="center"/>
            </w:pPr>
            <w:r>
              <w:t>par mois</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center"/>
            </w:pPr>
            <w:r>
              <w:t>12</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200</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2 400 </w:t>
            </w:r>
          </w:p>
        </w:tc>
      </w:tr>
      <w:tr w:rsidR="007D7560" w:rsidRPr="00B344FC" w:rsidTr="00B75158">
        <w:trPr>
          <w:trHeight w:val="300"/>
        </w:trPr>
        <w:tc>
          <w:tcPr>
            <w:tcW w:w="2418" w:type="pct"/>
            <w:tcBorders>
              <w:top w:val="nil"/>
              <w:left w:val="single" w:sz="8" w:space="0" w:color="auto"/>
              <w:bottom w:val="single" w:sz="4" w:space="0" w:color="auto"/>
              <w:right w:val="nil"/>
            </w:tcBorders>
            <w:shd w:val="clear" w:color="000000" w:fill="C0C0C0"/>
            <w:vAlign w:val="bottom"/>
            <w:hideMark/>
          </w:tcPr>
          <w:p w:rsidR="00262C0E" w:rsidRPr="00B344FC" w:rsidRDefault="00262C0E" w:rsidP="00DB79A2">
            <w:pPr>
              <w:rPr>
                <w:b/>
                <w:i/>
              </w:rPr>
            </w:pPr>
            <w:r>
              <w:rPr>
                <w:b/>
                <w:i/>
              </w:rPr>
              <w:t>Sous-total Déplacements</w:t>
            </w:r>
          </w:p>
        </w:tc>
        <w:tc>
          <w:tcPr>
            <w:tcW w:w="1122" w:type="pct"/>
            <w:tcBorders>
              <w:top w:val="nil"/>
              <w:left w:val="nil"/>
              <w:bottom w:val="single" w:sz="4" w:space="0" w:color="auto"/>
              <w:right w:val="nil"/>
            </w:tcBorders>
            <w:shd w:val="clear" w:color="000000" w:fill="C0C0C0"/>
            <w:noWrap/>
            <w:vAlign w:val="bottom"/>
            <w:hideMark/>
          </w:tcPr>
          <w:p w:rsidR="00262C0E" w:rsidRPr="00B344FC" w:rsidRDefault="00262C0E" w:rsidP="00DB79A2">
            <w:pPr>
              <w:jc w:val="center"/>
              <w:rPr>
                <w:b/>
                <w:i/>
              </w:rPr>
            </w:pPr>
            <w:r>
              <w:rPr>
                <w:b/>
                <w:i/>
              </w:rPr>
              <w:t> </w:t>
            </w:r>
          </w:p>
        </w:tc>
        <w:tc>
          <w:tcPr>
            <w:tcW w:w="653" w:type="pct"/>
            <w:tcBorders>
              <w:top w:val="nil"/>
              <w:left w:val="nil"/>
              <w:bottom w:val="single" w:sz="4" w:space="0" w:color="auto"/>
              <w:right w:val="nil"/>
            </w:tcBorders>
            <w:shd w:val="clear" w:color="000000" w:fill="C0C0C0"/>
            <w:noWrap/>
            <w:vAlign w:val="bottom"/>
            <w:hideMark/>
          </w:tcPr>
          <w:p w:rsidR="00262C0E" w:rsidRPr="00B344FC" w:rsidRDefault="00262C0E" w:rsidP="00DB79A2">
            <w:pPr>
              <w:rPr>
                <w:b/>
                <w:i/>
              </w:rPr>
            </w:pPr>
            <w:r>
              <w:rPr>
                <w:b/>
                <w:i/>
              </w:rPr>
              <w:t> </w:t>
            </w:r>
          </w:p>
        </w:tc>
        <w:tc>
          <w:tcPr>
            <w:tcW w:w="390" w:type="pct"/>
            <w:tcBorders>
              <w:top w:val="nil"/>
              <w:left w:val="nil"/>
              <w:bottom w:val="single" w:sz="4" w:space="0" w:color="auto"/>
              <w:right w:val="single" w:sz="4" w:space="0" w:color="auto"/>
            </w:tcBorders>
            <w:shd w:val="clear" w:color="000000" w:fill="C0C0C0"/>
            <w:noWrap/>
            <w:vAlign w:val="bottom"/>
            <w:hideMark/>
          </w:tcPr>
          <w:p w:rsidR="00262C0E" w:rsidRPr="00B344FC" w:rsidRDefault="00262C0E" w:rsidP="00B75158">
            <w:pPr>
              <w:jc w:val="right"/>
              <w:rPr>
                <w:b/>
                <w:i/>
              </w:rPr>
            </w:pPr>
            <w:r>
              <w:rPr>
                <w:b/>
                <w:i/>
              </w:rPr>
              <w:t> </w:t>
            </w:r>
          </w:p>
        </w:tc>
        <w:tc>
          <w:tcPr>
            <w:tcW w:w="418" w:type="pct"/>
            <w:tcBorders>
              <w:top w:val="nil"/>
              <w:left w:val="nil"/>
              <w:bottom w:val="single" w:sz="4" w:space="0" w:color="auto"/>
              <w:right w:val="single" w:sz="8" w:space="0" w:color="auto"/>
            </w:tcBorders>
            <w:shd w:val="clear" w:color="000000" w:fill="C0C0C0"/>
            <w:noWrap/>
            <w:vAlign w:val="bottom"/>
            <w:hideMark/>
          </w:tcPr>
          <w:p w:rsidR="00262C0E" w:rsidRPr="00B344FC" w:rsidRDefault="00262C0E" w:rsidP="00B75158">
            <w:pPr>
              <w:jc w:val="right"/>
              <w:rPr>
                <w:b/>
              </w:rPr>
            </w:pPr>
            <w:r>
              <w:rPr>
                <w:b/>
              </w:rPr>
              <w:t>7 400</w:t>
            </w:r>
          </w:p>
        </w:tc>
      </w:tr>
      <w:tr w:rsidR="00262C0E" w:rsidRPr="00B344FC" w:rsidTr="00B75158">
        <w:trPr>
          <w:trHeight w:val="300"/>
        </w:trPr>
        <w:tc>
          <w:tcPr>
            <w:tcW w:w="2418" w:type="pct"/>
            <w:tcBorders>
              <w:top w:val="nil"/>
              <w:left w:val="single" w:sz="8" w:space="0" w:color="auto"/>
              <w:bottom w:val="single" w:sz="4" w:space="0" w:color="auto"/>
              <w:right w:val="single" w:sz="4" w:space="0" w:color="auto"/>
            </w:tcBorders>
            <w:shd w:val="clear" w:color="auto" w:fill="auto"/>
            <w:vAlign w:val="center"/>
            <w:hideMark/>
          </w:tcPr>
          <w:p w:rsidR="00262C0E" w:rsidRPr="00B344FC" w:rsidRDefault="00262C0E" w:rsidP="00DB79A2">
            <w:pPr>
              <w:rPr>
                <w:b/>
              </w:rPr>
            </w:pPr>
            <w:r>
              <w:rPr>
                <w:b/>
              </w:rPr>
              <w:t>4. Bureaux locaux</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997663" w:rsidP="007D7560">
            <w:pPr>
              <w:jc w:val="center"/>
              <w:rPr>
                <w:b/>
              </w:rPr>
            </w:pPr>
            <w:r>
              <w:rPr>
                <w:b/>
              </w:rPr>
              <w:t>TAUX FORFAITAIRE</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3 %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2 700</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4.1 Coûts liés aux véhicules</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pP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4.2 Location de bureaux</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74131C" w:rsidRDefault="00262C0E" w:rsidP="007D7560">
            <w:pPr>
              <w:jc w:val="center"/>
              <w:rPr>
                <w:b/>
              </w:rPr>
            </w:pP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4.3 Consommables - fournitures de bureau</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74131C" w:rsidRDefault="00262C0E" w:rsidP="007D7560">
            <w:pPr>
              <w:jc w:val="center"/>
            </w:pP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4.4 Autres services (tél./fax, électricité/chauffage, entretien)</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pP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w:t>
            </w:r>
          </w:p>
        </w:tc>
      </w:tr>
      <w:tr w:rsidR="007D7560" w:rsidRPr="00B344FC" w:rsidTr="00B75158">
        <w:trPr>
          <w:trHeight w:val="300"/>
        </w:trPr>
        <w:tc>
          <w:tcPr>
            <w:tcW w:w="2418" w:type="pct"/>
            <w:tcBorders>
              <w:top w:val="nil"/>
              <w:left w:val="single" w:sz="8" w:space="0" w:color="auto"/>
              <w:bottom w:val="single" w:sz="4" w:space="0" w:color="auto"/>
              <w:right w:val="nil"/>
            </w:tcBorders>
            <w:shd w:val="clear" w:color="000000" w:fill="C0C0C0"/>
            <w:vAlign w:val="bottom"/>
            <w:hideMark/>
          </w:tcPr>
          <w:p w:rsidR="00262C0E" w:rsidRPr="00B344FC" w:rsidRDefault="00262C0E" w:rsidP="00DB79A2">
            <w:pPr>
              <w:rPr>
                <w:b/>
                <w:i/>
              </w:rPr>
            </w:pPr>
            <w:r>
              <w:rPr>
                <w:b/>
                <w:i/>
              </w:rPr>
              <w:t>Sous-total Bureaux locaux</w:t>
            </w:r>
          </w:p>
        </w:tc>
        <w:tc>
          <w:tcPr>
            <w:tcW w:w="1122" w:type="pct"/>
            <w:tcBorders>
              <w:top w:val="nil"/>
              <w:left w:val="nil"/>
              <w:bottom w:val="single" w:sz="4" w:space="0" w:color="auto"/>
              <w:right w:val="nil"/>
            </w:tcBorders>
            <w:shd w:val="clear" w:color="000000" w:fill="C0C0C0"/>
            <w:noWrap/>
            <w:vAlign w:val="bottom"/>
            <w:hideMark/>
          </w:tcPr>
          <w:p w:rsidR="00262C0E" w:rsidRPr="00B344FC" w:rsidRDefault="00262C0E" w:rsidP="00DB79A2">
            <w:pPr>
              <w:jc w:val="center"/>
              <w:rPr>
                <w:i/>
              </w:rPr>
            </w:pPr>
            <w:r>
              <w:rPr>
                <w:i/>
              </w:rPr>
              <w:t> </w:t>
            </w:r>
          </w:p>
        </w:tc>
        <w:tc>
          <w:tcPr>
            <w:tcW w:w="653" w:type="pct"/>
            <w:tcBorders>
              <w:top w:val="nil"/>
              <w:left w:val="nil"/>
              <w:bottom w:val="single" w:sz="4" w:space="0" w:color="auto"/>
              <w:right w:val="nil"/>
            </w:tcBorders>
            <w:shd w:val="clear" w:color="000000" w:fill="C0C0C0"/>
            <w:noWrap/>
            <w:vAlign w:val="bottom"/>
            <w:hideMark/>
          </w:tcPr>
          <w:p w:rsidR="00262C0E" w:rsidRPr="00B344FC" w:rsidRDefault="00262C0E" w:rsidP="00DB79A2">
            <w:pPr>
              <w:rPr>
                <w:i/>
              </w:rPr>
            </w:pPr>
            <w:r>
              <w:rPr>
                <w:i/>
              </w:rPr>
              <w:t> </w:t>
            </w:r>
          </w:p>
        </w:tc>
        <w:tc>
          <w:tcPr>
            <w:tcW w:w="390" w:type="pct"/>
            <w:tcBorders>
              <w:top w:val="nil"/>
              <w:left w:val="nil"/>
              <w:bottom w:val="single" w:sz="4" w:space="0" w:color="auto"/>
              <w:right w:val="single" w:sz="4" w:space="0" w:color="auto"/>
            </w:tcBorders>
            <w:shd w:val="clear" w:color="000000" w:fill="C0C0C0"/>
            <w:noWrap/>
            <w:vAlign w:val="bottom"/>
            <w:hideMark/>
          </w:tcPr>
          <w:p w:rsidR="00262C0E" w:rsidRPr="00B344FC" w:rsidRDefault="00262C0E" w:rsidP="00B75158">
            <w:pPr>
              <w:jc w:val="right"/>
              <w:rPr>
                <w:i/>
              </w:rPr>
            </w:pPr>
            <w:r>
              <w:rPr>
                <w:i/>
              </w:rPr>
              <w:t> </w:t>
            </w:r>
          </w:p>
        </w:tc>
        <w:tc>
          <w:tcPr>
            <w:tcW w:w="418" w:type="pct"/>
            <w:tcBorders>
              <w:top w:val="nil"/>
              <w:left w:val="nil"/>
              <w:bottom w:val="single" w:sz="4" w:space="0" w:color="auto"/>
              <w:right w:val="single" w:sz="8" w:space="0" w:color="auto"/>
            </w:tcBorders>
            <w:shd w:val="clear" w:color="000000" w:fill="C0C0C0"/>
            <w:noWrap/>
            <w:vAlign w:val="bottom"/>
            <w:hideMark/>
          </w:tcPr>
          <w:p w:rsidR="00262C0E" w:rsidRPr="00B344FC" w:rsidRDefault="00262C0E" w:rsidP="00B75158">
            <w:pPr>
              <w:jc w:val="right"/>
              <w:rPr>
                <w:b/>
              </w:rPr>
            </w:pPr>
            <w:r>
              <w:rPr>
                <w:b/>
              </w:rPr>
              <w:t>2 700</w:t>
            </w:r>
          </w:p>
        </w:tc>
      </w:tr>
      <w:tr w:rsidR="00262C0E" w:rsidRPr="00B344FC" w:rsidTr="00B75158">
        <w:trPr>
          <w:trHeight w:val="300"/>
        </w:trPr>
        <w:tc>
          <w:tcPr>
            <w:tcW w:w="2418" w:type="pct"/>
            <w:tcBorders>
              <w:top w:val="nil"/>
              <w:left w:val="single" w:sz="8" w:space="0" w:color="auto"/>
              <w:bottom w:val="single" w:sz="4" w:space="0" w:color="auto"/>
              <w:right w:val="single" w:sz="4" w:space="0" w:color="auto"/>
            </w:tcBorders>
            <w:shd w:val="clear" w:color="auto" w:fill="auto"/>
            <w:vAlign w:val="center"/>
            <w:hideMark/>
          </w:tcPr>
          <w:p w:rsidR="00262C0E" w:rsidRPr="00B344FC" w:rsidRDefault="00262C0E" w:rsidP="00DB79A2">
            <w:pPr>
              <w:rPr>
                <w:b/>
              </w:rPr>
            </w:pPr>
            <w:r>
              <w:rPr>
                <w:b/>
              </w:rPr>
              <w:t>5. Autres coûts, services</w:t>
            </w:r>
            <w:r>
              <w:rPr>
                <w:b/>
                <w:vertAlign w:val="superscript"/>
              </w:rPr>
              <w:t>8</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pPr>
              <w:jc w:val="center"/>
              <w:rPr>
                <w:b/>
              </w:rPr>
            </w:pPr>
            <w:r>
              <w:rPr>
                <w:b/>
              </w:rPr>
              <w:t> </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pPr>
              <w:rPr>
                <w:b/>
              </w:rPr>
            </w:pPr>
            <w:r>
              <w:rPr>
                <w:b/>
              </w:rP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rPr>
                <w:b/>
              </w:rPr>
            </w:pPr>
            <w:r>
              <w:rPr>
                <w:b/>
              </w:rP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rPr>
                <w:b/>
              </w:rPr>
            </w:pPr>
            <w:r>
              <w:rPr>
                <w:b/>
              </w:rPr>
              <w:t> </w:t>
            </w:r>
          </w:p>
        </w:tc>
      </w:tr>
      <w:tr w:rsidR="00262C0E" w:rsidRPr="00B344FC" w:rsidTr="00B75158">
        <w:trPr>
          <w:trHeight w:val="28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5.1 Publications</w:t>
            </w:r>
            <w:r>
              <w:rPr>
                <w:vertAlign w:val="superscript"/>
              </w:rPr>
              <w:t>9</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pPr>
              <w:jc w:val="center"/>
            </w:pPr>
            <w:r>
              <w:t> </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w:t>
            </w:r>
          </w:p>
        </w:tc>
      </w:tr>
      <w:tr w:rsidR="00262C0E" w:rsidRPr="00B344FC" w:rsidTr="00B75158">
        <w:trPr>
          <w:trHeight w:val="28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5.2 Études, recherche</w:t>
            </w:r>
            <w:r>
              <w:rPr>
                <w:vertAlign w:val="superscript"/>
              </w:rPr>
              <w:t>9</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rPr>
                <w:b/>
              </w:rPr>
            </w:pPr>
            <w:r>
              <w:rPr>
                <w:b/>
              </w:rPr>
              <w:t>MONTANT FORFAITAIRE </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8 000</w:t>
            </w:r>
          </w:p>
        </w:tc>
      </w:tr>
      <w:tr w:rsidR="007D7560" w:rsidRPr="00B344FC" w:rsidTr="00B75158">
        <w:trPr>
          <w:trHeight w:val="300"/>
        </w:trPr>
        <w:tc>
          <w:tcPr>
            <w:tcW w:w="2418" w:type="pct"/>
            <w:tcBorders>
              <w:top w:val="nil"/>
              <w:left w:val="single" w:sz="8" w:space="0" w:color="auto"/>
              <w:bottom w:val="single" w:sz="8" w:space="0" w:color="auto"/>
              <w:right w:val="nil"/>
            </w:tcBorders>
            <w:shd w:val="clear" w:color="000000" w:fill="C0C0C0"/>
            <w:vAlign w:val="bottom"/>
            <w:hideMark/>
          </w:tcPr>
          <w:p w:rsidR="00262C0E" w:rsidRPr="00B344FC" w:rsidRDefault="00262C0E" w:rsidP="00E6214E">
            <w:pPr>
              <w:rPr>
                <w:b/>
                <w:i/>
              </w:rPr>
            </w:pPr>
            <w:r>
              <w:rPr>
                <w:b/>
                <w:i/>
              </w:rPr>
              <w:t>Sous-total Autres coûts, services</w:t>
            </w:r>
          </w:p>
        </w:tc>
        <w:tc>
          <w:tcPr>
            <w:tcW w:w="1122" w:type="pct"/>
            <w:tcBorders>
              <w:top w:val="single" w:sz="4" w:space="0" w:color="auto"/>
              <w:left w:val="nil"/>
              <w:bottom w:val="single" w:sz="8" w:space="0" w:color="auto"/>
              <w:right w:val="nil"/>
            </w:tcBorders>
            <w:shd w:val="clear" w:color="000000" w:fill="C0C0C0"/>
            <w:noWrap/>
            <w:vAlign w:val="bottom"/>
            <w:hideMark/>
          </w:tcPr>
          <w:p w:rsidR="00262C0E" w:rsidRPr="00B344FC" w:rsidRDefault="00262C0E" w:rsidP="00DB79A2">
            <w:pPr>
              <w:jc w:val="center"/>
              <w:rPr>
                <w:b/>
                <w:i/>
              </w:rPr>
            </w:pPr>
            <w:r>
              <w:rPr>
                <w:b/>
                <w:i/>
              </w:rPr>
              <w:t> </w:t>
            </w:r>
          </w:p>
        </w:tc>
        <w:tc>
          <w:tcPr>
            <w:tcW w:w="653" w:type="pct"/>
            <w:tcBorders>
              <w:top w:val="single" w:sz="4" w:space="0" w:color="auto"/>
              <w:left w:val="nil"/>
              <w:bottom w:val="single" w:sz="8" w:space="0" w:color="auto"/>
              <w:right w:val="nil"/>
            </w:tcBorders>
            <w:shd w:val="clear" w:color="000000" w:fill="C0C0C0"/>
            <w:noWrap/>
            <w:vAlign w:val="bottom"/>
            <w:hideMark/>
          </w:tcPr>
          <w:p w:rsidR="00262C0E" w:rsidRPr="00B344FC" w:rsidRDefault="00262C0E" w:rsidP="00DB79A2">
            <w:pPr>
              <w:rPr>
                <w:b/>
                <w:i/>
              </w:rPr>
            </w:pPr>
            <w:r>
              <w:rPr>
                <w:b/>
                <w:i/>
              </w:rPr>
              <w:t> </w:t>
            </w:r>
          </w:p>
        </w:tc>
        <w:tc>
          <w:tcPr>
            <w:tcW w:w="390" w:type="pct"/>
            <w:tcBorders>
              <w:top w:val="single" w:sz="4" w:space="0" w:color="auto"/>
              <w:left w:val="nil"/>
              <w:bottom w:val="single" w:sz="8" w:space="0" w:color="auto"/>
              <w:right w:val="single" w:sz="4" w:space="0" w:color="auto"/>
            </w:tcBorders>
            <w:shd w:val="clear" w:color="000000" w:fill="C0C0C0"/>
            <w:noWrap/>
            <w:vAlign w:val="bottom"/>
            <w:hideMark/>
          </w:tcPr>
          <w:p w:rsidR="00262C0E" w:rsidRPr="00B344FC" w:rsidRDefault="00262C0E" w:rsidP="00DB79A2">
            <w:pPr>
              <w:rPr>
                <w:b/>
                <w:i/>
              </w:rPr>
            </w:pPr>
            <w:r>
              <w:rPr>
                <w:b/>
                <w:i/>
              </w:rPr>
              <w:t> </w:t>
            </w:r>
          </w:p>
        </w:tc>
        <w:tc>
          <w:tcPr>
            <w:tcW w:w="418" w:type="pct"/>
            <w:tcBorders>
              <w:top w:val="single" w:sz="4" w:space="0" w:color="auto"/>
              <w:left w:val="nil"/>
              <w:bottom w:val="single" w:sz="8" w:space="0" w:color="auto"/>
              <w:right w:val="single" w:sz="8" w:space="0" w:color="auto"/>
            </w:tcBorders>
            <w:shd w:val="clear" w:color="000000" w:fill="C0C0C0"/>
            <w:noWrap/>
            <w:vAlign w:val="bottom"/>
            <w:hideMark/>
          </w:tcPr>
          <w:p w:rsidR="00262C0E" w:rsidRPr="00B344FC" w:rsidRDefault="00262C0E" w:rsidP="00B75158">
            <w:pPr>
              <w:jc w:val="right"/>
              <w:rPr>
                <w:b/>
              </w:rPr>
            </w:pPr>
            <w:r>
              <w:rPr>
                <w:b/>
              </w:rPr>
              <w:t>8 000</w:t>
            </w:r>
          </w:p>
        </w:tc>
      </w:tr>
    </w:tbl>
    <w:p w:rsidR="00262C0E" w:rsidRPr="00B344FC" w:rsidRDefault="00262C0E" w:rsidP="00DB79A2">
      <w:pPr>
        <w:spacing w:before="120"/>
        <w:jc w:val="both"/>
        <w:rPr>
          <w:i/>
          <w:sz w:val="22"/>
        </w:rPr>
      </w:pPr>
      <w:r>
        <w:rPr>
          <w:i/>
          <w:sz w:val="22"/>
        </w:rPr>
        <w:t>Dans l’exemple ci-dessus:</w:t>
      </w:r>
    </w:p>
    <w:p w:rsidR="00262C0E" w:rsidRPr="00B344FC" w:rsidRDefault="00262C0E" w:rsidP="00BF439F">
      <w:pPr>
        <w:numPr>
          <w:ilvl w:val="0"/>
          <w:numId w:val="18"/>
        </w:numPr>
        <w:spacing w:before="120"/>
        <w:ind w:left="426"/>
        <w:jc w:val="both"/>
        <w:rPr>
          <w:i/>
          <w:sz w:val="22"/>
        </w:rPr>
      </w:pPr>
      <w:r>
        <w:rPr>
          <w:i/>
          <w:sz w:val="22"/>
        </w:rPr>
        <w:t>Les coûts mentionnés au point 1.1.1 Personnel technique seront remboursés sur la base des frais réellement supportés, les coûts mentionnés au point 1.1.2 Personnel administratif/d'appui le seront sur la base du COÛT UNITAIRE par mois. Lorsque les bulletins de paie seront disponibles, la somme de 42 000 EUR sera remboursée (l’auditeur vérifie les données quantitatives, c’est-à-dire le nombre de mois et le personnel concerné, et contrôle que le coût unitaire est celui qui a été approuvé comme option simplifiée en matière de coût).</w:t>
      </w:r>
    </w:p>
    <w:p w:rsidR="002420B6" w:rsidRPr="002420B6" w:rsidRDefault="00565643" w:rsidP="00421D84">
      <w:pPr>
        <w:spacing w:before="120"/>
        <w:ind w:left="426"/>
        <w:rPr>
          <w:i/>
          <w:sz w:val="22"/>
        </w:rPr>
      </w:pPr>
      <w:r>
        <w:rPr>
          <w:i/>
          <w:sz w:val="22"/>
        </w:rPr>
        <w:t xml:space="preserve">Les coûts concernant les bureaux locaux (rubrique 4) seront remboursés en appliquant le taux de 3 % au coût final des salaires (points 1.1.1 et 1.1.2 Salaires). Des informations additionnelles sont fournies dans la feuille de justification. </w:t>
      </w:r>
    </w:p>
    <w:p w:rsidR="00F13AA8" w:rsidRPr="00B344FC" w:rsidRDefault="00565643" w:rsidP="00F13AA8">
      <w:pPr>
        <w:numPr>
          <w:ilvl w:val="0"/>
          <w:numId w:val="18"/>
        </w:numPr>
        <w:spacing w:before="120"/>
        <w:ind w:left="426"/>
        <w:jc w:val="both"/>
        <w:rPr>
          <w:i/>
          <w:sz w:val="22"/>
        </w:rPr>
      </w:pPr>
      <w:r>
        <w:rPr>
          <w:i/>
          <w:sz w:val="22"/>
        </w:rPr>
        <w:t xml:space="preserve">Si l’étude est réalisée conformément aux conditions arrêtées, un montant forfaitaire de 8 000 EUR sera remboursé. </w:t>
      </w:r>
    </w:p>
    <w:p w:rsidR="00E9289E" w:rsidRPr="00B344FC" w:rsidRDefault="00E9289E" w:rsidP="00F13AA8">
      <w:pPr>
        <w:spacing w:before="120"/>
        <w:ind w:left="426"/>
        <w:jc w:val="both"/>
        <w:rPr>
          <w:i/>
          <w:sz w:val="22"/>
          <w:szCs w:val="22"/>
        </w:rPr>
      </w:pPr>
    </w:p>
    <w:p w:rsidR="00E9289E" w:rsidRPr="00DB79A2" w:rsidRDefault="00565643" w:rsidP="00DB79A2">
      <w:pPr>
        <w:pBdr>
          <w:top w:val="single" w:sz="8" w:space="1" w:color="auto"/>
          <w:left w:val="single" w:sz="8" w:space="4" w:color="auto"/>
          <w:bottom w:val="single" w:sz="8" w:space="1" w:color="auto"/>
          <w:right w:val="single" w:sz="8" w:space="4" w:color="auto"/>
        </w:pBdr>
        <w:spacing w:before="60" w:after="60"/>
        <w:rPr>
          <w:sz w:val="22"/>
          <w:szCs w:val="22"/>
        </w:rPr>
      </w:pPr>
      <w:r>
        <w:rPr>
          <w:sz w:val="22"/>
        </w:rPr>
        <w:t>De plus, dans la deuxième colonne de la feuille de justification, les demandeurs doivent, pour chacun des postes budgétaires correspondants ou chacune des rubriques budgétaires correspondantes:</w:t>
      </w:r>
    </w:p>
    <w:p w:rsidR="00E9289E" w:rsidRPr="00DB79A2" w:rsidRDefault="00E9289E" w:rsidP="00DB79A2">
      <w:pPr>
        <w:pBdr>
          <w:top w:val="single" w:sz="8" w:space="1" w:color="auto"/>
          <w:left w:val="single" w:sz="8" w:space="4" w:color="auto"/>
          <w:bottom w:val="single" w:sz="8" w:space="1" w:color="auto"/>
          <w:right w:val="single" w:sz="8" w:space="4" w:color="auto"/>
        </w:pBdr>
        <w:spacing w:before="60" w:after="60"/>
        <w:ind w:left="284" w:hanging="284"/>
        <w:rPr>
          <w:sz w:val="22"/>
          <w:szCs w:val="22"/>
        </w:rPr>
      </w:pPr>
      <w:r>
        <w:rPr>
          <w:sz w:val="22"/>
        </w:rPr>
        <w:t>-</w:t>
      </w:r>
      <w:r>
        <w:tab/>
      </w:r>
      <w:r>
        <w:rPr>
          <w:sz w:val="22"/>
        </w:rPr>
        <w:t xml:space="preserve">décrire les méthodes utilisées pour déterminer les montants des coûts unitaires, les montants forfaitaires et/ou les taux forfaitaires, et indiquer à quels coûts elles se réfèrent, etc., pour les OSC fondées sur les produits ou les résultats; </w:t>
      </w:r>
    </w:p>
    <w:p w:rsidR="00ED6DAE" w:rsidRDefault="00E9289E" w:rsidP="000559EE">
      <w:pPr>
        <w:pBdr>
          <w:top w:val="single" w:sz="8" w:space="1" w:color="auto"/>
          <w:left w:val="single" w:sz="8" w:space="4" w:color="auto"/>
          <w:bottom w:val="single" w:sz="8" w:space="1" w:color="auto"/>
          <w:right w:val="single" w:sz="8" w:space="4" w:color="auto"/>
        </w:pBdr>
        <w:spacing w:before="60" w:after="60"/>
        <w:ind w:left="284" w:hanging="284"/>
        <w:rPr>
          <w:sz w:val="22"/>
          <w:szCs w:val="22"/>
        </w:rPr>
      </w:pPr>
      <w:r>
        <w:rPr>
          <w:sz w:val="22"/>
        </w:rPr>
        <w:t>-</w:t>
      </w:r>
      <w:r>
        <w:tab/>
      </w:r>
      <w:r>
        <w:rPr>
          <w:sz w:val="22"/>
        </w:rPr>
        <w:t>expliquer les formules utilisées pour le calcul du montant final éligible pour les OSC fondées sur les produits ou les résultats</w:t>
      </w:r>
      <w:r>
        <w:rPr>
          <w:rStyle w:val="FootnoteReference"/>
        </w:rPr>
        <w:footnoteReference w:id="5"/>
      </w:r>
      <w:r>
        <w:rPr>
          <w:sz w:val="22"/>
        </w:rPr>
        <w:t>.</w:t>
      </w:r>
    </w:p>
    <w:p w:rsidR="00ED6DAE" w:rsidRDefault="00ED6DAE" w:rsidP="004C1923">
      <w:pPr>
        <w:pBdr>
          <w:top w:val="single" w:sz="8" w:space="1" w:color="auto"/>
          <w:left w:val="single" w:sz="8" w:space="4" w:color="auto"/>
          <w:bottom w:val="single" w:sz="8" w:space="1" w:color="auto"/>
          <w:right w:val="single" w:sz="8" w:space="4" w:color="auto"/>
        </w:pBdr>
        <w:spacing w:before="60" w:after="120"/>
        <w:ind w:left="284" w:hanging="284"/>
        <w:jc w:val="both"/>
        <w:rPr>
          <w:sz w:val="22"/>
          <w:szCs w:val="22"/>
        </w:rPr>
      </w:pPr>
      <w:r>
        <w:rPr>
          <w:sz w:val="22"/>
        </w:rPr>
        <w:t>-</w:t>
      </w:r>
      <w:r>
        <w:tab/>
      </w:r>
      <w:r>
        <w:rPr>
          <w:sz w:val="22"/>
        </w:rPr>
        <w:t xml:space="preserve">en cas d’autre OSC/d’OSC récurrente, mentionner la référence à l’évaluation ex ante positive. </w:t>
      </w:r>
    </w:p>
    <w:p w:rsidR="00BF6F63" w:rsidRDefault="00BF6F63" w:rsidP="004C1923">
      <w:pPr>
        <w:pBdr>
          <w:top w:val="single" w:sz="8" w:space="1" w:color="auto"/>
          <w:left w:val="single" w:sz="8" w:space="4" w:color="auto"/>
          <w:bottom w:val="single" w:sz="8" w:space="1" w:color="auto"/>
          <w:right w:val="single" w:sz="8" w:space="4" w:color="auto"/>
        </w:pBdr>
        <w:spacing w:before="60" w:after="120"/>
        <w:ind w:left="284" w:hanging="284"/>
        <w:jc w:val="both"/>
        <w:rPr>
          <w:sz w:val="22"/>
          <w:szCs w:val="22"/>
        </w:rPr>
      </w:pPr>
    </w:p>
    <w:p w:rsidR="004C1923" w:rsidRPr="00DB79A2" w:rsidRDefault="004C1923" w:rsidP="0074131C">
      <w:pPr>
        <w:spacing w:before="120" w:after="120"/>
      </w:pPr>
    </w:p>
    <w:sectPr w:rsidR="004C1923" w:rsidRPr="00DB79A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993" w:rsidRDefault="00320993">
      <w:r>
        <w:separator/>
      </w:r>
    </w:p>
  </w:endnote>
  <w:endnote w:type="continuationSeparator" w:id="0">
    <w:p w:rsidR="00320993" w:rsidRDefault="00320993">
      <w:r>
        <w:continuationSeparator/>
      </w:r>
    </w:p>
  </w:endnote>
  <w:endnote w:type="continuationNotice" w:id="1">
    <w:p w:rsidR="00320993" w:rsidRDefault="00320993" w:rsidP="007D7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FC" w:rsidRDefault="00B344FC" w:rsidP="008179D6">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44FC" w:rsidRDefault="00B344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FC" w:rsidRPr="00F51FDD" w:rsidRDefault="00FB23AD" w:rsidP="00A171FB">
    <w:pPr>
      <w:pStyle w:val="Footer"/>
      <w:tabs>
        <w:tab w:val="clear" w:pos="4536"/>
        <w:tab w:val="right" w:pos="9639"/>
      </w:tabs>
      <w:spacing w:before="120"/>
    </w:pPr>
    <w:r>
      <w:rPr>
        <w:b/>
      </w:rPr>
      <w:t xml:space="preserve">Août 2018 </w:t>
    </w:r>
    <w:r>
      <w:tab/>
      <w:t>Page </w:t>
    </w:r>
    <w:r w:rsidR="00B344FC" w:rsidRPr="00F51FDD">
      <w:fldChar w:fldCharType="begin"/>
    </w:r>
    <w:r w:rsidR="00B344FC" w:rsidRPr="00F51FDD">
      <w:instrText xml:space="preserve"> PAGE </w:instrText>
    </w:r>
    <w:r w:rsidR="00B344FC" w:rsidRPr="00F51FDD">
      <w:fldChar w:fldCharType="separate"/>
    </w:r>
    <w:r w:rsidR="00463425">
      <w:rPr>
        <w:noProof/>
      </w:rPr>
      <w:t>5</w:t>
    </w:r>
    <w:r w:rsidR="00B344FC" w:rsidRPr="00F51FDD">
      <w:fldChar w:fldCharType="end"/>
    </w:r>
    <w:r>
      <w:t xml:space="preserve"> sur </w:t>
    </w:r>
    <w:r w:rsidR="00A45F62">
      <w:rPr>
        <w:noProof/>
      </w:rPr>
      <w:fldChar w:fldCharType="begin"/>
    </w:r>
    <w:r w:rsidR="00A45F62">
      <w:rPr>
        <w:noProof/>
      </w:rPr>
      <w:instrText xml:space="preserve"> NUMPAGES </w:instrText>
    </w:r>
    <w:r w:rsidR="00A45F62">
      <w:rPr>
        <w:noProof/>
      </w:rPr>
      <w:fldChar w:fldCharType="separate"/>
    </w:r>
    <w:r w:rsidR="00463425">
      <w:rPr>
        <w:noProof/>
      </w:rPr>
      <w:t>7</w:t>
    </w:r>
    <w:r w:rsidR="00A45F62">
      <w:rPr>
        <w:noProof/>
      </w:rPr>
      <w:fldChar w:fldCharType="end"/>
    </w:r>
  </w:p>
  <w:p w:rsidR="00B344FC" w:rsidRPr="00DB79A2" w:rsidRDefault="00B344FC" w:rsidP="00DB79A2">
    <w:pPr>
      <w:pStyle w:val="Footer"/>
      <w:tabs>
        <w:tab w:val="clear" w:pos="4536"/>
        <w:tab w:val="right" w:pos="9639"/>
      </w:tabs>
      <w:rPr>
        <w:sz w:val="18"/>
        <w:szCs w:val="18"/>
      </w:rPr>
    </w:pPr>
    <w:r w:rsidRPr="00C9081A">
      <w:rPr>
        <w:rStyle w:val="PageNumber"/>
        <w:sz w:val="18"/>
        <w:szCs w:val="18"/>
      </w:rPr>
      <w:fldChar w:fldCharType="begin"/>
    </w:r>
    <w:r w:rsidRPr="00C9081A">
      <w:rPr>
        <w:rStyle w:val="PageNumber"/>
        <w:sz w:val="18"/>
        <w:szCs w:val="18"/>
      </w:rPr>
      <w:instrText xml:space="preserve"> FILENAME </w:instrText>
    </w:r>
    <w:r w:rsidRPr="00C9081A">
      <w:rPr>
        <w:rStyle w:val="PageNumber"/>
        <w:sz w:val="18"/>
        <w:szCs w:val="18"/>
      </w:rPr>
      <w:fldChar w:fldCharType="separate"/>
    </w:r>
    <w:r w:rsidR="001D6B62">
      <w:rPr>
        <w:rStyle w:val="PageNumber"/>
        <w:noProof/>
        <w:sz w:val="18"/>
        <w:szCs w:val="18"/>
      </w:rPr>
      <w:t>e3a2_simplifiedcostoptions_fr.docx</w:t>
    </w:r>
    <w:r w:rsidRPr="00C9081A">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F62" w:rsidRDefault="00A45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993" w:rsidRDefault="00320993">
      <w:r>
        <w:separator/>
      </w:r>
    </w:p>
  </w:footnote>
  <w:footnote w:type="continuationSeparator" w:id="0">
    <w:p w:rsidR="00320993" w:rsidRDefault="00320993">
      <w:r>
        <w:continuationSeparator/>
      </w:r>
    </w:p>
  </w:footnote>
  <w:footnote w:type="continuationNotice" w:id="1">
    <w:p w:rsidR="00320993" w:rsidRDefault="00320993" w:rsidP="007D7560"/>
  </w:footnote>
  <w:footnote w:id="2">
    <w:p w:rsidR="00B344FC" w:rsidRPr="00E93A31" w:rsidRDefault="00B344FC" w:rsidP="00F56690">
      <w:pPr>
        <w:pStyle w:val="FootnoteText"/>
      </w:pPr>
      <w:r>
        <w:rPr>
          <w:rStyle w:val="FootnoteReference"/>
        </w:rPr>
        <w:footnoteRef/>
      </w:r>
      <w:r>
        <w:t xml:space="preserve"> Les per diems ne sont pas considérés comme une option simplifiée en matière de coûts aux fins d’un financement de l’Union lorsqu'un bénéficiaire rembourse un montant fixe à son personnel conformément à ses propres règles et demande le remboursement de ce montant dans le budget de l’action. Les per diems de ce type sont considérés comme des coûts réels.</w:t>
      </w:r>
    </w:p>
  </w:footnote>
  <w:footnote w:id="3">
    <w:p w:rsidR="00D63E8E" w:rsidRPr="00D63E8E" w:rsidRDefault="00D63E8E" w:rsidP="00F56690">
      <w:pPr>
        <w:pStyle w:val="FootnoteText"/>
      </w:pPr>
      <w:r>
        <w:rPr>
          <w:rStyle w:val="FootnoteReference"/>
        </w:rPr>
        <w:footnoteRef/>
      </w:r>
      <w:r>
        <w:t>Article 185, paragraphe 3, du RF.</w:t>
      </w:r>
    </w:p>
  </w:footnote>
  <w:footnote w:id="4">
    <w:p w:rsidR="00B344FC" w:rsidRPr="00E93A31" w:rsidRDefault="00B344FC" w:rsidP="00F61971">
      <w:r>
        <w:rPr>
          <w:rStyle w:val="FootnoteReference"/>
        </w:rPr>
        <w:footnoteRef/>
      </w:r>
      <w:r>
        <w:t xml:space="preserve"> Utilisez une ligne différente pour chaque type d’option simplifiée en matière de coûts et par bénéficiaire.</w:t>
      </w:r>
    </w:p>
  </w:footnote>
  <w:footnote w:id="5">
    <w:p w:rsidR="00B344FC" w:rsidRPr="00E93A31" w:rsidRDefault="00B344FC" w:rsidP="00E93A31">
      <w:pPr>
        <w:spacing w:before="120"/>
        <w:rPr>
          <w:bCs/>
          <w:highlight w:val="yellow"/>
        </w:rPr>
      </w:pPr>
      <w:r>
        <w:rPr>
          <w:rStyle w:val="FootnoteReference"/>
        </w:rPr>
        <w:footnoteRef/>
      </w:r>
      <w:r>
        <w:t xml:space="preserve"> </w:t>
      </w:r>
      <w:r>
        <w:rPr>
          <w:i/>
        </w:rPr>
        <w:t>Exemple:</w:t>
      </w:r>
      <w:r>
        <w:rPr>
          <w:i/>
        </w:rPr>
        <w:br/>
        <w:t>- frais spécifiques relatifs à l’organisation d’un événement: nombre de participants à l’événement x coût total par participant,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F62" w:rsidRDefault="00A45F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F62" w:rsidRDefault="00A45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F62" w:rsidRDefault="00A45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B1B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0B5555"/>
    <w:multiLevelType w:val="hybridMultilevel"/>
    <w:tmpl w:val="B178DF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17298"/>
    <w:multiLevelType w:val="hybridMultilevel"/>
    <w:tmpl w:val="E0A84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B2933"/>
    <w:multiLevelType w:val="hybridMultilevel"/>
    <w:tmpl w:val="955698AC"/>
    <w:lvl w:ilvl="0" w:tplc="945E4804">
      <w:start w:val="1"/>
      <w:numFmt w:val="lowerLetter"/>
      <w:lvlText w:val="%1)"/>
      <w:lvlJc w:val="left"/>
      <w:pPr>
        <w:ind w:left="360" w:hanging="360"/>
      </w:pPr>
      <w:rPr>
        <w:rFonts w:hint="default"/>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5C1BBE"/>
    <w:multiLevelType w:val="hybridMultilevel"/>
    <w:tmpl w:val="11986F14"/>
    <w:lvl w:ilvl="0" w:tplc="51D0ED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336831"/>
    <w:multiLevelType w:val="hybridMultilevel"/>
    <w:tmpl w:val="E2628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932D00"/>
    <w:multiLevelType w:val="hybridMultilevel"/>
    <w:tmpl w:val="2FD2D55A"/>
    <w:lvl w:ilvl="0" w:tplc="94922BC0">
      <w:start w:val="4"/>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376265A6"/>
    <w:multiLevelType w:val="hybridMultilevel"/>
    <w:tmpl w:val="3300FFEA"/>
    <w:lvl w:ilvl="0" w:tplc="945E4804">
      <w:start w:val="1"/>
      <w:numFmt w:val="lowerLetter"/>
      <w:lvlText w:val="%1)"/>
      <w:lvlJc w:val="left"/>
      <w:pPr>
        <w:ind w:left="1080" w:hanging="360"/>
      </w:pPr>
      <w:rPr>
        <w:rFonts w:hint="default"/>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0F15EA"/>
    <w:multiLevelType w:val="hybridMultilevel"/>
    <w:tmpl w:val="EE608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0D5902"/>
    <w:multiLevelType w:val="multilevel"/>
    <w:tmpl w:val="B428FB8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3A222A"/>
    <w:multiLevelType w:val="hybridMultilevel"/>
    <w:tmpl w:val="B264354E"/>
    <w:lvl w:ilvl="0" w:tplc="94922BC0">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D462D0"/>
    <w:multiLevelType w:val="hybridMultilevel"/>
    <w:tmpl w:val="F7BEC4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5C5A2A"/>
    <w:multiLevelType w:val="hybridMultilevel"/>
    <w:tmpl w:val="6FB2850A"/>
    <w:lvl w:ilvl="0" w:tplc="94922BC0">
      <w:start w:val="4"/>
      <w:numFmt w:val="bullet"/>
      <w:lvlText w:val="-"/>
      <w:lvlJc w:val="left"/>
      <w:pPr>
        <w:ind w:left="800" w:hanging="360"/>
      </w:pPr>
      <w:rPr>
        <w:rFonts w:ascii="Times New Roman" w:eastAsia="Times New Roman" w:hAnsi="Times New Roman" w:cs="Times New Roman"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3" w15:restartNumberingAfterBreak="0">
    <w:nsid w:val="4BF362A7"/>
    <w:multiLevelType w:val="hybridMultilevel"/>
    <w:tmpl w:val="7CC65F24"/>
    <w:lvl w:ilvl="0" w:tplc="5D54CEA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5B764E"/>
    <w:multiLevelType w:val="hybridMultilevel"/>
    <w:tmpl w:val="C1A2DCA8"/>
    <w:lvl w:ilvl="0" w:tplc="94922BC0">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8E4117"/>
    <w:multiLevelType w:val="hybridMultilevel"/>
    <w:tmpl w:val="A6BCFA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F52D64"/>
    <w:multiLevelType w:val="multilevel"/>
    <w:tmpl w:val="C0260088"/>
    <w:lvl w:ilvl="0">
      <w:start w:val="1"/>
      <w:numFmt w:val="decimal"/>
      <w:pStyle w:val="pprag5"/>
      <w:lvlText w:val="%1."/>
      <w:lvlJc w:val="left"/>
      <w:pPr>
        <w:tabs>
          <w:tab w:val="num" w:pos="360"/>
        </w:tabs>
        <w:ind w:left="360" w:hanging="360"/>
      </w:pPr>
      <w:rPr>
        <w:rFonts w:ascii="Times New Roman Bold" w:hAnsi="Times New Roman Bold" w:cs="Times New Roman" w:hint="default"/>
        <w:b/>
        <w:i w:val="0"/>
        <w:caps w:val="0"/>
        <w:strike w:val="0"/>
        <w:dstrike w:val="0"/>
        <w:outline w:val="0"/>
        <w:shadow w:val="0"/>
        <w:emboss w:val="0"/>
        <w:imprint w:val="0"/>
        <w:vanish w:val="0"/>
        <w:color w:val="000000"/>
        <w:spacing w:val="0"/>
        <w:w w:val="100"/>
        <w:sz w:val="34"/>
        <w:szCs w:val="28"/>
        <w:vertAlign w:val="baseline"/>
      </w:rPr>
    </w:lvl>
    <w:lvl w:ilvl="1">
      <w:start w:val="1"/>
      <w:numFmt w:val="decimal"/>
      <w:pStyle w:val="pprag2"/>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outline w:val="0"/>
        <w:shadow w:val="0"/>
        <w:emboss w:val="0"/>
        <w:imprint w:val="0"/>
        <w:vanish w:val="0"/>
        <w:color w:val="000000"/>
        <w:spacing w:val="0"/>
        <w:w w:val="100"/>
        <w:kern w:val="0"/>
        <w:position w:val="0"/>
        <w:sz w:val="28"/>
        <w:vertAlign w:val="base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outline w:val="0"/>
        <w:shadow w:val="0"/>
        <w:emboss w:val="0"/>
        <w:imprint w:val="0"/>
        <w:vanish w:val="0"/>
        <w:color w:val="000000"/>
        <w:spacing w:val="0"/>
        <w:w w:val="100"/>
        <w:kern w:val="0"/>
        <w:position w:val="0"/>
        <w:sz w:val="24"/>
        <w:u w:val="none"/>
        <w:vertAlign w:val="base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outline w:val="0"/>
        <w:shadow w:val="0"/>
        <w:emboss w:val="0"/>
        <w:imprint w:val="0"/>
        <w:vanish w:val="0"/>
        <w:color w:val="000000"/>
        <w:spacing w:val="0"/>
        <w:w w:val="100"/>
        <w:kern w:val="0"/>
        <w:position w:val="0"/>
        <w:sz w:val="24"/>
        <w:vertAlign w:val="base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17" w15:restartNumberingAfterBreak="0">
    <w:nsid w:val="7716540C"/>
    <w:multiLevelType w:val="hybridMultilevel"/>
    <w:tmpl w:val="85847FD0"/>
    <w:lvl w:ilvl="0" w:tplc="83DC11CE">
      <w:numFmt w:val="bullet"/>
      <w:lvlText w:val="-"/>
      <w:lvlJc w:val="left"/>
      <w:pPr>
        <w:ind w:left="567" w:hanging="360"/>
      </w:pPr>
      <w:rPr>
        <w:rFonts w:ascii="Times New Roman" w:eastAsia="Times New Roman" w:hAnsi="Times New Roman" w:cs="Times New Roman"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8" w15:restartNumberingAfterBreak="0">
    <w:nsid w:val="7B437FF9"/>
    <w:multiLevelType w:val="hybridMultilevel"/>
    <w:tmpl w:val="934E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FA69F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1"/>
  </w:num>
  <w:num w:numId="3">
    <w:abstractNumId w:val="5"/>
  </w:num>
  <w:num w:numId="4">
    <w:abstractNumId w:val="8"/>
  </w:num>
  <w:num w:numId="5">
    <w:abstractNumId w:val="2"/>
  </w:num>
  <w:num w:numId="6">
    <w:abstractNumId w:val="18"/>
  </w:num>
  <w:num w:numId="7">
    <w:abstractNumId w:val="0"/>
  </w:num>
  <w:num w:numId="8">
    <w:abstractNumId w:val="7"/>
  </w:num>
  <w:num w:numId="9">
    <w:abstractNumId w:val="9"/>
  </w:num>
  <w:num w:numId="10">
    <w:abstractNumId w:val="19"/>
  </w:num>
  <w:num w:numId="11">
    <w:abstractNumId w:val="3"/>
  </w:num>
  <w:num w:numId="12">
    <w:abstractNumId w:val="16"/>
  </w:num>
  <w:num w:numId="13">
    <w:abstractNumId w:val="6"/>
  </w:num>
  <w:num w:numId="14">
    <w:abstractNumId w:val="17"/>
  </w:num>
  <w:num w:numId="15">
    <w:abstractNumId w:val="14"/>
  </w:num>
  <w:num w:numId="16">
    <w:abstractNumId w:val="10"/>
  </w:num>
  <w:num w:numId="17">
    <w:abstractNumId w:val="12"/>
  </w:num>
  <w:num w:numId="18">
    <w:abstractNumId w:val="4"/>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425"/>
  <w:characterSpacingControl w:val="doNotCompress"/>
  <w:hdrShapeDefaults>
    <o:shapedefaults v:ext="edit" spidmax="17409"/>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F70520"/>
    <w:rsid w:val="00000DFE"/>
    <w:rsid w:val="0000110E"/>
    <w:rsid w:val="00001373"/>
    <w:rsid w:val="00001C2D"/>
    <w:rsid w:val="000027FC"/>
    <w:rsid w:val="0000286C"/>
    <w:rsid w:val="00002BC8"/>
    <w:rsid w:val="00002C98"/>
    <w:rsid w:val="0000301B"/>
    <w:rsid w:val="0000383B"/>
    <w:rsid w:val="0000399D"/>
    <w:rsid w:val="0000404C"/>
    <w:rsid w:val="000042AD"/>
    <w:rsid w:val="00004B90"/>
    <w:rsid w:val="000052BA"/>
    <w:rsid w:val="00006224"/>
    <w:rsid w:val="00006670"/>
    <w:rsid w:val="00006A9F"/>
    <w:rsid w:val="00006CC1"/>
    <w:rsid w:val="000075D4"/>
    <w:rsid w:val="00007DBA"/>
    <w:rsid w:val="00007FAA"/>
    <w:rsid w:val="000100F8"/>
    <w:rsid w:val="00011115"/>
    <w:rsid w:val="000113A3"/>
    <w:rsid w:val="00012EFF"/>
    <w:rsid w:val="00013048"/>
    <w:rsid w:val="000140E9"/>
    <w:rsid w:val="00014301"/>
    <w:rsid w:val="00015BD2"/>
    <w:rsid w:val="0001613E"/>
    <w:rsid w:val="000166AE"/>
    <w:rsid w:val="00016AEA"/>
    <w:rsid w:val="00016C3C"/>
    <w:rsid w:val="00017094"/>
    <w:rsid w:val="000172B5"/>
    <w:rsid w:val="0001791C"/>
    <w:rsid w:val="000207B3"/>
    <w:rsid w:val="0002084F"/>
    <w:rsid w:val="00020869"/>
    <w:rsid w:val="000213D1"/>
    <w:rsid w:val="00021613"/>
    <w:rsid w:val="00021692"/>
    <w:rsid w:val="000218BF"/>
    <w:rsid w:val="00021AEB"/>
    <w:rsid w:val="00021AFA"/>
    <w:rsid w:val="00021FA3"/>
    <w:rsid w:val="00022CFC"/>
    <w:rsid w:val="00022E00"/>
    <w:rsid w:val="00022E4A"/>
    <w:rsid w:val="000235F1"/>
    <w:rsid w:val="00023D8E"/>
    <w:rsid w:val="000247BF"/>
    <w:rsid w:val="00025066"/>
    <w:rsid w:val="00025B15"/>
    <w:rsid w:val="00025EE1"/>
    <w:rsid w:val="000264C7"/>
    <w:rsid w:val="00026BA7"/>
    <w:rsid w:val="00026E51"/>
    <w:rsid w:val="00027008"/>
    <w:rsid w:val="000270FA"/>
    <w:rsid w:val="00027619"/>
    <w:rsid w:val="00027EDD"/>
    <w:rsid w:val="00030094"/>
    <w:rsid w:val="000306BA"/>
    <w:rsid w:val="00031A7B"/>
    <w:rsid w:val="00031AD4"/>
    <w:rsid w:val="00032167"/>
    <w:rsid w:val="000322A6"/>
    <w:rsid w:val="00033322"/>
    <w:rsid w:val="0003347F"/>
    <w:rsid w:val="00033C93"/>
    <w:rsid w:val="00034134"/>
    <w:rsid w:val="00034BAB"/>
    <w:rsid w:val="00034E91"/>
    <w:rsid w:val="0003581F"/>
    <w:rsid w:val="00036811"/>
    <w:rsid w:val="00036E74"/>
    <w:rsid w:val="00037B06"/>
    <w:rsid w:val="00040B07"/>
    <w:rsid w:val="00041403"/>
    <w:rsid w:val="00041FF2"/>
    <w:rsid w:val="00042094"/>
    <w:rsid w:val="000423DF"/>
    <w:rsid w:val="0004246B"/>
    <w:rsid w:val="000429C5"/>
    <w:rsid w:val="00042AE0"/>
    <w:rsid w:val="00042B2F"/>
    <w:rsid w:val="00042FF4"/>
    <w:rsid w:val="0004357D"/>
    <w:rsid w:val="00044778"/>
    <w:rsid w:val="00044906"/>
    <w:rsid w:val="00044952"/>
    <w:rsid w:val="00044D80"/>
    <w:rsid w:val="00044EE1"/>
    <w:rsid w:val="0004535A"/>
    <w:rsid w:val="000455C8"/>
    <w:rsid w:val="00045956"/>
    <w:rsid w:val="00045CBB"/>
    <w:rsid w:val="00046824"/>
    <w:rsid w:val="00046916"/>
    <w:rsid w:val="0004697D"/>
    <w:rsid w:val="00051088"/>
    <w:rsid w:val="00051ABC"/>
    <w:rsid w:val="00052C0C"/>
    <w:rsid w:val="00052C58"/>
    <w:rsid w:val="00052E0C"/>
    <w:rsid w:val="00052EC7"/>
    <w:rsid w:val="000530D6"/>
    <w:rsid w:val="00053102"/>
    <w:rsid w:val="00053CEF"/>
    <w:rsid w:val="00053E4E"/>
    <w:rsid w:val="00054A2B"/>
    <w:rsid w:val="000559EE"/>
    <w:rsid w:val="00055D53"/>
    <w:rsid w:val="0005600F"/>
    <w:rsid w:val="00056047"/>
    <w:rsid w:val="00056E27"/>
    <w:rsid w:val="0005761F"/>
    <w:rsid w:val="000610BF"/>
    <w:rsid w:val="00061A65"/>
    <w:rsid w:val="00061ABB"/>
    <w:rsid w:val="000629DE"/>
    <w:rsid w:val="00062E28"/>
    <w:rsid w:val="0006363C"/>
    <w:rsid w:val="00063E93"/>
    <w:rsid w:val="00063F6B"/>
    <w:rsid w:val="0006461F"/>
    <w:rsid w:val="000647C4"/>
    <w:rsid w:val="00064B47"/>
    <w:rsid w:val="00064C64"/>
    <w:rsid w:val="00065037"/>
    <w:rsid w:val="000669FE"/>
    <w:rsid w:val="00066ACE"/>
    <w:rsid w:val="00066BA0"/>
    <w:rsid w:val="0006715B"/>
    <w:rsid w:val="0006782B"/>
    <w:rsid w:val="00067BA7"/>
    <w:rsid w:val="00067D88"/>
    <w:rsid w:val="00067FB5"/>
    <w:rsid w:val="0007009A"/>
    <w:rsid w:val="00071063"/>
    <w:rsid w:val="0007128F"/>
    <w:rsid w:val="0007131C"/>
    <w:rsid w:val="00071841"/>
    <w:rsid w:val="00071DBC"/>
    <w:rsid w:val="00071E8E"/>
    <w:rsid w:val="000725FB"/>
    <w:rsid w:val="00072878"/>
    <w:rsid w:val="00072A8B"/>
    <w:rsid w:val="00074071"/>
    <w:rsid w:val="00074873"/>
    <w:rsid w:val="00074B06"/>
    <w:rsid w:val="00075987"/>
    <w:rsid w:val="00075DCB"/>
    <w:rsid w:val="00075E12"/>
    <w:rsid w:val="0007645A"/>
    <w:rsid w:val="00076564"/>
    <w:rsid w:val="000767E8"/>
    <w:rsid w:val="00077114"/>
    <w:rsid w:val="000775B4"/>
    <w:rsid w:val="00077673"/>
    <w:rsid w:val="000777E9"/>
    <w:rsid w:val="00077EE5"/>
    <w:rsid w:val="0008115F"/>
    <w:rsid w:val="00081637"/>
    <w:rsid w:val="00081B5B"/>
    <w:rsid w:val="00081E35"/>
    <w:rsid w:val="00082957"/>
    <w:rsid w:val="00082F02"/>
    <w:rsid w:val="00083670"/>
    <w:rsid w:val="000839F8"/>
    <w:rsid w:val="0008483E"/>
    <w:rsid w:val="00084C50"/>
    <w:rsid w:val="000851CF"/>
    <w:rsid w:val="00085587"/>
    <w:rsid w:val="00085701"/>
    <w:rsid w:val="00085B7B"/>
    <w:rsid w:val="00085E75"/>
    <w:rsid w:val="00086511"/>
    <w:rsid w:val="00087313"/>
    <w:rsid w:val="00087B3C"/>
    <w:rsid w:val="00090185"/>
    <w:rsid w:val="00090C34"/>
    <w:rsid w:val="000915F2"/>
    <w:rsid w:val="00091B5D"/>
    <w:rsid w:val="00091F5E"/>
    <w:rsid w:val="00092EF3"/>
    <w:rsid w:val="00093379"/>
    <w:rsid w:val="00094244"/>
    <w:rsid w:val="00094AB5"/>
    <w:rsid w:val="00094CEC"/>
    <w:rsid w:val="00095207"/>
    <w:rsid w:val="000952C5"/>
    <w:rsid w:val="00096651"/>
    <w:rsid w:val="00096909"/>
    <w:rsid w:val="0009690B"/>
    <w:rsid w:val="000971E8"/>
    <w:rsid w:val="00097315"/>
    <w:rsid w:val="00097C5A"/>
    <w:rsid w:val="00097EA0"/>
    <w:rsid w:val="000A0B3C"/>
    <w:rsid w:val="000A0F6A"/>
    <w:rsid w:val="000A129D"/>
    <w:rsid w:val="000A2431"/>
    <w:rsid w:val="000A43BA"/>
    <w:rsid w:val="000A510C"/>
    <w:rsid w:val="000A5288"/>
    <w:rsid w:val="000A55D7"/>
    <w:rsid w:val="000A5F92"/>
    <w:rsid w:val="000A67C5"/>
    <w:rsid w:val="000A79B2"/>
    <w:rsid w:val="000A7D05"/>
    <w:rsid w:val="000B0303"/>
    <w:rsid w:val="000B0AC9"/>
    <w:rsid w:val="000B12E7"/>
    <w:rsid w:val="000B2B80"/>
    <w:rsid w:val="000B3396"/>
    <w:rsid w:val="000B4123"/>
    <w:rsid w:val="000B4245"/>
    <w:rsid w:val="000B43C2"/>
    <w:rsid w:val="000B43C4"/>
    <w:rsid w:val="000B4E75"/>
    <w:rsid w:val="000B5CB2"/>
    <w:rsid w:val="000B6E72"/>
    <w:rsid w:val="000B718A"/>
    <w:rsid w:val="000B75A2"/>
    <w:rsid w:val="000C0537"/>
    <w:rsid w:val="000C0F74"/>
    <w:rsid w:val="000C1365"/>
    <w:rsid w:val="000C151E"/>
    <w:rsid w:val="000C1555"/>
    <w:rsid w:val="000C167E"/>
    <w:rsid w:val="000C188A"/>
    <w:rsid w:val="000C1A01"/>
    <w:rsid w:val="000C1CE6"/>
    <w:rsid w:val="000C2754"/>
    <w:rsid w:val="000C2D01"/>
    <w:rsid w:val="000C2D93"/>
    <w:rsid w:val="000C32E5"/>
    <w:rsid w:val="000C3339"/>
    <w:rsid w:val="000C36BC"/>
    <w:rsid w:val="000C3E3A"/>
    <w:rsid w:val="000C3F6D"/>
    <w:rsid w:val="000C46C6"/>
    <w:rsid w:val="000C4CD0"/>
    <w:rsid w:val="000C4D6C"/>
    <w:rsid w:val="000C5014"/>
    <w:rsid w:val="000C5140"/>
    <w:rsid w:val="000C537A"/>
    <w:rsid w:val="000C58BE"/>
    <w:rsid w:val="000C5F2D"/>
    <w:rsid w:val="000C6010"/>
    <w:rsid w:val="000C6D24"/>
    <w:rsid w:val="000C7004"/>
    <w:rsid w:val="000C7274"/>
    <w:rsid w:val="000C740D"/>
    <w:rsid w:val="000C7687"/>
    <w:rsid w:val="000C7923"/>
    <w:rsid w:val="000D07F1"/>
    <w:rsid w:val="000D123F"/>
    <w:rsid w:val="000D1821"/>
    <w:rsid w:val="000D19D2"/>
    <w:rsid w:val="000D2296"/>
    <w:rsid w:val="000D2A71"/>
    <w:rsid w:val="000D2E2E"/>
    <w:rsid w:val="000D31F1"/>
    <w:rsid w:val="000D36B9"/>
    <w:rsid w:val="000D3D9D"/>
    <w:rsid w:val="000D4833"/>
    <w:rsid w:val="000D4DBA"/>
    <w:rsid w:val="000D4E56"/>
    <w:rsid w:val="000D503C"/>
    <w:rsid w:val="000D53AA"/>
    <w:rsid w:val="000D53B2"/>
    <w:rsid w:val="000D54B0"/>
    <w:rsid w:val="000D5FA8"/>
    <w:rsid w:val="000D68A8"/>
    <w:rsid w:val="000D755F"/>
    <w:rsid w:val="000D7962"/>
    <w:rsid w:val="000E09E7"/>
    <w:rsid w:val="000E25F0"/>
    <w:rsid w:val="000E4FB9"/>
    <w:rsid w:val="000E5656"/>
    <w:rsid w:val="000E5DF5"/>
    <w:rsid w:val="000E7B59"/>
    <w:rsid w:val="000F00AF"/>
    <w:rsid w:val="000F0765"/>
    <w:rsid w:val="000F0A5C"/>
    <w:rsid w:val="000F0B05"/>
    <w:rsid w:val="000F0C0C"/>
    <w:rsid w:val="000F13B2"/>
    <w:rsid w:val="000F2932"/>
    <w:rsid w:val="000F3327"/>
    <w:rsid w:val="000F371C"/>
    <w:rsid w:val="000F3F29"/>
    <w:rsid w:val="000F4BAC"/>
    <w:rsid w:val="000F5295"/>
    <w:rsid w:val="000F54B1"/>
    <w:rsid w:val="000F56DA"/>
    <w:rsid w:val="000F62E9"/>
    <w:rsid w:val="000F7477"/>
    <w:rsid w:val="000F78C0"/>
    <w:rsid w:val="000F7F5C"/>
    <w:rsid w:val="0010084B"/>
    <w:rsid w:val="001016D2"/>
    <w:rsid w:val="00101EF4"/>
    <w:rsid w:val="00102378"/>
    <w:rsid w:val="001023AB"/>
    <w:rsid w:val="001026CA"/>
    <w:rsid w:val="00102F83"/>
    <w:rsid w:val="00103B80"/>
    <w:rsid w:val="001053B4"/>
    <w:rsid w:val="00105A8C"/>
    <w:rsid w:val="00105F61"/>
    <w:rsid w:val="0010618A"/>
    <w:rsid w:val="00106E42"/>
    <w:rsid w:val="00106FBA"/>
    <w:rsid w:val="00107482"/>
    <w:rsid w:val="001075B0"/>
    <w:rsid w:val="00107C7D"/>
    <w:rsid w:val="001103B6"/>
    <w:rsid w:val="0011063F"/>
    <w:rsid w:val="00110774"/>
    <w:rsid w:val="0011127F"/>
    <w:rsid w:val="00111DB1"/>
    <w:rsid w:val="00111FD1"/>
    <w:rsid w:val="00112572"/>
    <w:rsid w:val="00112E1B"/>
    <w:rsid w:val="001136E1"/>
    <w:rsid w:val="00113984"/>
    <w:rsid w:val="00113AA4"/>
    <w:rsid w:val="001141DC"/>
    <w:rsid w:val="0011434D"/>
    <w:rsid w:val="0011436B"/>
    <w:rsid w:val="00114A06"/>
    <w:rsid w:val="00115CF9"/>
    <w:rsid w:val="00115F33"/>
    <w:rsid w:val="0011624A"/>
    <w:rsid w:val="00116284"/>
    <w:rsid w:val="001164E7"/>
    <w:rsid w:val="0011667A"/>
    <w:rsid w:val="001169BE"/>
    <w:rsid w:val="00116CA6"/>
    <w:rsid w:val="00117B8D"/>
    <w:rsid w:val="001204DD"/>
    <w:rsid w:val="00121373"/>
    <w:rsid w:val="00121B61"/>
    <w:rsid w:val="00121DE2"/>
    <w:rsid w:val="001236CE"/>
    <w:rsid w:val="00123A5E"/>
    <w:rsid w:val="001257A5"/>
    <w:rsid w:val="0012608B"/>
    <w:rsid w:val="001264E7"/>
    <w:rsid w:val="001270D3"/>
    <w:rsid w:val="001273A0"/>
    <w:rsid w:val="00127E5B"/>
    <w:rsid w:val="00127FD9"/>
    <w:rsid w:val="0013109F"/>
    <w:rsid w:val="001312F9"/>
    <w:rsid w:val="001312FF"/>
    <w:rsid w:val="00131619"/>
    <w:rsid w:val="00131680"/>
    <w:rsid w:val="00131757"/>
    <w:rsid w:val="00131C6B"/>
    <w:rsid w:val="00131C6F"/>
    <w:rsid w:val="001320CE"/>
    <w:rsid w:val="001324BF"/>
    <w:rsid w:val="00132E65"/>
    <w:rsid w:val="00133865"/>
    <w:rsid w:val="00133B7E"/>
    <w:rsid w:val="00135279"/>
    <w:rsid w:val="0013570A"/>
    <w:rsid w:val="001357A0"/>
    <w:rsid w:val="001357E4"/>
    <w:rsid w:val="001357FB"/>
    <w:rsid w:val="00135E4D"/>
    <w:rsid w:val="001373AE"/>
    <w:rsid w:val="0014099E"/>
    <w:rsid w:val="00140FAB"/>
    <w:rsid w:val="0014127A"/>
    <w:rsid w:val="00141329"/>
    <w:rsid w:val="0014297E"/>
    <w:rsid w:val="0014353B"/>
    <w:rsid w:val="001443A2"/>
    <w:rsid w:val="00144720"/>
    <w:rsid w:val="00144D8D"/>
    <w:rsid w:val="00144EC0"/>
    <w:rsid w:val="00144F90"/>
    <w:rsid w:val="001454CE"/>
    <w:rsid w:val="001468E1"/>
    <w:rsid w:val="00146CF3"/>
    <w:rsid w:val="0014731F"/>
    <w:rsid w:val="00147BFE"/>
    <w:rsid w:val="00150456"/>
    <w:rsid w:val="001511A4"/>
    <w:rsid w:val="0015196E"/>
    <w:rsid w:val="00151EF7"/>
    <w:rsid w:val="0015216C"/>
    <w:rsid w:val="001521B3"/>
    <w:rsid w:val="001522CD"/>
    <w:rsid w:val="00152CA8"/>
    <w:rsid w:val="00153A49"/>
    <w:rsid w:val="00153FC4"/>
    <w:rsid w:val="001540F0"/>
    <w:rsid w:val="00154179"/>
    <w:rsid w:val="00154955"/>
    <w:rsid w:val="00156430"/>
    <w:rsid w:val="00156D50"/>
    <w:rsid w:val="00157124"/>
    <w:rsid w:val="001571E2"/>
    <w:rsid w:val="00157294"/>
    <w:rsid w:val="001574A6"/>
    <w:rsid w:val="00160310"/>
    <w:rsid w:val="0016105A"/>
    <w:rsid w:val="00161298"/>
    <w:rsid w:val="0016174E"/>
    <w:rsid w:val="001622CE"/>
    <w:rsid w:val="00162382"/>
    <w:rsid w:val="00162390"/>
    <w:rsid w:val="00162487"/>
    <w:rsid w:val="001625AD"/>
    <w:rsid w:val="00162F28"/>
    <w:rsid w:val="00162F3C"/>
    <w:rsid w:val="00163307"/>
    <w:rsid w:val="00163682"/>
    <w:rsid w:val="00163862"/>
    <w:rsid w:val="00164EBB"/>
    <w:rsid w:val="00164F00"/>
    <w:rsid w:val="0016536C"/>
    <w:rsid w:val="00165454"/>
    <w:rsid w:val="0016602F"/>
    <w:rsid w:val="00166A65"/>
    <w:rsid w:val="00166D84"/>
    <w:rsid w:val="00166ECB"/>
    <w:rsid w:val="00167B0C"/>
    <w:rsid w:val="00171060"/>
    <w:rsid w:val="001717F4"/>
    <w:rsid w:val="001720AA"/>
    <w:rsid w:val="00172493"/>
    <w:rsid w:val="00172543"/>
    <w:rsid w:val="00172FEC"/>
    <w:rsid w:val="001736AB"/>
    <w:rsid w:val="00173AF9"/>
    <w:rsid w:val="0017417D"/>
    <w:rsid w:val="00174203"/>
    <w:rsid w:val="00174784"/>
    <w:rsid w:val="00174FC4"/>
    <w:rsid w:val="00175083"/>
    <w:rsid w:val="0017511C"/>
    <w:rsid w:val="00175811"/>
    <w:rsid w:val="00175F58"/>
    <w:rsid w:val="001766B1"/>
    <w:rsid w:val="00176AC8"/>
    <w:rsid w:val="00176F08"/>
    <w:rsid w:val="00177959"/>
    <w:rsid w:val="00177B57"/>
    <w:rsid w:val="0018022A"/>
    <w:rsid w:val="001808C2"/>
    <w:rsid w:val="00180A6B"/>
    <w:rsid w:val="00181102"/>
    <w:rsid w:val="00181292"/>
    <w:rsid w:val="001814CD"/>
    <w:rsid w:val="00182349"/>
    <w:rsid w:val="00182B1B"/>
    <w:rsid w:val="0018312E"/>
    <w:rsid w:val="001833E0"/>
    <w:rsid w:val="00183E1E"/>
    <w:rsid w:val="00184338"/>
    <w:rsid w:val="00185527"/>
    <w:rsid w:val="001859E1"/>
    <w:rsid w:val="00185A6B"/>
    <w:rsid w:val="0018623D"/>
    <w:rsid w:val="0018657F"/>
    <w:rsid w:val="00187500"/>
    <w:rsid w:val="00187C4E"/>
    <w:rsid w:val="00187D34"/>
    <w:rsid w:val="00187D91"/>
    <w:rsid w:val="00187E68"/>
    <w:rsid w:val="001901FB"/>
    <w:rsid w:val="00190414"/>
    <w:rsid w:val="00191254"/>
    <w:rsid w:val="00191776"/>
    <w:rsid w:val="001922C4"/>
    <w:rsid w:val="0019251B"/>
    <w:rsid w:val="00192FD5"/>
    <w:rsid w:val="00193652"/>
    <w:rsid w:val="00193FEA"/>
    <w:rsid w:val="0019406A"/>
    <w:rsid w:val="00194677"/>
    <w:rsid w:val="001947E4"/>
    <w:rsid w:val="00194CAC"/>
    <w:rsid w:val="00194F81"/>
    <w:rsid w:val="001950ED"/>
    <w:rsid w:val="001957DA"/>
    <w:rsid w:val="0019594C"/>
    <w:rsid w:val="0019643F"/>
    <w:rsid w:val="00196E0B"/>
    <w:rsid w:val="00197743"/>
    <w:rsid w:val="001A00B8"/>
    <w:rsid w:val="001A0880"/>
    <w:rsid w:val="001A0E27"/>
    <w:rsid w:val="001A11E5"/>
    <w:rsid w:val="001A17B5"/>
    <w:rsid w:val="001A17DA"/>
    <w:rsid w:val="001A1E81"/>
    <w:rsid w:val="001A29BC"/>
    <w:rsid w:val="001A38C1"/>
    <w:rsid w:val="001A3B8A"/>
    <w:rsid w:val="001A3D09"/>
    <w:rsid w:val="001A4806"/>
    <w:rsid w:val="001A4D5B"/>
    <w:rsid w:val="001A4E91"/>
    <w:rsid w:val="001A555E"/>
    <w:rsid w:val="001A5679"/>
    <w:rsid w:val="001A592E"/>
    <w:rsid w:val="001A59B8"/>
    <w:rsid w:val="001A6398"/>
    <w:rsid w:val="001A6478"/>
    <w:rsid w:val="001A6F13"/>
    <w:rsid w:val="001A71D2"/>
    <w:rsid w:val="001B08D2"/>
    <w:rsid w:val="001B1241"/>
    <w:rsid w:val="001B1875"/>
    <w:rsid w:val="001B1D7E"/>
    <w:rsid w:val="001B1F36"/>
    <w:rsid w:val="001B254D"/>
    <w:rsid w:val="001B25F8"/>
    <w:rsid w:val="001B298A"/>
    <w:rsid w:val="001B2B99"/>
    <w:rsid w:val="001B33DC"/>
    <w:rsid w:val="001B3565"/>
    <w:rsid w:val="001B3F4D"/>
    <w:rsid w:val="001B3FD9"/>
    <w:rsid w:val="001B45FF"/>
    <w:rsid w:val="001B5AEC"/>
    <w:rsid w:val="001B5E6E"/>
    <w:rsid w:val="001B5F1C"/>
    <w:rsid w:val="001B6328"/>
    <w:rsid w:val="001B64EC"/>
    <w:rsid w:val="001B6B8E"/>
    <w:rsid w:val="001B7761"/>
    <w:rsid w:val="001B7F36"/>
    <w:rsid w:val="001B7FE9"/>
    <w:rsid w:val="001C0107"/>
    <w:rsid w:val="001C02D8"/>
    <w:rsid w:val="001C02FC"/>
    <w:rsid w:val="001C0B32"/>
    <w:rsid w:val="001C15C1"/>
    <w:rsid w:val="001C1900"/>
    <w:rsid w:val="001C1B6C"/>
    <w:rsid w:val="001C22D3"/>
    <w:rsid w:val="001C24FB"/>
    <w:rsid w:val="001C2C1A"/>
    <w:rsid w:val="001C2C45"/>
    <w:rsid w:val="001C2FF2"/>
    <w:rsid w:val="001C3308"/>
    <w:rsid w:val="001C38A3"/>
    <w:rsid w:val="001C549C"/>
    <w:rsid w:val="001C5ACC"/>
    <w:rsid w:val="001C5F5F"/>
    <w:rsid w:val="001C689C"/>
    <w:rsid w:val="001C693D"/>
    <w:rsid w:val="001C6A7A"/>
    <w:rsid w:val="001C7745"/>
    <w:rsid w:val="001D05F1"/>
    <w:rsid w:val="001D0826"/>
    <w:rsid w:val="001D14B0"/>
    <w:rsid w:val="001D1D6E"/>
    <w:rsid w:val="001D26CB"/>
    <w:rsid w:val="001D2724"/>
    <w:rsid w:val="001D29FE"/>
    <w:rsid w:val="001D2DEB"/>
    <w:rsid w:val="001D34EC"/>
    <w:rsid w:val="001D405B"/>
    <w:rsid w:val="001D453E"/>
    <w:rsid w:val="001D4706"/>
    <w:rsid w:val="001D48EF"/>
    <w:rsid w:val="001D4E74"/>
    <w:rsid w:val="001D53B1"/>
    <w:rsid w:val="001D6961"/>
    <w:rsid w:val="001D6B62"/>
    <w:rsid w:val="001D6BBE"/>
    <w:rsid w:val="001D721E"/>
    <w:rsid w:val="001D7A36"/>
    <w:rsid w:val="001E0AB0"/>
    <w:rsid w:val="001E102A"/>
    <w:rsid w:val="001E16CD"/>
    <w:rsid w:val="001E1949"/>
    <w:rsid w:val="001E1BE0"/>
    <w:rsid w:val="001E1C2E"/>
    <w:rsid w:val="001E1D4E"/>
    <w:rsid w:val="001E2322"/>
    <w:rsid w:val="001E2590"/>
    <w:rsid w:val="001E2B6E"/>
    <w:rsid w:val="001E35B5"/>
    <w:rsid w:val="001E3EBA"/>
    <w:rsid w:val="001E4409"/>
    <w:rsid w:val="001E5208"/>
    <w:rsid w:val="001E55F9"/>
    <w:rsid w:val="001E5CD4"/>
    <w:rsid w:val="001E5D4E"/>
    <w:rsid w:val="001E6DEC"/>
    <w:rsid w:val="001E7A08"/>
    <w:rsid w:val="001F03D2"/>
    <w:rsid w:val="001F0885"/>
    <w:rsid w:val="001F1CA3"/>
    <w:rsid w:val="001F204B"/>
    <w:rsid w:val="001F21B5"/>
    <w:rsid w:val="001F2B08"/>
    <w:rsid w:val="001F3467"/>
    <w:rsid w:val="001F3475"/>
    <w:rsid w:val="001F55CA"/>
    <w:rsid w:val="001F60EF"/>
    <w:rsid w:val="001F785E"/>
    <w:rsid w:val="001F799C"/>
    <w:rsid w:val="001F7DA7"/>
    <w:rsid w:val="00200455"/>
    <w:rsid w:val="00200E81"/>
    <w:rsid w:val="00200F1A"/>
    <w:rsid w:val="00201553"/>
    <w:rsid w:val="002017BA"/>
    <w:rsid w:val="00201A76"/>
    <w:rsid w:val="0020237C"/>
    <w:rsid w:val="0020246C"/>
    <w:rsid w:val="00202577"/>
    <w:rsid w:val="00202F83"/>
    <w:rsid w:val="00203250"/>
    <w:rsid w:val="002038C5"/>
    <w:rsid w:val="00204B3C"/>
    <w:rsid w:val="00204DEC"/>
    <w:rsid w:val="00206106"/>
    <w:rsid w:val="002065C5"/>
    <w:rsid w:val="00206D3F"/>
    <w:rsid w:val="00206DFB"/>
    <w:rsid w:val="00206FF4"/>
    <w:rsid w:val="0020718E"/>
    <w:rsid w:val="0020734A"/>
    <w:rsid w:val="00207D40"/>
    <w:rsid w:val="002107B3"/>
    <w:rsid w:val="00210892"/>
    <w:rsid w:val="002110BC"/>
    <w:rsid w:val="002117CE"/>
    <w:rsid w:val="002126DD"/>
    <w:rsid w:val="00212BA1"/>
    <w:rsid w:val="00212F39"/>
    <w:rsid w:val="002132AD"/>
    <w:rsid w:val="00213ED5"/>
    <w:rsid w:val="002146E8"/>
    <w:rsid w:val="00214BEC"/>
    <w:rsid w:val="0021502A"/>
    <w:rsid w:val="00215806"/>
    <w:rsid w:val="0021621B"/>
    <w:rsid w:val="00216A0F"/>
    <w:rsid w:val="00216CB6"/>
    <w:rsid w:val="00216F7E"/>
    <w:rsid w:val="00217643"/>
    <w:rsid w:val="00220501"/>
    <w:rsid w:val="00220973"/>
    <w:rsid w:val="00220999"/>
    <w:rsid w:val="0022222B"/>
    <w:rsid w:val="002227C1"/>
    <w:rsid w:val="00222B3B"/>
    <w:rsid w:val="00222E6C"/>
    <w:rsid w:val="00222FC3"/>
    <w:rsid w:val="00223032"/>
    <w:rsid w:val="002234B6"/>
    <w:rsid w:val="00223579"/>
    <w:rsid w:val="002235AE"/>
    <w:rsid w:val="0022372B"/>
    <w:rsid w:val="002237A0"/>
    <w:rsid w:val="0022489D"/>
    <w:rsid w:val="00224CED"/>
    <w:rsid w:val="00225F04"/>
    <w:rsid w:val="00226339"/>
    <w:rsid w:val="002264FC"/>
    <w:rsid w:val="00226676"/>
    <w:rsid w:val="00226A25"/>
    <w:rsid w:val="00227C4A"/>
    <w:rsid w:val="00227CDA"/>
    <w:rsid w:val="00227F95"/>
    <w:rsid w:val="002305B0"/>
    <w:rsid w:val="0023061F"/>
    <w:rsid w:val="00231778"/>
    <w:rsid w:val="00231AE2"/>
    <w:rsid w:val="00231DA3"/>
    <w:rsid w:val="002326E3"/>
    <w:rsid w:val="0023293E"/>
    <w:rsid w:val="00232B39"/>
    <w:rsid w:val="002332FA"/>
    <w:rsid w:val="00233D54"/>
    <w:rsid w:val="002341C9"/>
    <w:rsid w:val="0023471C"/>
    <w:rsid w:val="00234D82"/>
    <w:rsid w:val="00235FF0"/>
    <w:rsid w:val="00236159"/>
    <w:rsid w:val="0023623D"/>
    <w:rsid w:val="002363EF"/>
    <w:rsid w:val="0023664B"/>
    <w:rsid w:val="00236796"/>
    <w:rsid w:val="00236D8F"/>
    <w:rsid w:val="00236E31"/>
    <w:rsid w:val="00237344"/>
    <w:rsid w:val="0024016F"/>
    <w:rsid w:val="00240732"/>
    <w:rsid w:val="0024095C"/>
    <w:rsid w:val="00240AD1"/>
    <w:rsid w:val="002419C4"/>
    <w:rsid w:val="002420B6"/>
    <w:rsid w:val="00242882"/>
    <w:rsid w:val="00242957"/>
    <w:rsid w:val="00243106"/>
    <w:rsid w:val="002439B2"/>
    <w:rsid w:val="00243B18"/>
    <w:rsid w:val="00243F99"/>
    <w:rsid w:val="00244880"/>
    <w:rsid w:val="0024515A"/>
    <w:rsid w:val="002456E7"/>
    <w:rsid w:val="00245866"/>
    <w:rsid w:val="0024697C"/>
    <w:rsid w:val="00246ECA"/>
    <w:rsid w:val="002471F1"/>
    <w:rsid w:val="0024733B"/>
    <w:rsid w:val="002502C8"/>
    <w:rsid w:val="0025032B"/>
    <w:rsid w:val="00250448"/>
    <w:rsid w:val="00250B6F"/>
    <w:rsid w:val="00251796"/>
    <w:rsid w:val="00251A51"/>
    <w:rsid w:val="0025224E"/>
    <w:rsid w:val="002524DC"/>
    <w:rsid w:val="0025289D"/>
    <w:rsid w:val="00252A4C"/>
    <w:rsid w:val="00252AC8"/>
    <w:rsid w:val="00252E6A"/>
    <w:rsid w:val="00253311"/>
    <w:rsid w:val="00253459"/>
    <w:rsid w:val="002544B8"/>
    <w:rsid w:val="00254A4F"/>
    <w:rsid w:val="00255EC0"/>
    <w:rsid w:val="00257566"/>
    <w:rsid w:val="002578BF"/>
    <w:rsid w:val="002579DA"/>
    <w:rsid w:val="00260A99"/>
    <w:rsid w:val="00260E46"/>
    <w:rsid w:val="00260F25"/>
    <w:rsid w:val="00260F2A"/>
    <w:rsid w:val="00260FBC"/>
    <w:rsid w:val="00261041"/>
    <w:rsid w:val="00261B3E"/>
    <w:rsid w:val="00262892"/>
    <w:rsid w:val="00262C0E"/>
    <w:rsid w:val="002639EA"/>
    <w:rsid w:val="00263C82"/>
    <w:rsid w:val="00264559"/>
    <w:rsid w:val="0026488B"/>
    <w:rsid w:val="002649D8"/>
    <w:rsid w:val="00265582"/>
    <w:rsid w:val="00265939"/>
    <w:rsid w:val="00265C44"/>
    <w:rsid w:val="00265CF4"/>
    <w:rsid w:val="00265F21"/>
    <w:rsid w:val="002673FA"/>
    <w:rsid w:val="0026783D"/>
    <w:rsid w:val="00267968"/>
    <w:rsid w:val="00267CA6"/>
    <w:rsid w:val="00267D34"/>
    <w:rsid w:val="00267F79"/>
    <w:rsid w:val="00270F05"/>
    <w:rsid w:val="00271029"/>
    <w:rsid w:val="002720C6"/>
    <w:rsid w:val="00273C28"/>
    <w:rsid w:val="00273D7E"/>
    <w:rsid w:val="00274588"/>
    <w:rsid w:val="00274783"/>
    <w:rsid w:val="00274FD0"/>
    <w:rsid w:val="00275095"/>
    <w:rsid w:val="002751BE"/>
    <w:rsid w:val="00275210"/>
    <w:rsid w:val="00275987"/>
    <w:rsid w:val="0027708B"/>
    <w:rsid w:val="00277700"/>
    <w:rsid w:val="00277A5B"/>
    <w:rsid w:val="00277BD2"/>
    <w:rsid w:val="00277D21"/>
    <w:rsid w:val="00280B50"/>
    <w:rsid w:val="00280DC5"/>
    <w:rsid w:val="00280E3C"/>
    <w:rsid w:val="002811B0"/>
    <w:rsid w:val="0028137C"/>
    <w:rsid w:val="00281546"/>
    <w:rsid w:val="00281818"/>
    <w:rsid w:val="00281B90"/>
    <w:rsid w:val="00282264"/>
    <w:rsid w:val="002823FE"/>
    <w:rsid w:val="00282713"/>
    <w:rsid w:val="00283208"/>
    <w:rsid w:val="0028346C"/>
    <w:rsid w:val="00283B15"/>
    <w:rsid w:val="00284405"/>
    <w:rsid w:val="00284492"/>
    <w:rsid w:val="00284B8E"/>
    <w:rsid w:val="00286CA2"/>
    <w:rsid w:val="00286DA3"/>
    <w:rsid w:val="00286EA4"/>
    <w:rsid w:val="00287FB6"/>
    <w:rsid w:val="00290EE1"/>
    <w:rsid w:val="002912C2"/>
    <w:rsid w:val="002912D3"/>
    <w:rsid w:val="002914D7"/>
    <w:rsid w:val="00291698"/>
    <w:rsid w:val="00291DE8"/>
    <w:rsid w:val="00291EE4"/>
    <w:rsid w:val="002925ED"/>
    <w:rsid w:val="00292664"/>
    <w:rsid w:val="002926BB"/>
    <w:rsid w:val="00292789"/>
    <w:rsid w:val="00292963"/>
    <w:rsid w:val="00292BD5"/>
    <w:rsid w:val="00293208"/>
    <w:rsid w:val="00293799"/>
    <w:rsid w:val="00293F69"/>
    <w:rsid w:val="0029420A"/>
    <w:rsid w:val="00294C24"/>
    <w:rsid w:val="00295808"/>
    <w:rsid w:val="002963AD"/>
    <w:rsid w:val="002964CA"/>
    <w:rsid w:val="00296FBA"/>
    <w:rsid w:val="002973D8"/>
    <w:rsid w:val="002A0B74"/>
    <w:rsid w:val="002A16AD"/>
    <w:rsid w:val="002A174E"/>
    <w:rsid w:val="002A1B2E"/>
    <w:rsid w:val="002A36C4"/>
    <w:rsid w:val="002A38F2"/>
    <w:rsid w:val="002A39D2"/>
    <w:rsid w:val="002A3B53"/>
    <w:rsid w:val="002A3FEB"/>
    <w:rsid w:val="002A48DF"/>
    <w:rsid w:val="002A4D14"/>
    <w:rsid w:val="002A4DAC"/>
    <w:rsid w:val="002A5F72"/>
    <w:rsid w:val="002A6031"/>
    <w:rsid w:val="002A6140"/>
    <w:rsid w:val="002A63D4"/>
    <w:rsid w:val="002A6C89"/>
    <w:rsid w:val="002A6E3B"/>
    <w:rsid w:val="002A740B"/>
    <w:rsid w:val="002B1272"/>
    <w:rsid w:val="002B14D3"/>
    <w:rsid w:val="002B215D"/>
    <w:rsid w:val="002B25BE"/>
    <w:rsid w:val="002B2AE9"/>
    <w:rsid w:val="002B2E60"/>
    <w:rsid w:val="002B334D"/>
    <w:rsid w:val="002B3710"/>
    <w:rsid w:val="002B48A4"/>
    <w:rsid w:val="002B4969"/>
    <w:rsid w:val="002B54BE"/>
    <w:rsid w:val="002B5B69"/>
    <w:rsid w:val="002B5C48"/>
    <w:rsid w:val="002B5D5F"/>
    <w:rsid w:val="002B5F94"/>
    <w:rsid w:val="002B602A"/>
    <w:rsid w:val="002B6409"/>
    <w:rsid w:val="002B6DAF"/>
    <w:rsid w:val="002B6E9A"/>
    <w:rsid w:val="002B70CE"/>
    <w:rsid w:val="002B75E2"/>
    <w:rsid w:val="002B7A1D"/>
    <w:rsid w:val="002C0142"/>
    <w:rsid w:val="002C0B28"/>
    <w:rsid w:val="002C0B2D"/>
    <w:rsid w:val="002C12DC"/>
    <w:rsid w:val="002C1CA7"/>
    <w:rsid w:val="002C2545"/>
    <w:rsid w:val="002C3651"/>
    <w:rsid w:val="002C394F"/>
    <w:rsid w:val="002C3C34"/>
    <w:rsid w:val="002C47D9"/>
    <w:rsid w:val="002C4EA8"/>
    <w:rsid w:val="002C5795"/>
    <w:rsid w:val="002C66C9"/>
    <w:rsid w:val="002C678F"/>
    <w:rsid w:val="002C690F"/>
    <w:rsid w:val="002C6FAB"/>
    <w:rsid w:val="002C74D3"/>
    <w:rsid w:val="002C770D"/>
    <w:rsid w:val="002C775C"/>
    <w:rsid w:val="002C7BD6"/>
    <w:rsid w:val="002C7E57"/>
    <w:rsid w:val="002D021A"/>
    <w:rsid w:val="002D03BB"/>
    <w:rsid w:val="002D0758"/>
    <w:rsid w:val="002D0B2F"/>
    <w:rsid w:val="002D18A5"/>
    <w:rsid w:val="002D18BF"/>
    <w:rsid w:val="002D2014"/>
    <w:rsid w:val="002D28C4"/>
    <w:rsid w:val="002D35F2"/>
    <w:rsid w:val="002D39EC"/>
    <w:rsid w:val="002D3F9E"/>
    <w:rsid w:val="002D54E1"/>
    <w:rsid w:val="002D5E0F"/>
    <w:rsid w:val="002D5E99"/>
    <w:rsid w:val="002D6380"/>
    <w:rsid w:val="002D6760"/>
    <w:rsid w:val="002D6ED1"/>
    <w:rsid w:val="002D7168"/>
    <w:rsid w:val="002D78B3"/>
    <w:rsid w:val="002D7C3D"/>
    <w:rsid w:val="002E079D"/>
    <w:rsid w:val="002E0C7B"/>
    <w:rsid w:val="002E1797"/>
    <w:rsid w:val="002E1840"/>
    <w:rsid w:val="002E1F56"/>
    <w:rsid w:val="002E1F68"/>
    <w:rsid w:val="002E215B"/>
    <w:rsid w:val="002E217D"/>
    <w:rsid w:val="002E29CF"/>
    <w:rsid w:val="002E2C23"/>
    <w:rsid w:val="002E3008"/>
    <w:rsid w:val="002E31BD"/>
    <w:rsid w:val="002E552E"/>
    <w:rsid w:val="002E5B56"/>
    <w:rsid w:val="002E65B0"/>
    <w:rsid w:val="002E6A00"/>
    <w:rsid w:val="002E6C9E"/>
    <w:rsid w:val="002E6D7C"/>
    <w:rsid w:val="002E7088"/>
    <w:rsid w:val="002E78D1"/>
    <w:rsid w:val="002E7961"/>
    <w:rsid w:val="002E79A2"/>
    <w:rsid w:val="002F03A7"/>
    <w:rsid w:val="002F0400"/>
    <w:rsid w:val="002F0703"/>
    <w:rsid w:val="002F0907"/>
    <w:rsid w:val="002F0BC0"/>
    <w:rsid w:val="002F19F9"/>
    <w:rsid w:val="002F2FAA"/>
    <w:rsid w:val="002F31A8"/>
    <w:rsid w:val="002F3E1A"/>
    <w:rsid w:val="002F423D"/>
    <w:rsid w:val="002F45EA"/>
    <w:rsid w:val="002F5774"/>
    <w:rsid w:val="002F59F4"/>
    <w:rsid w:val="002F5DC5"/>
    <w:rsid w:val="002F6310"/>
    <w:rsid w:val="002F6555"/>
    <w:rsid w:val="002F6937"/>
    <w:rsid w:val="002F7036"/>
    <w:rsid w:val="002F70D1"/>
    <w:rsid w:val="002F70E0"/>
    <w:rsid w:val="002F7A5B"/>
    <w:rsid w:val="002F7DEE"/>
    <w:rsid w:val="003002ED"/>
    <w:rsid w:val="003006BE"/>
    <w:rsid w:val="00300908"/>
    <w:rsid w:val="00300B94"/>
    <w:rsid w:val="00300D3F"/>
    <w:rsid w:val="00300F5B"/>
    <w:rsid w:val="003019EF"/>
    <w:rsid w:val="00301F00"/>
    <w:rsid w:val="00301F68"/>
    <w:rsid w:val="00301F7C"/>
    <w:rsid w:val="0030226B"/>
    <w:rsid w:val="00302A5C"/>
    <w:rsid w:val="00303236"/>
    <w:rsid w:val="00303C34"/>
    <w:rsid w:val="00303D2E"/>
    <w:rsid w:val="00304896"/>
    <w:rsid w:val="003049E8"/>
    <w:rsid w:val="00304B16"/>
    <w:rsid w:val="00304E7A"/>
    <w:rsid w:val="00305573"/>
    <w:rsid w:val="00305671"/>
    <w:rsid w:val="00305869"/>
    <w:rsid w:val="00305904"/>
    <w:rsid w:val="00305C17"/>
    <w:rsid w:val="00305FE1"/>
    <w:rsid w:val="0030644E"/>
    <w:rsid w:val="003066B8"/>
    <w:rsid w:val="00306906"/>
    <w:rsid w:val="00306BCE"/>
    <w:rsid w:val="003075CC"/>
    <w:rsid w:val="00307721"/>
    <w:rsid w:val="00307C5E"/>
    <w:rsid w:val="00307F3C"/>
    <w:rsid w:val="0031080E"/>
    <w:rsid w:val="00310AA5"/>
    <w:rsid w:val="003113F5"/>
    <w:rsid w:val="003114F5"/>
    <w:rsid w:val="00311520"/>
    <w:rsid w:val="00311A31"/>
    <w:rsid w:val="00311BFC"/>
    <w:rsid w:val="00311FC0"/>
    <w:rsid w:val="00312194"/>
    <w:rsid w:val="003122BF"/>
    <w:rsid w:val="00312425"/>
    <w:rsid w:val="003137B5"/>
    <w:rsid w:val="0031386F"/>
    <w:rsid w:val="00313C87"/>
    <w:rsid w:val="00313E9D"/>
    <w:rsid w:val="00315303"/>
    <w:rsid w:val="003154AF"/>
    <w:rsid w:val="003156AF"/>
    <w:rsid w:val="0031572E"/>
    <w:rsid w:val="003157D2"/>
    <w:rsid w:val="00315C73"/>
    <w:rsid w:val="00316D05"/>
    <w:rsid w:val="00317635"/>
    <w:rsid w:val="00317BBE"/>
    <w:rsid w:val="00317F6A"/>
    <w:rsid w:val="00317F70"/>
    <w:rsid w:val="003205F9"/>
    <w:rsid w:val="00320993"/>
    <w:rsid w:val="00320997"/>
    <w:rsid w:val="00320D4B"/>
    <w:rsid w:val="00320E68"/>
    <w:rsid w:val="0032129C"/>
    <w:rsid w:val="00321E8B"/>
    <w:rsid w:val="0032217B"/>
    <w:rsid w:val="0032241A"/>
    <w:rsid w:val="00322471"/>
    <w:rsid w:val="00322A19"/>
    <w:rsid w:val="00322B9E"/>
    <w:rsid w:val="0032306A"/>
    <w:rsid w:val="00323B09"/>
    <w:rsid w:val="00323B33"/>
    <w:rsid w:val="00324530"/>
    <w:rsid w:val="003245AC"/>
    <w:rsid w:val="003265ED"/>
    <w:rsid w:val="003265F5"/>
    <w:rsid w:val="00326862"/>
    <w:rsid w:val="00327225"/>
    <w:rsid w:val="0032736F"/>
    <w:rsid w:val="003300A3"/>
    <w:rsid w:val="00330734"/>
    <w:rsid w:val="0033083B"/>
    <w:rsid w:val="00330D62"/>
    <w:rsid w:val="0033191E"/>
    <w:rsid w:val="00332682"/>
    <w:rsid w:val="00333C6C"/>
    <w:rsid w:val="0033412C"/>
    <w:rsid w:val="003343D3"/>
    <w:rsid w:val="00334C43"/>
    <w:rsid w:val="003352FB"/>
    <w:rsid w:val="00335A3E"/>
    <w:rsid w:val="00335D1C"/>
    <w:rsid w:val="00335ED4"/>
    <w:rsid w:val="00336101"/>
    <w:rsid w:val="003369DD"/>
    <w:rsid w:val="00337014"/>
    <w:rsid w:val="00337CFB"/>
    <w:rsid w:val="003403C4"/>
    <w:rsid w:val="00340423"/>
    <w:rsid w:val="00340B2C"/>
    <w:rsid w:val="00341D20"/>
    <w:rsid w:val="00341DDC"/>
    <w:rsid w:val="0034486E"/>
    <w:rsid w:val="00344B7C"/>
    <w:rsid w:val="0034508A"/>
    <w:rsid w:val="00345C2A"/>
    <w:rsid w:val="00346347"/>
    <w:rsid w:val="0034651E"/>
    <w:rsid w:val="00347478"/>
    <w:rsid w:val="00347676"/>
    <w:rsid w:val="0034775A"/>
    <w:rsid w:val="00347EB8"/>
    <w:rsid w:val="00347EBB"/>
    <w:rsid w:val="00350395"/>
    <w:rsid w:val="003509B6"/>
    <w:rsid w:val="00350FFB"/>
    <w:rsid w:val="0035113E"/>
    <w:rsid w:val="0035185A"/>
    <w:rsid w:val="00351869"/>
    <w:rsid w:val="00351AFF"/>
    <w:rsid w:val="00351C6E"/>
    <w:rsid w:val="00351F86"/>
    <w:rsid w:val="00352496"/>
    <w:rsid w:val="00352644"/>
    <w:rsid w:val="0035271D"/>
    <w:rsid w:val="003531F3"/>
    <w:rsid w:val="003533D7"/>
    <w:rsid w:val="0035372C"/>
    <w:rsid w:val="00353E6E"/>
    <w:rsid w:val="00354038"/>
    <w:rsid w:val="00354C18"/>
    <w:rsid w:val="00355756"/>
    <w:rsid w:val="0035576B"/>
    <w:rsid w:val="00355D22"/>
    <w:rsid w:val="003562B6"/>
    <w:rsid w:val="00356462"/>
    <w:rsid w:val="0035648B"/>
    <w:rsid w:val="003573EC"/>
    <w:rsid w:val="00357AF1"/>
    <w:rsid w:val="00357C01"/>
    <w:rsid w:val="0036012F"/>
    <w:rsid w:val="00361115"/>
    <w:rsid w:val="003611F0"/>
    <w:rsid w:val="00361370"/>
    <w:rsid w:val="0036156F"/>
    <w:rsid w:val="00361978"/>
    <w:rsid w:val="00361D63"/>
    <w:rsid w:val="0036225D"/>
    <w:rsid w:val="00362616"/>
    <w:rsid w:val="003626FA"/>
    <w:rsid w:val="00362881"/>
    <w:rsid w:val="00363C93"/>
    <w:rsid w:val="00365900"/>
    <w:rsid w:val="00365FD7"/>
    <w:rsid w:val="00366109"/>
    <w:rsid w:val="003662B1"/>
    <w:rsid w:val="003663E8"/>
    <w:rsid w:val="00366C2A"/>
    <w:rsid w:val="00366FB4"/>
    <w:rsid w:val="0036718C"/>
    <w:rsid w:val="00367D07"/>
    <w:rsid w:val="0037098E"/>
    <w:rsid w:val="00370A93"/>
    <w:rsid w:val="00370B51"/>
    <w:rsid w:val="00371CDC"/>
    <w:rsid w:val="0037203E"/>
    <w:rsid w:val="003726FD"/>
    <w:rsid w:val="0037353C"/>
    <w:rsid w:val="00373929"/>
    <w:rsid w:val="00373C60"/>
    <w:rsid w:val="00373D44"/>
    <w:rsid w:val="00374D12"/>
    <w:rsid w:val="003751B7"/>
    <w:rsid w:val="00375734"/>
    <w:rsid w:val="00375C9A"/>
    <w:rsid w:val="00375EED"/>
    <w:rsid w:val="00375F5B"/>
    <w:rsid w:val="0037709E"/>
    <w:rsid w:val="003779AF"/>
    <w:rsid w:val="003800F6"/>
    <w:rsid w:val="00380C64"/>
    <w:rsid w:val="00380E17"/>
    <w:rsid w:val="00381723"/>
    <w:rsid w:val="003819BB"/>
    <w:rsid w:val="00381FE0"/>
    <w:rsid w:val="00382CD2"/>
    <w:rsid w:val="0038349E"/>
    <w:rsid w:val="00383572"/>
    <w:rsid w:val="003837AC"/>
    <w:rsid w:val="00383B4D"/>
    <w:rsid w:val="00384211"/>
    <w:rsid w:val="00384C58"/>
    <w:rsid w:val="003862EE"/>
    <w:rsid w:val="003866B2"/>
    <w:rsid w:val="00386A82"/>
    <w:rsid w:val="00387180"/>
    <w:rsid w:val="00387AEE"/>
    <w:rsid w:val="00387F7E"/>
    <w:rsid w:val="0039048D"/>
    <w:rsid w:val="00390601"/>
    <w:rsid w:val="003909E9"/>
    <w:rsid w:val="00391BB4"/>
    <w:rsid w:val="00392923"/>
    <w:rsid w:val="00392EAF"/>
    <w:rsid w:val="00393455"/>
    <w:rsid w:val="003934E8"/>
    <w:rsid w:val="00393A8E"/>
    <w:rsid w:val="00393C01"/>
    <w:rsid w:val="00394619"/>
    <w:rsid w:val="003946D5"/>
    <w:rsid w:val="0039509A"/>
    <w:rsid w:val="003951A7"/>
    <w:rsid w:val="00395A64"/>
    <w:rsid w:val="00395A7E"/>
    <w:rsid w:val="00396BB0"/>
    <w:rsid w:val="003973B8"/>
    <w:rsid w:val="003A000A"/>
    <w:rsid w:val="003A0084"/>
    <w:rsid w:val="003A0EA1"/>
    <w:rsid w:val="003A10BB"/>
    <w:rsid w:val="003A194F"/>
    <w:rsid w:val="003A202A"/>
    <w:rsid w:val="003A2852"/>
    <w:rsid w:val="003A2EBF"/>
    <w:rsid w:val="003A33FF"/>
    <w:rsid w:val="003A3849"/>
    <w:rsid w:val="003A40F5"/>
    <w:rsid w:val="003A43AC"/>
    <w:rsid w:val="003A469A"/>
    <w:rsid w:val="003A479A"/>
    <w:rsid w:val="003A4A62"/>
    <w:rsid w:val="003A4CFA"/>
    <w:rsid w:val="003A4EE3"/>
    <w:rsid w:val="003A567C"/>
    <w:rsid w:val="003A6419"/>
    <w:rsid w:val="003A670B"/>
    <w:rsid w:val="003A673B"/>
    <w:rsid w:val="003A6D54"/>
    <w:rsid w:val="003A746B"/>
    <w:rsid w:val="003A7526"/>
    <w:rsid w:val="003A7575"/>
    <w:rsid w:val="003A7868"/>
    <w:rsid w:val="003B0BE9"/>
    <w:rsid w:val="003B0FD5"/>
    <w:rsid w:val="003B1752"/>
    <w:rsid w:val="003B19DC"/>
    <w:rsid w:val="003B204B"/>
    <w:rsid w:val="003B2F03"/>
    <w:rsid w:val="003B2F45"/>
    <w:rsid w:val="003B30AE"/>
    <w:rsid w:val="003B4024"/>
    <w:rsid w:val="003B4641"/>
    <w:rsid w:val="003B4843"/>
    <w:rsid w:val="003B611C"/>
    <w:rsid w:val="003B7070"/>
    <w:rsid w:val="003B709A"/>
    <w:rsid w:val="003B79B7"/>
    <w:rsid w:val="003C00E0"/>
    <w:rsid w:val="003C01CC"/>
    <w:rsid w:val="003C0890"/>
    <w:rsid w:val="003C0C2A"/>
    <w:rsid w:val="003C15EF"/>
    <w:rsid w:val="003C2747"/>
    <w:rsid w:val="003C4012"/>
    <w:rsid w:val="003C4D71"/>
    <w:rsid w:val="003C4F25"/>
    <w:rsid w:val="003C6C32"/>
    <w:rsid w:val="003C7062"/>
    <w:rsid w:val="003D044F"/>
    <w:rsid w:val="003D0E1E"/>
    <w:rsid w:val="003D1C93"/>
    <w:rsid w:val="003D2211"/>
    <w:rsid w:val="003D2455"/>
    <w:rsid w:val="003D30B8"/>
    <w:rsid w:val="003D3A1C"/>
    <w:rsid w:val="003D47AA"/>
    <w:rsid w:val="003D47D9"/>
    <w:rsid w:val="003D4852"/>
    <w:rsid w:val="003D4CFD"/>
    <w:rsid w:val="003D61FE"/>
    <w:rsid w:val="003D6CC0"/>
    <w:rsid w:val="003D7C6A"/>
    <w:rsid w:val="003E0D0E"/>
    <w:rsid w:val="003E126F"/>
    <w:rsid w:val="003E16D4"/>
    <w:rsid w:val="003E1D84"/>
    <w:rsid w:val="003E203E"/>
    <w:rsid w:val="003E21F1"/>
    <w:rsid w:val="003E2A09"/>
    <w:rsid w:val="003E32D4"/>
    <w:rsid w:val="003E3732"/>
    <w:rsid w:val="003E399B"/>
    <w:rsid w:val="003E3BFF"/>
    <w:rsid w:val="003E472A"/>
    <w:rsid w:val="003E4909"/>
    <w:rsid w:val="003E5385"/>
    <w:rsid w:val="003E552A"/>
    <w:rsid w:val="003E58FD"/>
    <w:rsid w:val="003E5DDA"/>
    <w:rsid w:val="003E5EA7"/>
    <w:rsid w:val="003E65C4"/>
    <w:rsid w:val="003E6E9C"/>
    <w:rsid w:val="003E7666"/>
    <w:rsid w:val="003E7EC8"/>
    <w:rsid w:val="003F0778"/>
    <w:rsid w:val="003F1600"/>
    <w:rsid w:val="003F1DA2"/>
    <w:rsid w:val="003F2F10"/>
    <w:rsid w:val="003F3654"/>
    <w:rsid w:val="003F4219"/>
    <w:rsid w:val="003F436A"/>
    <w:rsid w:val="003F446D"/>
    <w:rsid w:val="003F4ACC"/>
    <w:rsid w:val="003F509F"/>
    <w:rsid w:val="003F56D2"/>
    <w:rsid w:val="003F5DD6"/>
    <w:rsid w:val="003F6401"/>
    <w:rsid w:val="003F6C64"/>
    <w:rsid w:val="003F798A"/>
    <w:rsid w:val="00400EAF"/>
    <w:rsid w:val="00401950"/>
    <w:rsid w:val="00402133"/>
    <w:rsid w:val="004029CA"/>
    <w:rsid w:val="0040419D"/>
    <w:rsid w:val="00404510"/>
    <w:rsid w:val="004055F1"/>
    <w:rsid w:val="004058C7"/>
    <w:rsid w:val="00405BE6"/>
    <w:rsid w:val="00406457"/>
    <w:rsid w:val="00406B2D"/>
    <w:rsid w:val="00406F64"/>
    <w:rsid w:val="004070BB"/>
    <w:rsid w:val="004071EC"/>
    <w:rsid w:val="0040797A"/>
    <w:rsid w:val="0041017B"/>
    <w:rsid w:val="00410539"/>
    <w:rsid w:val="00410788"/>
    <w:rsid w:val="00411345"/>
    <w:rsid w:val="00413221"/>
    <w:rsid w:val="00415B6F"/>
    <w:rsid w:val="00416968"/>
    <w:rsid w:val="004174CD"/>
    <w:rsid w:val="004176E7"/>
    <w:rsid w:val="00417801"/>
    <w:rsid w:val="00420740"/>
    <w:rsid w:val="00421D84"/>
    <w:rsid w:val="00421E26"/>
    <w:rsid w:val="004224F9"/>
    <w:rsid w:val="0042333E"/>
    <w:rsid w:val="00423B53"/>
    <w:rsid w:val="004247D7"/>
    <w:rsid w:val="004254B3"/>
    <w:rsid w:val="00425CAF"/>
    <w:rsid w:val="00425EE9"/>
    <w:rsid w:val="0042611C"/>
    <w:rsid w:val="00426536"/>
    <w:rsid w:val="00426935"/>
    <w:rsid w:val="004307DD"/>
    <w:rsid w:val="00431512"/>
    <w:rsid w:val="004316F2"/>
    <w:rsid w:val="0043175B"/>
    <w:rsid w:val="00431843"/>
    <w:rsid w:val="00432C41"/>
    <w:rsid w:val="00432E0F"/>
    <w:rsid w:val="00433240"/>
    <w:rsid w:val="004339BD"/>
    <w:rsid w:val="00433C9D"/>
    <w:rsid w:val="00433ED1"/>
    <w:rsid w:val="00433ED3"/>
    <w:rsid w:val="00433FB4"/>
    <w:rsid w:val="0043407A"/>
    <w:rsid w:val="004341A4"/>
    <w:rsid w:val="004342A3"/>
    <w:rsid w:val="00435154"/>
    <w:rsid w:val="004353BD"/>
    <w:rsid w:val="004356DA"/>
    <w:rsid w:val="0043664E"/>
    <w:rsid w:val="00436C27"/>
    <w:rsid w:val="00436CBA"/>
    <w:rsid w:val="00437299"/>
    <w:rsid w:val="004376AE"/>
    <w:rsid w:val="004379A9"/>
    <w:rsid w:val="00437E14"/>
    <w:rsid w:val="00440BE8"/>
    <w:rsid w:val="0044127D"/>
    <w:rsid w:val="0044158F"/>
    <w:rsid w:val="00441EB1"/>
    <w:rsid w:val="00441FA4"/>
    <w:rsid w:val="0044249E"/>
    <w:rsid w:val="0044282B"/>
    <w:rsid w:val="00442BD1"/>
    <w:rsid w:val="00442F39"/>
    <w:rsid w:val="00443647"/>
    <w:rsid w:val="004436D3"/>
    <w:rsid w:val="00443B64"/>
    <w:rsid w:val="00443CE4"/>
    <w:rsid w:val="004440BD"/>
    <w:rsid w:val="0044464C"/>
    <w:rsid w:val="00445155"/>
    <w:rsid w:val="00445A02"/>
    <w:rsid w:val="00445DC8"/>
    <w:rsid w:val="004461AF"/>
    <w:rsid w:val="004463BA"/>
    <w:rsid w:val="00446720"/>
    <w:rsid w:val="00446950"/>
    <w:rsid w:val="0044794E"/>
    <w:rsid w:val="00450B6D"/>
    <w:rsid w:val="0045101A"/>
    <w:rsid w:val="00451026"/>
    <w:rsid w:val="004532E0"/>
    <w:rsid w:val="00453671"/>
    <w:rsid w:val="00453922"/>
    <w:rsid w:val="004539EB"/>
    <w:rsid w:val="004541F0"/>
    <w:rsid w:val="004554F1"/>
    <w:rsid w:val="00455EC8"/>
    <w:rsid w:val="00456387"/>
    <w:rsid w:val="00460B21"/>
    <w:rsid w:val="00460BA1"/>
    <w:rsid w:val="00460C34"/>
    <w:rsid w:val="0046141D"/>
    <w:rsid w:val="0046163F"/>
    <w:rsid w:val="004616F3"/>
    <w:rsid w:val="00461ABE"/>
    <w:rsid w:val="00461B4E"/>
    <w:rsid w:val="00461EDE"/>
    <w:rsid w:val="00461FB8"/>
    <w:rsid w:val="00462AFF"/>
    <w:rsid w:val="00462CD0"/>
    <w:rsid w:val="00462E9D"/>
    <w:rsid w:val="00463425"/>
    <w:rsid w:val="0046520A"/>
    <w:rsid w:val="004663B0"/>
    <w:rsid w:val="00466417"/>
    <w:rsid w:val="00466A16"/>
    <w:rsid w:val="00466CA3"/>
    <w:rsid w:val="0046710B"/>
    <w:rsid w:val="004676B8"/>
    <w:rsid w:val="0046773C"/>
    <w:rsid w:val="00467A7D"/>
    <w:rsid w:val="00470095"/>
    <w:rsid w:val="004703A0"/>
    <w:rsid w:val="004709CE"/>
    <w:rsid w:val="00471B1B"/>
    <w:rsid w:val="00472051"/>
    <w:rsid w:val="00472383"/>
    <w:rsid w:val="0047257D"/>
    <w:rsid w:val="00472891"/>
    <w:rsid w:val="004728F2"/>
    <w:rsid w:val="00473870"/>
    <w:rsid w:val="00473C26"/>
    <w:rsid w:val="004743A0"/>
    <w:rsid w:val="004744AE"/>
    <w:rsid w:val="004745FD"/>
    <w:rsid w:val="004754CD"/>
    <w:rsid w:val="00475CD7"/>
    <w:rsid w:val="00476246"/>
    <w:rsid w:val="004768C4"/>
    <w:rsid w:val="00476D7E"/>
    <w:rsid w:val="00477006"/>
    <w:rsid w:val="0047773A"/>
    <w:rsid w:val="00477C00"/>
    <w:rsid w:val="00480327"/>
    <w:rsid w:val="00480A4B"/>
    <w:rsid w:val="00480EE5"/>
    <w:rsid w:val="00481558"/>
    <w:rsid w:val="0048157B"/>
    <w:rsid w:val="00481C4C"/>
    <w:rsid w:val="00481F52"/>
    <w:rsid w:val="004820A9"/>
    <w:rsid w:val="00482F36"/>
    <w:rsid w:val="0048347A"/>
    <w:rsid w:val="00483873"/>
    <w:rsid w:val="00483B58"/>
    <w:rsid w:val="00484087"/>
    <w:rsid w:val="0048433B"/>
    <w:rsid w:val="00484695"/>
    <w:rsid w:val="004849AC"/>
    <w:rsid w:val="00484FDB"/>
    <w:rsid w:val="004853E5"/>
    <w:rsid w:val="00486C61"/>
    <w:rsid w:val="00487A02"/>
    <w:rsid w:val="00487FB9"/>
    <w:rsid w:val="00490731"/>
    <w:rsid w:val="00490C13"/>
    <w:rsid w:val="00490D50"/>
    <w:rsid w:val="0049113A"/>
    <w:rsid w:val="004912C0"/>
    <w:rsid w:val="004913B9"/>
    <w:rsid w:val="004918B1"/>
    <w:rsid w:val="00491D52"/>
    <w:rsid w:val="00491E2E"/>
    <w:rsid w:val="00492337"/>
    <w:rsid w:val="00492B55"/>
    <w:rsid w:val="00493DA2"/>
    <w:rsid w:val="004947D3"/>
    <w:rsid w:val="00494C13"/>
    <w:rsid w:val="004950CA"/>
    <w:rsid w:val="004951A3"/>
    <w:rsid w:val="004957D4"/>
    <w:rsid w:val="00495CA3"/>
    <w:rsid w:val="00495F15"/>
    <w:rsid w:val="00496EBF"/>
    <w:rsid w:val="004977BA"/>
    <w:rsid w:val="00497E2D"/>
    <w:rsid w:val="00497E40"/>
    <w:rsid w:val="00497F07"/>
    <w:rsid w:val="00497FB9"/>
    <w:rsid w:val="004A0108"/>
    <w:rsid w:val="004A08D5"/>
    <w:rsid w:val="004A0979"/>
    <w:rsid w:val="004A1774"/>
    <w:rsid w:val="004A1941"/>
    <w:rsid w:val="004A1AAB"/>
    <w:rsid w:val="004A2310"/>
    <w:rsid w:val="004A236E"/>
    <w:rsid w:val="004A2591"/>
    <w:rsid w:val="004A289A"/>
    <w:rsid w:val="004A2BA6"/>
    <w:rsid w:val="004A37BB"/>
    <w:rsid w:val="004A3C2C"/>
    <w:rsid w:val="004A3E23"/>
    <w:rsid w:val="004A483D"/>
    <w:rsid w:val="004A49C2"/>
    <w:rsid w:val="004A4D15"/>
    <w:rsid w:val="004A5081"/>
    <w:rsid w:val="004A531A"/>
    <w:rsid w:val="004A5A1E"/>
    <w:rsid w:val="004A6395"/>
    <w:rsid w:val="004A69A0"/>
    <w:rsid w:val="004A6CEE"/>
    <w:rsid w:val="004A752B"/>
    <w:rsid w:val="004A76EB"/>
    <w:rsid w:val="004A7854"/>
    <w:rsid w:val="004A788B"/>
    <w:rsid w:val="004A79DB"/>
    <w:rsid w:val="004A7B2C"/>
    <w:rsid w:val="004B1CD5"/>
    <w:rsid w:val="004B22F3"/>
    <w:rsid w:val="004B26FE"/>
    <w:rsid w:val="004B2FC9"/>
    <w:rsid w:val="004B31C9"/>
    <w:rsid w:val="004B3D19"/>
    <w:rsid w:val="004B3E45"/>
    <w:rsid w:val="004B4069"/>
    <w:rsid w:val="004B4355"/>
    <w:rsid w:val="004B4681"/>
    <w:rsid w:val="004B4917"/>
    <w:rsid w:val="004B556B"/>
    <w:rsid w:val="004B6201"/>
    <w:rsid w:val="004B62DF"/>
    <w:rsid w:val="004B68F1"/>
    <w:rsid w:val="004B69A6"/>
    <w:rsid w:val="004B7A33"/>
    <w:rsid w:val="004B7B11"/>
    <w:rsid w:val="004C0014"/>
    <w:rsid w:val="004C0323"/>
    <w:rsid w:val="004C0326"/>
    <w:rsid w:val="004C0B4F"/>
    <w:rsid w:val="004C1923"/>
    <w:rsid w:val="004C1CA8"/>
    <w:rsid w:val="004C1FF6"/>
    <w:rsid w:val="004C204A"/>
    <w:rsid w:val="004C3DA6"/>
    <w:rsid w:val="004C4442"/>
    <w:rsid w:val="004C44C0"/>
    <w:rsid w:val="004C50C9"/>
    <w:rsid w:val="004C5B88"/>
    <w:rsid w:val="004C62B9"/>
    <w:rsid w:val="004C7080"/>
    <w:rsid w:val="004C7435"/>
    <w:rsid w:val="004C75C3"/>
    <w:rsid w:val="004C75F6"/>
    <w:rsid w:val="004C79AB"/>
    <w:rsid w:val="004C7A13"/>
    <w:rsid w:val="004C7A35"/>
    <w:rsid w:val="004C7AA4"/>
    <w:rsid w:val="004C7D8D"/>
    <w:rsid w:val="004D01B1"/>
    <w:rsid w:val="004D02FC"/>
    <w:rsid w:val="004D048E"/>
    <w:rsid w:val="004D0589"/>
    <w:rsid w:val="004D0729"/>
    <w:rsid w:val="004D1799"/>
    <w:rsid w:val="004D1E92"/>
    <w:rsid w:val="004D1F58"/>
    <w:rsid w:val="004D2A03"/>
    <w:rsid w:val="004D2DA3"/>
    <w:rsid w:val="004D3798"/>
    <w:rsid w:val="004D3839"/>
    <w:rsid w:val="004D390D"/>
    <w:rsid w:val="004D39E7"/>
    <w:rsid w:val="004D424D"/>
    <w:rsid w:val="004D44F6"/>
    <w:rsid w:val="004D514C"/>
    <w:rsid w:val="004D5725"/>
    <w:rsid w:val="004D6385"/>
    <w:rsid w:val="004D67C3"/>
    <w:rsid w:val="004D6C9B"/>
    <w:rsid w:val="004D74C9"/>
    <w:rsid w:val="004D7A05"/>
    <w:rsid w:val="004D7EFC"/>
    <w:rsid w:val="004E05C6"/>
    <w:rsid w:val="004E09DF"/>
    <w:rsid w:val="004E2C79"/>
    <w:rsid w:val="004E2EC7"/>
    <w:rsid w:val="004E39C0"/>
    <w:rsid w:val="004E55D4"/>
    <w:rsid w:val="004E5CF6"/>
    <w:rsid w:val="004E6453"/>
    <w:rsid w:val="004E6557"/>
    <w:rsid w:val="004E65F2"/>
    <w:rsid w:val="004E6867"/>
    <w:rsid w:val="004E68F0"/>
    <w:rsid w:val="004E727D"/>
    <w:rsid w:val="004E7675"/>
    <w:rsid w:val="004F1633"/>
    <w:rsid w:val="004F17D6"/>
    <w:rsid w:val="004F1CE1"/>
    <w:rsid w:val="004F2290"/>
    <w:rsid w:val="004F22C2"/>
    <w:rsid w:val="004F2C40"/>
    <w:rsid w:val="004F2DD9"/>
    <w:rsid w:val="004F2E83"/>
    <w:rsid w:val="004F3A8F"/>
    <w:rsid w:val="004F3F94"/>
    <w:rsid w:val="004F449E"/>
    <w:rsid w:val="004F4525"/>
    <w:rsid w:val="004F4D17"/>
    <w:rsid w:val="004F4DBF"/>
    <w:rsid w:val="004F50A0"/>
    <w:rsid w:val="004F56B9"/>
    <w:rsid w:val="004F5A17"/>
    <w:rsid w:val="004F5D07"/>
    <w:rsid w:val="004F6434"/>
    <w:rsid w:val="005007CB"/>
    <w:rsid w:val="005007E0"/>
    <w:rsid w:val="00500814"/>
    <w:rsid w:val="0050098E"/>
    <w:rsid w:val="00500B25"/>
    <w:rsid w:val="00501435"/>
    <w:rsid w:val="00501512"/>
    <w:rsid w:val="005023AA"/>
    <w:rsid w:val="005029E2"/>
    <w:rsid w:val="00502B66"/>
    <w:rsid w:val="00503397"/>
    <w:rsid w:val="0050396E"/>
    <w:rsid w:val="00503CB7"/>
    <w:rsid w:val="00503D9E"/>
    <w:rsid w:val="0050471E"/>
    <w:rsid w:val="005049DA"/>
    <w:rsid w:val="00505963"/>
    <w:rsid w:val="00505B2F"/>
    <w:rsid w:val="00505CAC"/>
    <w:rsid w:val="0050604C"/>
    <w:rsid w:val="00506D33"/>
    <w:rsid w:val="00506F17"/>
    <w:rsid w:val="0050710C"/>
    <w:rsid w:val="00507DEF"/>
    <w:rsid w:val="005108A6"/>
    <w:rsid w:val="00510A5F"/>
    <w:rsid w:val="00510E66"/>
    <w:rsid w:val="00511180"/>
    <w:rsid w:val="0051120D"/>
    <w:rsid w:val="00511661"/>
    <w:rsid w:val="0051194E"/>
    <w:rsid w:val="00511F18"/>
    <w:rsid w:val="00511F9A"/>
    <w:rsid w:val="00512121"/>
    <w:rsid w:val="0051218A"/>
    <w:rsid w:val="00512AFF"/>
    <w:rsid w:val="00513D47"/>
    <w:rsid w:val="00514655"/>
    <w:rsid w:val="00515A7F"/>
    <w:rsid w:val="0051624C"/>
    <w:rsid w:val="00516A85"/>
    <w:rsid w:val="0051791B"/>
    <w:rsid w:val="005205DA"/>
    <w:rsid w:val="00520684"/>
    <w:rsid w:val="00520AC1"/>
    <w:rsid w:val="00521735"/>
    <w:rsid w:val="00521B25"/>
    <w:rsid w:val="005220C1"/>
    <w:rsid w:val="0052248C"/>
    <w:rsid w:val="00522BE9"/>
    <w:rsid w:val="00522C87"/>
    <w:rsid w:val="005231A0"/>
    <w:rsid w:val="0052360B"/>
    <w:rsid w:val="00523A24"/>
    <w:rsid w:val="00526889"/>
    <w:rsid w:val="005268ED"/>
    <w:rsid w:val="005275FB"/>
    <w:rsid w:val="00527D68"/>
    <w:rsid w:val="00527F04"/>
    <w:rsid w:val="00530A9E"/>
    <w:rsid w:val="00530AF1"/>
    <w:rsid w:val="00530ED0"/>
    <w:rsid w:val="00531897"/>
    <w:rsid w:val="00531ABE"/>
    <w:rsid w:val="00531BF4"/>
    <w:rsid w:val="00531F3A"/>
    <w:rsid w:val="0053206B"/>
    <w:rsid w:val="005327F9"/>
    <w:rsid w:val="005328EC"/>
    <w:rsid w:val="00532F6B"/>
    <w:rsid w:val="00533465"/>
    <w:rsid w:val="00534C86"/>
    <w:rsid w:val="005352E5"/>
    <w:rsid w:val="0053632D"/>
    <w:rsid w:val="00536441"/>
    <w:rsid w:val="00536D60"/>
    <w:rsid w:val="00536EB0"/>
    <w:rsid w:val="00537D54"/>
    <w:rsid w:val="00537FC3"/>
    <w:rsid w:val="00540014"/>
    <w:rsid w:val="00540122"/>
    <w:rsid w:val="00540149"/>
    <w:rsid w:val="00540803"/>
    <w:rsid w:val="00540C30"/>
    <w:rsid w:val="005410F4"/>
    <w:rsid w:val="00541387"/>
    <w:rsid w:val="005436A5"/>
    <w:rsid w:val="00544320"/>
    <w:rsid w:val="00544582"/>
    <w:rsid w:val="005447BA"/>
    <w:rsid w:val="00544857"/>
    <w:rsid w:val="00545D44"/>
    <w:rsid w:val="00546C8B"/>
    <w:rsid w:val="00546CF3"/>
    <w:rsid w:val="00547D24"/>
    <w:rsid w:val="0055086A"/>
    <w:rsid w:val="00550EC6"/>
    <w:rsid w:val="005517ED"/>
    <w:rsid w:val="00551BA3"/>
    <w:rsid w:val="00551BF1"/>
    <w:rsid w:val="00551E4C"/>
    <w:rsid w:val="00551EAB"/>
    <w:rsid w:val="00551EF5"/>
    <w:rsid w:val="005537E1"/>
    <w:rsid w:val="005562E9"/>
    <w:rsid w:val="00556B17"/>
    <w:rsid w:val="0055713B"/>
    <w:rsid w:val="005575E8"/>
    <w:rsid w:val="00557811"/>
    <w:rsid w:val="00557947"/>
    <w:rsid w:val="00557E05"/>
    <w:rsid w:val="00557FC0"/>
    <w:rsid w:val="00560E8B"/>
    <w:rsid w:val="00561E73"/>
    <w:rsid w:val="0056299A"/>
    <w:rsid w:val="00562B3A"/>
    <w:rsid w:val="00562EDC"/>
    <w:rsid w:val="00563137"/>
    <w:rsid w:val="00563BFF"/>
    <w:rsid w:val="00564186"/>
    <w:rsid w:val="00564923"/>
    <w:rsid w:val="00565459"/>
    <w:rsid w:val="00565555"/>
    <w:rsid w:val="005655CA"/>
    <w:rsid w:val="00565643"/>
    <w:rsid w:val="005659B8"/>
    <w:rsid w:val="00565BA3"/>
    <w:rsid w:val="00566457"/>
    <w:rsid w:val="00567FD0"/>
    <w:rsid w:val="00570025"/>
    <w:rsid w:val="00570A38"/>
    <w:rsid w:val="00570B36"/>
    <w:rsid w:val="00570F56"/>
    <w:rsid w:val="0057152F"/>
    <w:rsid w:val="005717C5"/>
    <w:rsid w:val="00571C79"/>
    <w:rsid w:val="00571CDE"/>
    <w:rsid w:val="00571D3A"/>
    <w:rsid w:val="00571F48"/>
    <w:rsid w:val="005720CC"/>
    <w:rsid w:val="00572510"/>
    <w:rsid w:val="00574073"/>
    <w:rsid w:val="00574785"/>
    <w:rsid w:val="00574807"/>
    <w:rsid w:val="00574B9C"/>
    <w:rsid w:val="005753B7"/>
    <w:rsid w:val="0057557A"/>
    <w:rsid w:val="00577063"/>
    <w:rsid w:val="00577387"/>
    <w:rsid w:val="005779CF"/>
    <w:rsid w:val="00577BB9"/>
    <w:rsid w:val="00580618"/>
    <w:rsid w:val="005808ED"/>
    <w:rsid w:val="00580DB4"/>
    <w:rsid w:val="005810BA"/>
    <w:rsid w:val="005811F7"/>
    <w:rsid w:val="0058155E"/>
    <w:rsid w:val="005819E8"/>
    <w:rsid w:val="00581B23"/>
    <w:rsid w:val="005820CB"/>
    <w:rsid w:val="00583A00"/>
    <w:rsid w:val="005847CD"/>
    <w:rsid w:val="00584A3C"/>
    <w:rsid w:val="00584A5A"/>
    <w:rsid w:val="0058519A"/>
    <w:rsid w:val="005853F5"/>
    <w:rsid w:val="00585772"/>
    <w:rsid w:val="00585FA9"/>
    <w:rsid w:val="00587285"/>
    <w:rsid w:val="00590A19"/>
    <w:rsid w:val="00590BFA"/>
    <w:rsid w:val="005910F3"/>
    <w:rsid w:val="005911D5"/>
    <w:rsid w:val="0059134F"/>
    <w:rsid w:val="00591517"/>
    <w:rsid w:val="005916E1"/>
    <w:rsid w:val="00591803"/>
    <w:rsid w:val="00591936"/>
    <w:rsid w:val="00592438"/>
    <w:rsid w:val="005925DC"/>
    <w:rsid w:val="0059278E"/>
    <w:rsid w:val="00592982"/>
    <w:rsid w:val="00592DEC"/>
    <w:rsid w:val="00594B97"/>
    <w:rsid w:val="00595373"/>
    <w:rsid w:val="00595676"/>
    <w:rsid w:val="00596C47"/>
    <w:rsid w:val="00597BA6"/>
    <w:rsid w:val="00597C58"/>
    <w:rsid w:val="00597CC7"/>
    <w:rsid w:val="00597E88"/>
    <w:rsid w:val="005A012F"/>
    <w:rsid w:val="005A0791"/>
    <w:rsid w:val="005A098F"/>
    <w:rsid w:val="005A1C00"/>
    <w:rsid w:val="005A22BA"/>
    <w:rsid w:val="005A3827"/>
    <w:rsid w:val="005A3BC6"/>
    <w:rsid w:val="005A4413"/>
    <w:rsid w:val="005A4567"/>
    <w:rsid w:val="005A4861"/>
    <w:rsid w:val="005A4A54"/>
    <w:rsid w:val="005A4B3E"/>
    <w:rsid w:val="005A6892"/>
    <w:rsid w:val="005A6E43"/>
    <w:rsid w:val="005B03C5"/>
    <w:rsid w:val="005B05BB"/>
    <w:rsid w:val="005B07D9"/>
    <w:rsid w:val="005B11AF"/>
    <w:rsid w:val="005B12AA"/>
    <w:rsid w:val="005B135A"/>
    <w:rsid w:val="005B1904"/>
    <w:rsid w:val="005B1A07"/>
    <w:rsid w:val="005B2069"/>
    <w:rsid w:val="005B26B4"/>
    <w:rsid w:val="005B2B00"/>
    <w:rsid w:val="005B2D9A"/>
    <w:rsid w:val="005B3CD4"/>
    <w:rsid w:val="005B3F12"/>
    <w:rsid w:val="005B45D4"/>
    <w:rsid w:val="005B47E4"/>
    <w:rsid w:val="005B52A1"/>
    <w:rsid w:val="005B542C"/>
    <w:rsid w:val="005B55D5"/>
    <w:rsid w:val="005B5EC5"/>
    <w:rsid w:val="005B6416"/>
    <w:rsid w:val="005B645E"/>
    <w:rsid w:val="005B7914"/>
    <w:rsid w:val="005B797B"/>
    <w:rsid w:val="005B7FEF"/>
    <w:rsid w:val="005C101A"/>
    <w:rsid w:val="005C23E7"/>
    <w:rsid w:val="005C342E"/>
    <w:rsid w:val="005C3C65"/>
    <w:rsid w:val="005C3F05"/>
    <w:rsid w:val="005C3FAB"/>
    <w:rsid w:val="005C4574"/>
    <w:rsid w:val="005C49B3"/>
    <w:rsid w:val="005C53ED"/>
    <w:rsid w:val="005C5C61"/>
    <w:rsid w:val="005C5E5D"/>
    <w:rsid w:val="005C62B0"/>
    <w:rsid w:val="005C682B"/>
    <w:rsid w:val="005C70F2"/>
    <w:rsid w:val="005C7738"/>
    <w:rsid w:val="005D00F6"/>
    <w:rsid w:val="005D1CC5"/>
    <w:rsid w:val="005D2850"/>
    <w:rsid w:val="005D313F"/>
    <w:rsid w:val="005D317C"/>
    <w:rsid w:val="005D364E"/>
    <w:rsid w:val="005D3D0E"/>
    <w:rsid w:val="005D3F5C"/>
    <w:rsid w:val="005D5C8E"/>
    <w:rsid w:val="005D616E"/>
    <w:rsid w:val="005D67BE"/>
    <w:rsid w:val="005D7518"/>
    <w:rsid w:val="005E0CF6"/>
    <w:rsid w:val="005E0EAA"/>
    <w:rsid w:val="005E1A8B"/>
    <w:rsid w:val="005E1ED6"/>
    <w:rsid w:val="005E2694"/>
    <w:rsid w:val="005E29E4"/>
    <w:rsid w:val="005E2B9C"/>
    <w:rsid w:val="005E35BC"/>
    <w:rsid w:val="005E37D9"/>
    <w:rsid w:val="005E4728"/>
    <w:rsid w:val="005E4DB1"/>
    <w:rsid w:val="005E54BF"/>
    <w:rsid w:val="005E5857"/>
    <w:rsid w:val="005E69BE"/>
    <w:rsid w:val="005E76D6"/>
    <w:rsid w:val="005E78ED"/>
    <w:rsid w:val="005E7EF2"/>
    <w:rsid w:val="005F0AAC"/>
    <w:rsid w:val="005F175A"/>
    <w:rsid w:val="005F17B6"/>
    <w:rsid w:val="005F1A94"/>
    <w:rsid w:val="005F3097"/>
    <w:rsid w:val="005F3B8F"/>
    <w:rsid w:val="005F4497"/>
    <w:rsid w:val="005F4BD6"/>
    <w:rsid w:val="005F54F7"/>
    <w:rsid w:val="005F5914"/>
    <w:rsid w:val="005F6817"/>
    <w:rsid w:val="005F6B2A"/>
    <w:rsid w:val="005F6B4C"/>
    <w:rsid w:val="00600F33"/>
    <w:rsid w:val="006027E7"/>
    <w:rsid w:val="006028E8"/>
    <w:rsid w:val="00602A92"/>
    <w:rsid w:val="00603614"/>
    <w:rsid w:val="00603CA3"/>
    <w:rsid w:val="00604065"/>
    <w:rsid w:val="006046E9"/>
    <w:rsid w:val="00604841"/>
    <w:rsid w:val="00604C2C"/>
    <w:rsid w:val="00605DFF"/>
    <w:rsid w:val="0060664E"/>
    <w:rsid w:val="006069D8"/>
    <w:rsid w:val="00606E42"/>
    <w:rsid w:val="00607004"/>
    <w:rsid w:val="00607F68"/>
    <w:rsid w:val="006101FB"/>
    <w:rsid w:val="006105BB"/>
    <w:rsid w:val="00610A6C"/>
    <w:rsid w:val="00610BE2"/>
    <w:rsid w:val="00610DBA"/>
    <w:rsid w:val="006117AB"/>
    <w:rsid w:val="00611DC1"/>
    <w:rsid w:val="006122A4"/>
    <w:rsid w:val="0061233B"/>
    <w:rsid w:val="00614908"/>
    <w:rsid w:val="00614C8C"/>
    <w:rsid w:val="00614CD0"/>
    <w:rsid w:val="00615119"/>
    <w:rsid w:val="006151C3"/>
    <w:rsid w:val="006152EB"/>
    <w:rsid w:val="0061563E"/>
    <w:rsid w:val="006156B1"/>
    <w:rsid w:val="00615B39"/>
    <w:rsid w:val="006169C4"/>
    <w:rsid w:val="00617466"/>
    <w:rsid w:val="00617686"/>
    <w:rsid w:val="00617AEE"/>
    <w:rsid w:val="00617CB4"/>
    <w:rsid w:val="0062019A"/>
    <w:rsid w:val="006201D2"/>
    <w:rsid w:val="00620CE3"/>
    <w:rsid w:val="00621902"/>
    <w:rsid w:val="006220B6"/>
    <w:rsid w:val="00622963"/>
    <w:rsid w:val="00622BC9"/>
    <w:rsid w:val="00622F74"/>
    <w:rsid w:val="006230FE"/>
    <w:rsid w:val="00623252"/>
    <w:rsid w:val="006233C2"/>
    <w:rsid w:val="0062373C"/>
    <w:rsid w:val="00623AFB"/>
    <w:rsid w:val="006243F8"/>
    <w:rsid w:val="006247D3"/>
    <w:rsid w:val="00624CB9"/>
    <w:rsid w:val="00624CE5"/>
    <w:rsid w:val="006256E5"/>
    <w:rsid w:val="00625BA8"/>
    <w:rsid w:val="00626048"/>
    <w:rsid w:val="00626703"/>
    <w:rsid w:val="00626780"/>
    <w:rsid w:val="006267F2"/>
    <w:rsid w:val="0062683A"/>
    <w:rsid w:val="006271DB"/>
    <w:rsid w:val="006272B3"/>
    <w:rsid w:val="00627E81"/>
    <w:rsid w:val="00627F62"/>
    <w:rsid w:val="006304CC"/>
    <w:rsid w:val="00630C78"/>
    <w:rsid w:val="00630CA3"/>
    <w:rsid w:val="00630CC0"/>
    <w:rsid w:val="006321DE"/>
    <w:rsid w:val="00632E49"/>
    <w:rsid w:val="006330CC"/>
    <w:rsid w:val="00633D16"/>
    <w:rsid w:val="00633EF2"/>
    <w:rsid w:val="00634A18"/>
    <w:rsid w:val="00634BA1"/>
    <w:rsid w:val="0063558E"/>
    <w:rsid w:val="006360EB"/>
    <w:rsid w:val="006363F5"/>
    <w:rsid w:val="006372BF"/>
    <w:rsid w:val="00637827"/>
    <w:rsid w:val="0064007D"/>
    <w:rsid w:val="00640750"/>
    <w:rsid w:val="00640982"/>
    <w:rsid w:val="006415AD"/>
    <w:rsid w:val="006425BB"/>
    <w:rsid w:val="00642A4D"/>
    <w:rsid w:val="00642BEF"/>
    <w:rsid w:val="006449A3"/>
    <w:rsid w:val="00645112"/>
    <w:rsid w:val="0064518F"/>
    <w:rsid w:val="0064569F"/>
    <w:rsid w:val="006462EA"/>
    <w:rsid w:val="00646827"/>
    <w:rsid w:val="00646BEC"/>
    <w:rsid w:val="006474A7"/>
    <w:rsid w:val="00647F25"/>
    <w:rsid w:val="006504D9"/>
    <w:rsid w:val="00650B96"/>
    <w:rsid w:val="00650E36"/>
    <w:rsid w:val="00651760"/>
    <w:rsid w:val="00652572"/>
    <w:rsid w:val="006526B2"/>
    <w:rsid w:val="006528A2"/>
    <w:rsid w:val="006528C0"/>
    <w:rsid w:val="006539F8"/>
    <w:rsid w:val="0065456C"/>
    <w:rsid w:val="00654B0E"/>
    <w:rsid w:val="00655068"/>
    <w:rsid w:val="006550A0"/>
    <w:rsid w:val="006551B4"/>
    <w:rsid w:val="00655F02"/>
    <w:rsid w:val="00656A24"/>
    <w:rsid w:val="00656B11"/>
    <w:rsid w:val="0065704A"/>
    <w:rsid w:val="0065760E"/>
    <w:rsid w:val="00660BA5"/>
    <w:rsid w:val="00661FB2"/>
    <w:rsid w:val="006637B3"/>
    <w:rsid w:val="00663A4E"/>
    <w:rsid w:val="00663C99"/>
    <w:rsid w:val="0066409D"/>
    <w:rsid w:val="006640A5"/>
    <w:rsid w:val="0066421F"/>
    <w:rsid w:val="0066426D"/>
    <w:rsid w:val="00664954"/>
    <w:rsid w:val="00664AEB"/>
    <w:rsid w:val="0066681B"/>
    <w:rsid w:val="00667B64"/>
    <w:rsid w:val="0067036F"/>
    <w:rsid w:val="006705C3"/>
    <w:rsid w:val="00670B37"/>
    <w:rsid w:val="00670D42"/>
    <w:rsid w:val="00671CBE"/>
    <w:rsid w:val="00671F85"/>
    <w:rsid w:val="0067230C"/>
    <w:rsid w:val="00672A3E"/>
    <w:rsid w:val="00673590"/>
    <w:rsid w:val="00674182"/>
    <w:rsid w:val="006742ED"/>
    <w:rsid w:val="00674469"/>
    <w:rsid w:val="00674F3F"/>
    <w:rsid w:val="0067509B"/>
    <w:rsid w:val="006769AE"/>
    <w:rsid w:val="00677716"/>
    <w:rsid w:val="0067774C"/>
    <w:rsid w:val="006779DF"/>
    <w:rsid w:val="00677E2E"/>
    <w:rsid w:val="00677EC8"/>
    <w:rsid w:val="00680848"/>
    <w:rsid w:val="006813BA"/>
    <w:rsid w:val="006823DD"/>
    <w:rsid w:val="006823F6"/>
    <w:rsid w:val="00682C40"/>
    <w:rsid w:val="00683B46"/>
    <w:rsid w:val="00683FEC"/>
    <w:rsid w:val="00685430"/>
    <w:rsid w:val="006858D4"/>
    <w:rsid w:val="0068594E"/>
    <w:rsid w:val="006863EC"/>
    <w:rsid w:val="00686420"/>
    <w:rsid w:val="0068713A"/>
    <w:rsid w:val="0068733F"/>
    <w:rsid w:val="00687572"/>
    <w:rsid w:val="00687AC4"/>
    <w:rsid w:val="00690322"/>
    <w:rsid w:val="00690B6F"/>
    <w:rsid w:val="006917A4"/>
    <w:rsid w:val="00691E8A"/>
    <w:rsid w:val="00692118"/>
    <w:rsid w:val="00692FE7"/>
    <w:rsid w:val="00693A08"/>
    <w:rsid w:val="00693D31"/>
    <w:rsid w:val="00693D85"/>
    <w:rsid w:val="00693F06"/>
    <w:rsid w:val="00693F8A"/>
    <w:rsid w:val="00694703"/>
    <w:rsid w:val="00695859"/>
    <w:rsid w:val="006958BF"/>
    <w:rsid w:val="00695BDB"/>
    <w:rsid w:val="00695D94"/>
    <w:rsid w:val="00695F3D"/>
    <w:rsid w:val="00696158"/>
    <w:rsid w:val="0069646C"/>
    <w:rsid w:val="00696511"/>
    <w:rsid w:val="006966AF"/>
    <w:rsid w:val="00696792"/>
    <w:rsid w:val="00697285"/>
    <w:rsid w:val="006972C8"/>
    <w:rsid w:val="006977C0"/>
    <w:rsid w:val="00697A6E"/>
    <w:rsid w:val="006A041E"/>
    <w:rsid w:val="006A07C2"/>
    <w:rsid w:val="006A0970"/>
    <w:rsid w:val="006A09F6"/>
    <w:rsid w:val="006A0B26"/>
    <w:rsid w:val="006A112D"/>
    <w:rsid w:val="006A16C9"/>
    <w:rsid w:val="006A1A10"/>
    <w:rsid w:val="006A2497"/>
    <w:rsid w:val="006A29B1"/>
    <w:rsid w:val="006A2CF0"/>
    <w:rsid w:val="006A3146"/>
    <w:rsid w:val="006A3945"/>
    <w:rsid w:val="006A4376"/>
    <w:rsid w:val="006A443F"/>
    <w:rsid w:val="006A47F9"/>
    <w:rsid w:val="006A4832"/>
    <w:rsid w:val="006A4CDF"/>
    <w:rsid w:val="006A56FE"/>
    <w:rsid w:val="006A584D"/>
    <w:rsid w:val="006A5C28"/>
    <w:rsid w:val="006A60AE"/>
    <w:rsid w:val="006A623A"/>
    <w:rsid w:val="006A6913"/>
    <w:rsid w:val="006A774E"/>
    <w:rsid w:val="006A7C46"/>
    <w:rsid w:val="006B0C9B"/>
    <w:rsid w:val="006B18F3"/>
    <w:rsid w:val="006B1B8B"/>
    <w:rsid w:val="006B2262"/>
    <w:rsid w:val="006B2697"/>
    <w:rsid w:val="006B3971"/>
    <w:rsid w:val="006B3BC2"/>
    <w:rsid w:val="006B4292"/>
    <w:rsid w:val="006B42C7"/>
    <w:rsid w:val="006B48AD"/>
    <w:rsid w:val="006B4943"/>
    <w:rsid w:val="006B625C"/>
    <w:rsid w:val="006B6F62"/>
    <w:rsid w:val="006B6F85"/>
    <w:rsid w:val="006B711E"/>
    <w:rsid w:val="006B75D2"/>
    <w:rsid w:val="006B76F6"/>
    <w:rsid w:val="006B780C"/>
    <w:rsid w:val="006B7860"/>
    <w:rsid w:val="006C0533"/>
    <w:rsid w:val="006C146F"/>
    <w:rsid w:val="006C1E01"/>
    <w:rsid w:val="006C21FE"/>
    <w:rsid w:val="006C27EF"/>
    <w:rsid w:val="006C283E"/>
    <w:rsid w:val="006C310D"/>
    <w:rsid w:val="006C35B3"/>
    <w:rsid w:val="006C38B3"/>
    <w:rsid w:val="006C3E3B"/>
    <w:rsid w:val="006C4171"/>
    <w:rsid w:val="006C43B7"/>
    <w:rsid w:val="006C47B0"/>
    <w:rsid w:val="006C5982"/>
    <w:rsid w:val="006C6490"/>
    <w:rsid w:val="006C65D7"/>
    <w:rsid w:val="006C6B1C"/>
    <w:rsid w:val="006C7105"/>
    <w:rsid w:val="006C762A"/>
    <w:rsid w:val="006C7B8F"/>
    <w:rsid w:val="006C7C28"/>
    <w:rsid w:val="006D00F0"/>
    <w:rsid w:val="006D023A"/>
    <w:rsid w:val="006D0716"/>
    <w:rsid w:val="006D0F5F"/>
    <w:rsid w:val="006D11C0"/>
    <w:rsid w:val="006D16FA"/>
    <w:rsid w:val="006D183C"/>
    <w:rsid w:val="006D1A47"/>
    <w:rsid w:val="006D1E18"/>
    <w:rsid w:val="006D1FA3"/>
    <w:rsid w:val="006D202C"/>
    <w:rsid w:val="006D2514"/>
    <w:rsid w:val="006D2AE3"/>
    <w:rsid w:val="006D2BE1"/>
    <w:rsid w:val="006D2D88"/>
    <w:rsid w:val="006D3B76"/>
    <w:rsid w:val="006D40AD"/>
    <w:rsid w:val="006D4588"/>
    <w:rsid w:val="006D45AD"/>
    <w:rsid w:val="006D4760"/>
    <w:rsid w:val="006D4EDE"/>
    <w:rsid w:val="006D4EEF"/>
    <w:rsid w:val="006D4F46"/>
    <w:rsid w:val="006D5734"/>
    <w:rsid w:val="006D613D"/>
    <w:rsid w:val="006D69DD"/>
    <w:rsid w:val="006D72E5"/>
    <w:rsid w:val="006E005C"/>
    <w:rsid w:val="006E0229"/>
    <w:rsid w:val="006E057F"/>
    <w:rsid w:val="006E077D"/>
    <w:rsid w:val="006E0D72"/>
    <w:rsid w:val="006E1B7C"/>
    <w:rsid w:val="006E2517"/>
    <w:rsid w:val="006E2518"/>
    <w:rsid w:val="006E2B6B"/>
    <w:rsid w:val="006E2D10"/>
    <w:rsid w:val="006E33D4"/>
    <w:rsid w:val="006E3527"/>
    <w:rsid w:val="006E3528"/>
    <w:rsid w:val="006E438C"/>
    <w:rsid w:val="006E52B9"/>
    <w:rsid w:val="006E52FA"/>
    <w:rsid w:val="006E5C70"/>
    <w:rsid w:val="006E5E44"/>
    <w:rsid w:val="006E6A39"/>
    <w:rsid w:val="006E6A47"/>
    <w:rsid w:val="006E6D66"/>
    <w:rsid w:val="006E6FE4"/>
    <w:rsid w:val="006E70AD"/>
    <w:rsid w:val="006E7C4C"/>
    <w:rsid w:val="006E7C96"/>
    <w:rsid w:val="006F0141"/>
    <w:rsid w:val="006F080C"/>
    <w:rsid w:val="006F08C6"/>
    <w:rsid w:val="006F0DF6"/>
    <w:rsid w:val="006F0ECE"/>
    <w:rsid w:val="006F1948"/>
    <w:rsid w:val="006F1B94"/>
    <w:rsid w:val="006F1CA7"/>
    <w:rsid w:val="006F2567"/>
    <w:rsid w:val="006F505A"/>
    <w:rsid w:val="006F51A1"/>
    <w:rsid w:val="006F5A26"/>
    <w:rsid w:val="006F5AED"/>
    <w:rsid w:val="006F5CEE"/>
    <w:rsid w:val="006F6FD7"/>
    <w:rsid w:val="006F77E3"/>
    <w:rsid w:val="006F7D61"/>
    <w:rsid w:val="00701589"/>
    <w:rsid w:val="007018CD"/>
    <w:rsid w:val="00701C90"/>
    <w:rsid w:val="00701CD0"/>
    <w:rsid w:val="00701E11"/>
    <w:rsid w:val="00702397"/>
    <w:rsid w:val="007024EA"/>
    <w:rsid w:val="00702706"/>
    <w:rsid w:val="0070313F"/>
    <w:rsid w:val="00703547"/>
    <w:rsid w:val="007035E3"/>
    <w:rsid w:val="007042D9"/>
    <w:rsid w:val="0070459A"/>
    <w:rsid w:val="00705190"/>
    <w:rsid w:val="00705812"/>
    <w:rsid w:val="00706313"/>
    <w:rsid w:val="00706DB3"/>
    <w:rsid w:val="00706E30"/>
    <w:rsid w:val="00707222"/>
    <w:rsid w:val="0070766A"/>
    <w:rsid w:val="00707A30"/>
    <w:rsid w:val="0071010E"/>
    <w:rsid w:val="00710385"/>
    <w:rsid w:val="007103AB"/>
    <w:rsid w:val="007107C0"/>
    <w:rsid w:val="00710BEF"/>
    <w:rsid w:val="00710F0D"/>
    <w:rsid w:val="00711619"/>
    <w:rsid w:val="00712561"/>
    <w:rsid w:val="00712772"/>
    <w:rsid w:val="00712964"/>
    <w:rsid w:val="00713095"/>
    <w:rsid w:val="00713EDC"/>
    <w:rsid w:val="00715284"/>
    <w:rsid w:val="00715A52"/>
    <w:rsid w:val="00715C41"/>
    <w:rsid w:val="00716334"/>
    <w:rsid w:val="00717363"/>
    <w:rsid w:val="0071777E"/>
    <w:rsid w:val="0072065F"/>
    <w:rsid w:val="00720978"/>
    <w:rsid w:val="00720D16"/>
    <w:rsid w:val="007218D4"/>
    <w:rsid w:val="00721F19"/>
    <w:rsid w:val="007226FB"/>
    <w:rsid w:val="00723702"/>
    <w:rsid w:val="00723A56"/>
    <w:rsid w:val="007247F9"/>
    <w:rsid w:val="00724BE8"/>
    <w:rsid w:val="007252B7"/>
    <w:rsid w:val="0072536B"/>
    <w:rsid w:val="00725428"/>
    <w:rsid w:val="00725574"/>
    <w:rsid w:val="00725E57"/>
    <w:rsid w:val="00726233"/>
    <w:rsid w:val="00726A0B"/>
    <w:rsid w:val="00726AFD"/>
    <w:rsid w:val="0073000B"/>
    <w:rsid w:val="007302ED"/>
    <w:rsid w:val="007317AC"/>
    <w:rsid w:val="00731E45"/>
    <w:rsid w:val="00733390"/>
    <w:rsid w:val="007337C3"/>
    <w:rsid w:val="00733A85"/>
    <w:rsid w:val="00733FF5"/>
    <w:rsid w:val="00734678"/>
    <w:rsid w:val="00734955"/>
    <w:rsid w:val="00734B26"/>
    <w:rsid w:val="00734B31"/>
    <w:rsid w:val="00735409"/>
    <w:rsid w:val="007355E4"/>
    <w:rsid w:val="00736564"/>
    <w:rsid w:val="0073789C"/>
    <w:rsid w:val="007378F0"/>
    <w:rsid w:val="00737948"/>
    <w:rsid w:val="007401F0"/>
    <w:rsid w:val="007403D3"/>
    <w:rsid w:val="0074096B"/>
    <w:rsid w:val="0074131C"/>
    <w:rsid w:val="00741450"/>
    <w:rsid w:val="0074188A"/>
    <w:rsid w:val="00742826"/>
    <w:rsid w:val="0074317B"/>
    <w:rsid w:val="007432DA"/>
    <w:rsid w:val="0074336C"/>
    <w:rsid w:val="007439FE"/>
    <w:rsid w:val="0074438B"/>
    <w:rsid w:val="0074564C"/>
    <w:rsid w:val="00745998"/>
    <w:rsid w:val="0074674A"/>
    <w:rsid w:val="0074748D"/>
    <w:rsid w:val="007506C7"/>
    <w:rsid w:val="00750AD1"/>
    <w:rsid w:val="00750EEC"/>
    <w:rsid w:val="00750FDF"/>
    <w:rsid w:val="00750FF9"/>
    <w:rsid w:val="0075158E"/>
    <w:rsid w:val="00751680"/>
    <w:rsid w:val="00751AD6"/>
    <w:rsid w:val="00751F4E"/>
    <w:rsid w:val="00752C81"/>
    <w:rsid w:val="00753273"/>
    <w:rsid w:val="007532BF"/>
    <w:rsid w:val="007534BD"/>
    <w:rsid w:val="00753A98"/>
    <w:rsid w:val="00755B4F"/>
    <w:rsid w:val="00755C74"/>
    <w:rsid w:val="00755DAA"/>
    <w:rsid w:val="00756B5F"/>
    <w:rsid w:val="007570AF"/>
    <w:rsid w:val="007572F9"/>
    <w:rsid w:val="00757491"/>
    <w:rsid w:val="007576C3"/>
    <w:rsid w:val="00757D47"/>
    <w:rsid w:val="007606C7"/>
    <w:rsid w:val="0076086E"/>
    <w:rsid w:val="00760C0A"/>
    <w:rsid w:val="007613B0"/>
    <w:rsid w:val="0076179E"/>
    <w:rsid w:val="007619EB"/>
    <w:rsid w:val="00761BB7"/>
    <w:rsid w:val="0076314B"/>
    <w:rsid w:val="00763D5A"/>
    <w:rsid w:val="00763F92"/>
    <w:rsid w:val="00764564"/>
    <w:rsid w:val="00764F02"/>
    <w:rsid w:val="00765F89"/>
    <w:rsid w:val="007673A6"/>
    <w:rsid w:val="007673D9"/>
    <w:rsid w:val="007706E8"/>
    <w:rsid w:val="00770A60"/>
    <w:rsid w:val="00770ACA"/>
    <w:rsid w:val="00770ED6"/>
    <w:rsid w:val="00771457"/>
    <w:rsid w:val="00771836"/>
    <w:rsid w:val="007724F5"/>
    <w:rsid w:val="0077383B"/>
    <w:rsid w:val="00773A75"/>
    <w:rsid w:val="0077496E"/>
    <w:rsid w:val="00775558"/>
    <w:rsid w:val="00775EF0"/>
    <w:rsid w:val="00775FDF"/>
    <w:rsid w:val="007760A9"/>
    <w:rsid w:val="0077627D"/>
    <w:rsid w:val="00776377"/>
    <w:rsid w:val="007763E8"/>
    <w:rsid w:val="0077730A"/>
    <w:rsid w:val="0078074D"/>
    <w:rsid w:val="00780F14"/>
    <w:rsid w:val="00780F90"/>
    <w:rsid w:val="00782A80"/>
    <w:rsid w:val="00782AD4"/>
    <w:rsid w:val="00782FE2"/>
    <w:rsid w:val="00783973"/>
    <w:rsid w:val="0078448B"/>
    <w:rsid w:val="00784585"/>
    <w:rsid w:val="007845EA"/>
    <w:rsid w:val="00785120"/>
    <w:rsid w:val="007853FB"/>
    <w:rsid w:val="0078549B"/>
    <w:rsid w:val="00786BC2"/>
    <w:rsid w:val="00786CEA"/>
    <w:rsid w:val="00787164"/>
    <w:rsid w:val="0078779E"/>
    <w:rsid w:val="00787C5D"/>
    <w:rsid w:val="00790020"/>
    <w:rsid w:val="007904EB"/>
    <w:rsid w:val="00790C6F"/>
    <w:rsid w:val="00791110"/>
    <w:rsid w:val="007919D4"/>
    <w:rsid w:val="00791BA0"/>
    <w:rsid w:val="00791D29"/>
    <w:rsid w:val="0079279E"/>
    <w:rsid w:val="007943B7"/>
    <w:rsid w:val="007947A6"/>
    <w:rsid w:val="00794EB9"/>
    <w:rsid w:val="00795AB3"/>
    <w:rsid w:val="00795B77"/>
    <w:rsid w:val="00796F26"/>
    <w:rsid w:val="00796FBF"/>
    <w:rsid w:val="007973E5"/>
    <w:rsid w:val="007978D5"/>
    <w:rsid w:val="007978D7"/>
    <w:rsid w:val="007A03CB"/>
    <w:rsid w:val="007A0727"/>
    <w:rsid w:val="007A1B15"/>
    <w:rsid w:val="007A1EED"/>
    <w:rsid w:val="007A227C"/>
    <w:rsid w:val="007A3088"/>
    <w:rsid w:val="007A33EE"/>
    <w:rsid w:val="007A4793"/>
    <w:rsid w:val="007A4F28"/>
    <w:rsid w:val="007A5C88"/>
    <w:rsid w:val="007A743E"/>
    <w:rsid w:val="007A7C7C"/>
    <w:rsid w:val="007B059D"/>
    <w:rsid w:val="007B0648"/>
    <w:rsid w:val="007B087B"/>
    <w:rsid w:val="007B0BBD"/>
    <w:rsid w:val="007B1282"/>
    <w:rsid w:val="007B281B"/>
    <w:rsid w:val="007B2B10"/>
    <w:rsid w:val="007B309C"/>
    <w:rsid w:val="007B3C78"/>
    <w:rsid w:val="007B4188"/>
    <w:rsid w:val="007B5428"/>
    <w:rsid w:val="007B5809"/>
    <w:rsid w:val="007B5970"/>
    <w:rsid w:val="007B62ED"/>
    <w:rsid w:val="007B63BD"/>
    <w:rsid w:val="007B646E"/>
    <w:rsid w:val="007B647E"/>
    <w:rsid w:val="007B68B2"/>
    <w:rsid w:val="007B6D59"/>
    <w:rsid w:val="007B70BE"/>
    <w:rsid w:val="007B7195"/>
    <w:rsid w:val="007B72F2"/>
    <w:rsid w:val="007B74EC"/>
    <w:rsid w:val="007C1CAF"/>
    <w:rsid w:val="007C1E57"/>
    <w:rsid w:val="007C219B"/>
    <w:rsid w:val="007C285A"/>
    <w:rsid w:val="007C286A"/>
    <w:rsid w:val="007C33F1"/>
    <w:rsid w:val="007C3528"/>
    <w:rsid w:val="007C4452"/>
    <w:rsid w:val="007C4A8B"/>
    <w:rsid w:val="007C4E88"/>
    <w:rsid w:val="007C5269"/>
    <w:rsid w:val="007C5CF2"/>
    <w:rsid w:val="007C5FB8"/>
    <w:rsid w:val="007C6163"/>
    <w:rsid w:val="007C6D4D"/>
    <w:rsid w:val="007C7AF8"/>
    <w:rsid w:val="007C7CE7"/>
    <w:rsid w:val="007D09E5"/>
    <w:rsid w:val="007D0DCE"/>
    <w:rsid w:val="007D1DF8"/>
    <w:rsid w:val="007D220C"/>
    <w:rsid w:val="007D30B8"/>
    <w:rsid w:val="007D334B"/>
    <w:rsid w:val="007D396D"/>
    <w:rsid w:val="007D3F6F"/>
    <w:rsid w:val="007D3FCC"/>
    <w:rsid w:val="007D4628"/>
    <w:rsid w:val="007D4EF6"/>
    <w:rsid w:val="007D5162"/>
    <w:rsid w:val="007D616D"/>
    <w:rsid w:val="007D62CD"/>
    <w:rsid w:val="007D6A33"/>
    <w:rsid w:val="007D6C71"/>
    <w:rsid w:val="007D6E22"/>
    <w:rsid w:val="007D7560"/>
    <w:rsid w:val="007D76CF"/>
    <w:rsid w:val="007D7875"/>
    <w:rsid w:val="007D78E5"/>
    <w:rsid w:val="007D7EE8"/>
    <w:rsid w:val="007E002F"/>
    <w:rsid w:val="007E0D36"/>
    <w:rsid w:val="007E0F1A"/>
    <w:rsid w:val="007E1323"/>
    <w:rsid w:val="007E1489"/>
    <w:rsid w:val="007E1878"/>
    <w:rsid w:val="007E294F"/>
    <w:rsid w:val="007E2DF8"/>
    <w:rsid w:val="007E3F5A"/>
    <w:rsid w:val="007E4A05"/>
    <w:rsid w:val="007E5AB6"/>
    <w:rsid w:val="007E6938"/>
    <w:rsid w:val="007E741A"/>
    <w:rsid w:val="007F092D"/>
    <w:rsid w:val="007F15D7"/>
    <w:rsid w:val="007F1C00"/>
    <w:rsid w:val="007F2BE6"/>
    <w:rsid w:val="007F2CE5"/>
    <w:rsid w:val="007F2E29"/>
    <w:rsid w:val="007F36DB"/>
    <w:rsid w:val="007F37CB"/>
    <w:rsid w:val="007F3E69"/>
    <w:rsid w:val="007F43AB"/>
    <w:rsid w:val="007F4852"/>
    <w:rsid w:val="007F5841"/>
    <w:rsid w:val="007F5844"/>
    <w:rsid w:val="007F592C"/>
    <w:rsid w:val="007F5EDF"/>
    <w:rsid w:val="007F66E3"/>
    <w:rsid w:val="007F6763"/>
    <w:rsid w:val="007F676A"/>
    <w:rsid w:val="007F6943"/>
    <w:rsid w:val="007F6A5D"/>
    <w:rsid w:val="007F6C36"/>
    <w:rsid w:val="007F72E2"/>
    <w:rsid w:val="007F7799"/>
    <w:rsid w:val="007F7AE1"/>
    <w:rsid w:val="007F7CB9"/>
    <w:rsid w:val="008005B0"/>
    <w:rsid w:val="00800A83"/>
    <w:rsid w:val="00800EF8"/>
    <w:rsid w:val="0080169C"/>
    <w:rsid w:val="008024C2"/>
    <w:rsid w:val="00802D6E"/>
    <w:rsid w:val="00803886"/>
    <w:rsid w:val="00803983"/>
    <w:rsid w:val="00803EF1"/>
    <w:rsid w:val="0080417F"/>
    <w:rsid w:val="00804658"/>
    <w:rsid w:val="00804B39"/>
    <w:rsid w:val="00804CDB"/>
    <w:rsid w:val="00804DAB"/>
    <w:rsid w:val="008061D3"/>
    <w:rsid w:val="008065FB"/>
    <w:rsid w:val="00806B23"/>
    <w:rsid w:val="00806B58"/>
    <w:rsid w:val="00807D23"/>
    <w:rsid w:val="008103E0"/>
    <w:rsid w:val="0081197A"/>
    <w:rsid w:val="008127C7"/>
    <w:rsid w:val="00812B90"/>
    <w:rsid w:val="00813182"/>
    <w:rsid w:val="008131C9"/>
    <w:rsid w:val="00813994"/>
    <w:rsid w:val="00814C97"/>
    <w:rsid w:val="00814D9A"/>
    <w:rsid w:val="00814E79"/>
    <w:rsid w:val="008156FC"/>
    <w:rsid w:val="00815B6B"/>
    <w:rsid w:val="00816A70"/>
    <w:rsid w:val="008179D6"/>
    <w:rsid w:val="00817E41"/>
    <w:rsid w:val="008208A5"/>
    <w:rsid w:val="00820F3A"/>
    <w:rsid w:val="00821366"/>
    <w:rsid w:val="008218F9"/>
    <w:rsid w:val="00821D3D"/>
    <w:rsid w:val="00822C05"/>
    <w:rsid w:val="00822EFA"/>
    <w:rsid w:val="008231F6"/>
    <w:rsid w:val="008237D8"/>
    <w:rsid w:val="00823F49"/>
    <w:rsid w:val="00824A15"/>
    <w:rsid w:val="0082504B"/>
    <w:rsid w:val="00825B6F"/>
    <w:rsid w:val="00826863"/>
    <w:rsid w:val="00826B4B"/>
    <w:rsid w:val="008273B5"/>
    <w:rsid w:val="00830920"/>
    <w:rsid w:val="00830C51"/>
    <w:rsid w:val="008313C2"/>
    <w:rsid w:val="00831AB4"/>
    <w:rsid w:val="0083240C"/>
    <w:rsid w:val="00832B1D"/>
    <w:rsid w:val="00833169"/>
    <w:rsid w:val="00833174"/>
    <w:rsid w:val="00833304"/>
    <w:rsid w:val="00833B89"/>
    <w:rsid w:val="00833D4C"/>
    <w:rsid w:val="00834161"/>
    <w:rsid w:val="0083458E"/>
    <w:rsid w:val="008346A2"/>
    <w:rsid w:val="00834D73"/>
    <w:rsid w:val="00835165"/>
    <w:rsid w:val="008351B9"/>
    <w:rsid w:val="00835419"/>
    <w:rsid w:val="0083570C"/>
    <w:rsid w:val="008358D5"/>
    <w:rsid w:val="00835961"/>
    <w:rsid w:val="00835977"/>
    <w:rsid w:val="008362FF"/>
    <w:rsid w:val="008363C1"/>
    <w:rsid w:val="008367E7"/>
    <w:rsid w:val="00837FFD"/>
    <w:rsid w:val="008401A2"/>
    <w:rsid w:val="00840300"/>
    <w:rsid w:val="008403C7"/>
    <w:rsid w:val="00840FE1"/>
    <w:rsid w:val="0084115C"/>
    <w:rsid w:val="008418D4"/>
    <w:rsid w:val="008425D9"/>
    <w:rsid w:val="0084261B"/>
    <w:rsid w:val="0084287A"/>
    <w:rsid w:val="00842DEF"/>
    <w:rsid w:val="0084335A"/>
    <w:rsid w:val="0084484A"/>
    <w:rsid w:val="0084503B"/>
    <w:rsid w:val="0084668A"/>
    <w:rsid w:val="00847625"/>
    <w:rsid w:val="008506BC"/>
    <w:rsid w:val="00850D8F"/>
    <w:rsid w:val="008510DE"/>
    <w:rsid w:val="008513F9"/>
    <w:rsid w:val="008519EC"/>
    <w:rsid w:val="008521C3"/>
    <w:rsid w:val="008527D4"/>
    <w:rsid w:val="00852C8D"/>
    <w:rsid w:val="008530AD"/>
    <w:rsid w:val="00854410"/>
    <w:rsid w:val="00854634"/>
    <w:rsid w:val="0085589C"/>
    <w:rsid w:val="00856377"/>
    <w:rsid w:val="00856CE4"/>
    <w:rsid w:val="0085746F"/>
    <w:rsid w:val="008602CF"/>
    <w:rsid w:val="0086065E"/>
    <w:rsid w:val="00861A2E"/>
    <w:rsid w:val="00861BC3"/>
    <w:rsid w:val="00861C10"/>
    <w:rsid w:val="00861D5A"/>
    <w:rsid w:val="00861FF8"/>
    <w:rsid w:val="008625C6"/>
    <w:rsid w:val="00862CBF"/>
    <w:rsid w:val="008632E6"/>
    <w:rsid w:val="008636DE"/>
    <w:rsid w:val="00863AAC"/>
    <w:rsid w:val="00864A74"/>
    <w:rsid w:val="00865110"/>
    <w:rsid w:val="00865A7B"/>
    <w:rsid w:val="00865DBC"/>
    <w:rsid w:val="008661DA"/>
    <w:rsid w:val="00866598"/>
    <w:rsid w:val="00866A26"/>
    <w:rsid w:val="00866DDA"/>
    <w:rsid w:val="00867449"/>
    <w:rsid w:val="00867926"/>
    <w:rsid w:val="00867A89"/>
    <w:rsid w:val="00867D79"/>
    <w:rsid w:val="008705BA"/>
    <w:rsid w:val="00870AB3"/>
    <w:rsid w:val="00870DE8"/>
    <w:rsid w:val="00870EF8"/>
    <w:rsid w:val="008715EB"/>
    <w:rsid w:val="00871CCA"/>
    <w:rsid w:val="00871D0D"/>
    <w:rsid w:val="00871F97"/>
    <w:rsid w:val="0087240D"/>
    <w:rsid w:val="00873429"/>
    <w:rsid w:val="00873E64"/>
    <w:rsid w:val="00873F6C"/>
    <w:rsid w:val="008747B8"/>
    <w:rsid w:val="008754C1"/>
    <w:rsid w:val="00875885"/>
    <w:rsid w:val="00875ED0"/>
    <w:rsid w:val="0087660A"/>
    <w:rsid w:val="008770EC"/>
    <w:rsid w:val="00877969"/>
    <w:rsid w:val="00877A44"/>
    <w:rsid w:val="00877C96"/>
    <w:rsid w:val="00877DEB"/>
    <w:rsid w:val="00880AC6"/>
    <w:rsid w:val="00880BCE"/>
    <w:rsid w:val="00880C2A"/>
    <w:rsid w:val="00880EBB"/>
    <w:rsid w:val="00881719"/>
    <w:rsid w:val="00881CCF"/>
    <w:rsid w:val="00881E63"/>
    <w:rsid w:val="008825A5"/>
    <w:rsid w:val="00882B21"/>
    <w:rsid w:val="008837C1"/>
    <w:rsid w:val="00883875"/>
    <w:rsid w:val="00883B07"/>
    <w:rsid w:val="00884256"/>
    <w:rsid w:val="00884DF7"/>
    <w:rsid w:val="008854E7"/>
    <w:rsid w:val="008860AD"/>
    <w:rsid w:val="0088612A"/>
    <w:rsid w:val="00886477"/>
    <w:rsid w:val="008866C3"/>
    <w:rsid w:val="00886E53"/>
    <w:rsid w:val="0088711C"/>
    <w:rsid w:val="008876C8"/>
    <w:rsid w:val="008879B5"/>
    <w:rsid w:val="00887BA3"/>
    <w:rsid w:val="0089060B"/>
    <w:rsid w:val="008907ED"/>
    <w:rsid w:val="00890829"/>
    <w:rsid w:val="00891381"/>
    <w:rsid w:val="008915FB"/>
    <w:rsid w:val="008924DD"/>
    <w:rsid w:val="00892F2E"/>
    <w:rsid w:val="00893054"/>
    <w:rsid w:val="008930AC"/>
    <w:rsid w:val="00894592"/>
    <w:rsid w:val="00894A0E"/>
    <w:rsid w:val="00895299"/>
    <w:rsid w:val="00895731"/>
    <w:rsid w:val="00895993"/>
    <w:rsid w:val="00896B79"/>
    <w:rsid w:val="00896D6E"/>
    <w:rsid w:val="008978E0"/>
    <w:rsid w:val="008A0DDB"/>
    <w:rsid w:val="008A200B"/>
    <w:rsid w:val="008A348A"/>
    <w:rsid w:val="008A3D87"/>
    <w:rsid w:val="008A403B"/>
    <w:rsid w:val="008A4990"/>
    <w:rsid w:val="008A4DC9"/>
    <w:rsid w:val="008A5A0C"/>
    <w:rsid w:val="008A5A9D"/>
    <w:rsid w:val="008A5E51"/>
    <w:rsid w:val="008A6336"/>
    <w:rsid w:val="008A6A5B"/>
    <w:rsid w:val="008A7C9A"/>
    <w:rsid w:val="008B0BDC"/>
    <w:rsid w:val="008B2241"/>
    <w:rsid w:val="008B26DE"/>
    <w:rsid w:val="008B3767"/>
    <w:rsid w:val="008B396A"/>
    <w:rsid w:val="008B3DCD"/>
    <w:rsid w:val="008B49F2"/>
    <w:rsid w:val="008B4ACF"/>
    <w:rsid w:val="008B4F70"/>
    <w:rsid w:val="008B50CB"/>
    <w:rsid w:val="008B5A16"/>
    <w:rsid w:val="008B5D3B"/>
    <w:rsid w:val="008B6947"/>
    <w:rsid w:val="008B791A"/>
    <w:rsid w:val="008B7EE6"/>
    <w:rsid w:val="008B7F98"/>
    <w:rsid w:val="008C0248"/>
    <w:rsid w:val="008C04CA"/>
    <w:rsid w:val="008C158D"/>
    <w:rsid w:val="008C1AED"/>
    <w:rsid w:val="008C1F0C"/>
    <w:rsid w:val="008C2514"/>
    <w:rsid w:val="008C2802"/>
    <w:rsid w:val="008C28AA"/>
    <w:rsid w:val="008C2C5D"/>
    <w:rsid w:val="008C2D93"/>
    <w:rsid w:val="008C31B8"/>
    <w:rsid w:val="008C36A3"/>
    <w:rsid w:val="008C39D8"/>
    <w:rsid w:val="008C4B83"/>
    <w:rsid w:val="008C539E"/>
    <w:rsid w:val="008C596B"/>
    <w:rsid w:val="008C5CD3"/>
    <w:rsid w:val="008C609F"/>
    <w:rsid w:val="008C60C1"/>
    <w:rsid w:val="008C60FF"/>
    <w:rsid w:val="008C62C7"/>
    <w:rsid w:val="008C6A2E"/>
    <w:rsid w:val="008C7B62"/>
    <w:rsid w:val="008D0373"/>
    <w:rsid w:val="008D0CA5"/>
    <w:rsid w:val="008D0FB9"/>
    <w:rsid w:val="008D11B0"/>
    <w:rsid w:val="008D16BB"/>
    <w:rsid w:val="008D1B64"/>
    <w:rsid w:val="008D1FC7"/>
    <w:rsid w:val="008D3056"/>
    <w:rsid w:val="008D35C2"/>
    <w:rsid w:val="008D36E5"/>
    <w:rsid w:val="008D391A"/>
    <w:rsid w:val="008D42D3"/>
    <w:rsid w:val="008D506D"/>
    <w:rsid w:val="008D5570"/>
    <w:rsid w:val="008D758A"/>
    <w:rsid w:val="008E0199"/>
    <w:rsid w:val="008E1119"/>
    <w:rsid w:val="008E14AD"/>
    <w:rsid w:val="008E2A6D"/>
    <w:rsid w:val="008E3735"/>
    <w:rsid w:val="008E3745"/>
    <w:rsid w:val="008E45DE"/>
    <w:rsid w:val="008E48E6"/>
    <w:rsid w:val="008E4975"/>
    <w:rsid w:val="008E4B0A"/>
    <w:rsid w:val="008E5015"/>
    <w:rsid w:val="008E50A1"/>
    <w:rsid w:val="008E5990"/>
    <w:rsid w:val="008E5B16"/>
    <w:rsid w:val="008E62C0"/>
    <w:rsid w:val="008E6550"/>
    <w:rsid w:val="008E7167"/>
    <w:rsid w:val="008E76FF"/>
    <w:rsid w:val="008E7827"/>
    <w:rsid w:val="008E7876"/>
    <w:rsid w:val="008E7A9E"/>
    <w:rsid w:val="008E7FAB"/>
    <w:rsid w:val="008F0520"/>
    <w:rsid w:val="008F0615"/>
    <w:rsid w:val="008F1AB6"/>
    <w:rsid w:val="008F2158"/>
    <w:rsid w:val="008F21FE"/>
    <w:rsid w:val="008F2CFF"/>
    <w:rsid w:val="008F2F3D"/>
    <w:rsid w:val="008F317E"/>
    <w:rsid w:val="008F3641"/>
    <w:rsid w:val="008F381F"/>
    <w:rsid w:val="008F386A"/>
    <w:rsid w:val="008F3F95"/>
    <w:rsid w:val="008F4F0B"/>
    <w:rsid w:val="008F518E"/>
    <w:rsid w:val="008F57CD"/>
    <w:rsid w:val="008F5A1E"/>
    <w:rsid w:val="008F6BA9"/>
    <w:rsid w:val="008F6BD8"/>
    <w:rsid w:val="008F7395"/>
    <w:rsid w:val="008F7B05"/>
    <w:rsid w:val="009019DE"/>
    <w:rsid w:val="00901C34"/>
    <w:rsid w:val="00901C6A"/>
    <w:rsid w:val="00902B44"/>
    <w:rsid w:val="00903A05"/>
    <w:rsid w:val="00903EEF"/>
    <w:rsid w:val="00904494"/>
    <w:rsid w:val="009046CE"/>
    <w:rsid w:val="00905D77"/>
    <w:rsid w:val="0090794C"/>
    <w:rsid w:val="00907D88"/>
    <w:rsid w:val="00907EE2"/>
    <w:rsid w:val="00910A9E"/>
    <w:rsid w:val="00911191"/>
    <w:rsid w:val="009126AE"/>
    <w:rsid w:val="00912D9A"/>
    <w:rsid w:val="00913BF9"/>
    <w:rsid w:val="00913F03"/>
    <w:rsid w:val="0091433C"/>
    <w:rsid w:val="00914378"/>
    <w:rsid w:val="009143D4"/>
    <w:rsid w:val="00914573"/>
    <w:rsid w:val="0091465A"/>
    <w:rsid w:val="00915057"/>
    <w:rsid w:val="0091531D"/>
    <w:rsid w:val="00915683"/>
    <w:rsid w:val="00915CC2"/>
    <w:rsid w:val="00915F61"/>
    <w:rsid w:val="009167A6"/>
    <w:rsid w:val="00916A00"/>
    <w:rsid w:val="00916F8C"/>
    <w:rsid w:val="00917EFC"/>
    <w:rsid w:val="00920F1E"/>
    <w:rsid w:val="009211AE"/>
    <w:rsid w:val="009214E7"/>
    <w:rsid w:val="00921A20"/>
    <w:rsid w:val="00921E21"/>
    <w:rsid w:val="00922201"/>
    <w:rsid w:val="0092226E"/>
    <w:rsid w:val="009229F7"/>
    <w:rsid w:val="00923215"/>
    <w:rsid w:val="009241AD"/>
    <w:rsid w:val="00924E10"/>
    <w:rsid w:val="00925871"/>
    <w:rsid w:val="00925910"/>
    <w:rsid w:val="00925AF2"/>
    <w:rsid w:val="009261ED"/>
    <w:rsid w:val="00926BEA"/>
    <w:rsid w:val="00927F58"/>
    <w:rsid w:val="0093089A"/>
    <w:rsid w:val="00930D15"/>
    <w:rsid w:val="00931870"/>
    <w:rsid w:val="0093238B"/>
    <w:rsid w:val="00932A30"/>
    <w:rsid w:val="009332EF"/>
    <w:rsid w:val="00934191"/>
    <w:rsid w:val="00934AA4"/>
    <w:rsid w:val="00934B22"/>
    <w:rsid w:val="00934B87"/>
    <w:rsid w:val="00934D2D"/>
    <w:rsid w:val="00935395"/>
    <w:rsid w:val="00935F4C"/>
    <w:rsid w:val="00935FC3"/>
    <w:rsid w:val="00936490"/>
    <w:rsid w:val="00936DA3"/>
    <w:rsid w:val="009371D0"/>
    <w:rsid w:val="009375DE"/>
    <w:rsid w:val="009379F8"/>
    <w:rsid w:val="00937F3D"/>
    <w:rsid w:val="00940437"/>
    <w:rsid w:val="00940584"/>
    <w:rsid w:val="009411F3"/>
    <w:rsid w:val="00941677"/>
    <w:rsid w:val="00941DB6"/>
    <w:rsid w:val="0094264C"/>
    <w:rsid w:val="00942BC6"/>
    <w:rsid w:val="00942DAC"/>
    <w:rsid w:val="009431E7"/>
    <w:rsid w:val="00944734"/>
    <w:rsid w:val="00944B0C"/>
    <w:rsid w:val="009451EB"/>
    <w:rsid w:val="00945F5D"/>
    <w:rsid w:val="00946272"/>
    <w:rsid w:val="00946D0A"/>
    <w:rsid w:val="00950378"/>
    <w:rsid w:val="00950B8B"/>
    <w:rsid w:val="00950F24"/>
    <w:rsid w:val="0095138B"/>
    <w:rsid w:val="00951478"/>
    <w:rsid w:val="009516F0"/>
    <w:rsid w:val="00951BEC"/>
    <w:rsid w:val="00951F65"/>
    <w:rsid w:val="0095203A"/>
    <w:rsid w:val="009529F6"/>
    <w:rsid w:val="00952EA0"/>
    <w:rsid w:val="00954422"/>
    <w:rsid w:val="00954EB4"/>
    <w:rsid w:val="00954F2F"/>
    <w:rsid w:val="00955339"/>
    <w:rsid w:val="00955479"/>
    <w:rsid w:val="009554BD"/>
    <w:rsid w:val="0095552A"/>
    <w:rsid w:val="009560F4"/>
    <w:rsid w:val="009565FC"/>
    <w:rsid w:val="00956700"/>
    <w:rsid w:val="00956B29"/>
    <w:rsid w:val="00957AB1"/>
    <w:rsid w:val="00957C36"/>
    <w:rsid w:val="00957F7F"/>
    <w:rsid w:val="009602C3"/>
    <w:rsid w:val="00960822"/>
    <w:rsid w:val="00960AD9"/>
    <w:rsid w:val="00961642"/>
    <w:rsid w:val="00962000"/>
    <w:rsid w:val="0096220E"/>
    <w:rsid w:val="00962372"/>
    <w:rsid w:val="00962FDB"/>
    <w:rsid w:val="00963053"/>
    <w:rsid w:val="0096338E"/>
    <w:rsid w:val="009638F4"/>
    <w:rsid w:val="00964015"/>
    <w:rsid w:val="0096412B"/>
    <w:rsid w:val="00964E29"/>
    <w:rsid w:val="0096549B"/>
    <w:rsid w:val="0096580D"/>
    <w:rsid w:val="00965D33"/>
    <w:rsid w:val="00966446"/>
    <w:rsid w:val="0096647D"/>
    <w:rsid w:val="0096796D"/>
    <w:rsid w:val="00970948"/>
    <w:rsid w:val="00972EB0"/>
    <w:rsid w:val="0097321F"/>
    <w:rsid w:val="0097335F"/>
    <w:rsid w:val="009735B8"/>
    <w:rsid w:val="00974080"/>
    <w:rsid w:val="00974472"/>
    <w:rsid w:val="00974ACF"/>
    <w:rsid w:val="00975675"/>
    <w:rsid w:val="00975687"/>
    <w:rsid w:val="00975889"/>
    <w:rsid w:val="00975D5D"/>
    <w:rsid w:val="00975D9C"/>
    <w:rsid w:val="00975DE0"/>
    <w:rsid w:val="00976314"/>
    <w:rsid w:val="00976788"/>
    <w:rsid w:val="0097685D"/>
    <w:rsid w:val="00976E31"/>
    <w:rsid w:val="00977A45"/>
    <w:rsid w:val="009803C1"/>
    <w:rsid w:val="00980B84"/>
    <w:rsid w:val="00981830"/>
    <w:rsid w:val="0098245A"/>
    <w:rsid w:val="0098279E"/>
    <w:rsid w:val="00982AD5"/>
    <w:rsid w:val="00983ABB"/>
    <w:rsid w:val="009840FC"/>
    <w:rsid w:val="00984469"/>
    <w:rsid w:val="00984E95"/>
    <w:rsid w:val="00984FF8"/>
    <w:rsid w:val="00985070"/>
    <w:rsid w:val="009851A4"/>
    <w:rsid w:val="009852E6"/>
    <w:rsid w:val="00985685"/>
    <w:rsid w:val="009859E3"/>
    <w:rsid w:val="00985F56"/>
    <w:rsid w:val="00986445"/>
    <w:rsid w:val="009864F2"/>
    <w:rsid w:val="00986757"/>
    <w:rsid w:val="00987697"/>
    <w:rsid w:val="0098771C"/>
    <w:rsid w:val="0098772D"/>
    <w:rsid w:val="00990614"/>
    <w:rsid w:val="00991424"/>
    <w:rsid w:val="009915E4"/>
    <w:rsid w:val="00991D6A"/>
    <w:rsid w:val="00992CED"/>
    <w:rsid w:val="009944D0"/>
    <w:rsid w:val="00994DAA"/>
    <w:rsid w:val="009950E8"/>
    <w:rsid w:val="00995D73"/>
    <w:rsid w:val="00995F9B"/>
    <w:rsid w:val="00996369"/>
    <w:rsid w:val="00996E72"/>
    <w:rsid w:val="00997663"/>
    <w:rsid w:val="009A02A6"/>
    <w:rsid w:val="009A1948"/>
    <w:rsid w:val="009A1AAD"/>
    <w:rsid w:val="009A1B83"/>
    <w:rsid w:val="009A2B98"/>
    <w:rsid w:val="009A3354"/>
    <w:rsid w:val="009A33C5"/>
    <w:rsid w:val="009A344A"/>
    <w:rsid w:val="009A3B2D"/>
    <w:rsid w:val="009A3D65"/>
    <w:rsid w:val="009A4047"/>
    <w:rsid w:val="009A40C5"/>
    <w:rsid w:val="009A41A3"/>
    <w:rsid w:val="009A4972"/>
    <w:rsid w:val="009A4A32"/>
    <w:rsid w:val="009A50BB"/>
    <w:rsid w:val="009A5655"/>
    <w:rsid w:val="009A5AC1"/>
    <w:rsid w:val="009A6A09"/>
    <w:rsid w:val="009A70BB"/>
    <w:rsid w:val="009A73A0"/>
    <w:rsid w:val="009A749E"/>
    <w:rsid w:val="009A7702"/>
    <w:rsid w:val="009B01FE"/>
    <w:rsid w:val="009B0282"/>
    <w:rsid w:val="009B044C"/>
    <w:rsid w:val="009B0BD6"/>
    <w:rsid w:val="009B10D6"/>
    <w:rsid w:val="009B1281"/>
    <w:rsid w:val="009B18D3"/>
    <w:rsid w:val="009B1BA0"/>
    <w:rsid w:val="009B1DCF"/>
    <w:rsid w:val="009B204A"/>
    <w:rsid w:val="009B219D"/>
    <w:rsid w:val="009B22A9"/>
    <w:rsid w:val="009B2427"/>
    <w:rsid w:val="009B2C6C"/>
    <w:rsid w:val="009B2F5D"/>
    <w:rsid w:val="009B311F"/>
    <w:rsid w:val="009B318B"/>
    <w:rsid w:val="009B4573"/>
    <w:rsid w:val="009B4998"/>
    <w:rsid w:val="009B5300"/>
    <w:rsid w:val="009B5A38"/>
    <w:rsid w:val="009B631F"/>
    <w:rsid w:val="009B695A"/>
    <w:rsid w:val="009B7802"/>
    <w:rsid w:val="009C0347"/>
    <w:rsid w:val="009C0BF3"/>
    <w:rsid w:val="009C14A1"/>
    <w:rsid w:val="009C1DDA"/>
    <w:rsid w:val="009C3D37"/>
    <w:rsid w:val="009C42EF"/>
    <w:rsid w:val="009C4490"/>
    <w:rsid w:val="009C5177"/>
    <w:rsid w:val="009C5298"/>
    <w:rsid w:val="009C58E0"/>
    <w:rsid w:val="009C59E5"/>
    <w:rsid w:val="009C641F"/>
    <w:rsid w:val="009C674A"/>
    <w:rsid w:val="009C6889"/>
    <w:rsid w:val="009C734A"/>
    <w:rsid w:val="009C79B6"/>
    <w:rsid w:val="009D056A"/>
    <w:rsid w:val="009D09DF"/>
    <w:rsid w:val="009D0AE2"/>
    <w:rsid w:val="009D1E9F"/>
    <w:rsid w:val="009D28CA"/>
    <w:rsid w:val="009D379C"/>
    <w:rsid w:val="009D496B"/>
    <w:rsid w:val="009D4F85"/>
    <w:rsid w:val="009D51E7"/>
    <w:rsid w:val="009D6D15"/>
    <w:rsid w:val="009D716B"/>
    <w:rsid w:val="009D71D8"/>
    <w:rsid w:val="009D7409"/>
    <w:rsid w:val="009D7941"/>
    <w:rsid w:val="009E0601"/>
    <w:rsid w:val="009E0E2C"/>
    <w:rsid w:val="009E0F44"/>
    <w:rsid w:val="009E0FCB"/>
    <w:rsid w:val="009E1520"/>
    <w:rsid w:val="009E23D6"/>
    <w:rsid w:val="009E27C3"/>
    <w:rsid w:val="009E2EC7"/>
    <w:rsid w:val="009E3461"/>
    <w:rsid w:val="009E377C"/>
    <w:rsid w:val="009E3782"/>
    <w:rsid w:val="009E3A7B"/>
    <w:rsid w:val="009E486A"/>
    <w:rsid w:val="009E4C9E"/>
    <w:rsid w:val="009E5633"/>
    <w:rsid w:val="009E6152"/>
    <w:rsid w:val="009E6A7B"/>
    <w:rsid w:val="009E75A9"/>
    <w:rsid w:val="009E7CBE"/>
    <w:rsid w:val="009E7D3C"/>
    <w:rsid w:val="009E7D53"/>
    <w:rsid w:val="009F04BF"/>
    <w:rsid w:val="009F0878"/>
    <w:rsid w:val="009F2395"/>
    <w:rsid w:val="009F250C"/>
    <w:rsid w:val="009F3560"/>
    <w:rsid w:val="009F3C86"/>
    <w:rsid w:val="009F4601"/>
    <w:rsid w:val="009F4E94"/>
    <w:rsid w:val="009F503F"/>
    <w:rsid w:val="009F51FD"/>
    <w:rsid w:val="009F54C6"/>
    <w:rsid w:val="009F6511"/>
    <w:rsid w:val="009F724B"/>
    <w:rsid w:val="009F7F1A"/>
    <w:rsid w:val="00A0054D"/>
    <w:rsid w:val="00A0129A"/>
    <w:rsid w:val="00A013F2"/>
    <w:rsid w:val="00A0233E"/>
    <w:rsid w:val="00A02701"/>
    <w:rsid w:val="00A02BAF"/>
    <w:rsid w:val="00A02F30"/>
    <w:rsid w:val="00A03164"/>
    <w:rsid w:val="00A03572"/>
    <w:rsid w:val="00A036E0"/>
    <w:rsid w:val="00A03F52"/>
    <w:rsid w:val="00A05336"/>
    <w:rsid w:val="00A0563A"/>
    <w:rsid w:val="00A06781"/>
    <w:rsid w:val="00A07376"/>
    <w:rsid w:val="00A07930"/>
    <w:rsid w:val="00A079CE"/>
    <w:rsid w:val="00A07DB8"/>
    <w:rsid w:val="00A107A9"/>
    <w:rsid w:val="00A107C0"/>
    <w:rsid w:val="00A10F61"/>
    <w:rsid w:val="00A11720"/>
    <w:rsid w:val="00A117BA"/>
    <w:rsid w:val="00A11A5F"/>
    <w:rsid w:val="00A12751"/>
    <w:rsid w:val="00A12AB8"/>
    <w:rsid w:val="00A12EE3"/>
    <w:rsid w:val="00A13549"/>
    <w:rsid w:val="00A14079"/>
    <w:rsid w:val="00A14543"/>
    <w:rsid w:val="00A153CD"/>
    <w:rsid w:val="00A1552D"/>
    <w:rsid w:val="00A15FD0"/>
    <w:rsid w:val="00A15FD3"/>
    <w:rsid w:val="00A168F8"/>
    <w:rsid w:val="00A16E4C"/>
    <w:rsid w:val="00A16E7E"/>
    <w:rsid w:val="00A171FB"/>
    <w:rsid w:val="00A173F0"/>
    <w:rsid w:val="00A17846"/>
    <w:rsid w:val="00A17861"/>
    <w:rsid w:val="00A20116"/>
    <w:rsid w:val="00A2029E"/>
    <w:rsid w:val="00A20BB5"/>
    <w:rsid w:val="00A22563"/>
    <w:rsid w:val="00A22B7C"/>
    <w:rsid w:val="00A22E7D"/>
    <w:rsid w:val="00A23166"/>
    <w:rsid w:val="00A2325A"/>
    <w:rsid w:val="00A234A5"/>
    <w:rsid w:val="00A2382E"/>
    <w:rsid w:val="00A23AF0"/>
    <w:rsid w:val="00A23D7D"/>
    <w:rsid w:val="00A24213"/>
    <w:rsid w:val="00A2453D"/>
    <w:rsid w:val="00A24D02"/>
    <w:rsid w:val="00A258B0"/>
    <w:rsid w:val="00A26BA1"/>
    <w:rsid w:val="00A26BDE"/>
    <w:rsid w:val="00A274C1"/>
    <w:rsid w:val="00A27814"/>
    <w:rsid w:val="00A308BE"/>
    <w:rsid w:val="00A30CA2"/>
    <w:rsid w:val="00A31346"/>
    <w:rsid w:val="00A31701"/>
    <w:rsid w:val="00A31811"/>
    <w:rsid w:val="00A31877"/>
    <w:rsid w:val="00A31E24"/>
    <w:rsid w:val="00A32E37"/>
    <w:rsid w:val="00A32F9C"/>
    <w:rsid w:val="00A3345A"/>
    <w:rsid w:val="00A3415F"/>
    <w:rsid w:val="00A34740"/>
    <w:rsid w:val="00A34A8B"/>
    <w:rsid w:val="00A3583F"/>
    <w:rsid w:val="00A362B1"/>
    <w:rsid w:val="00A36F7E"/>
    <w:rsid w:val="00A3712B"/>
    <w:rsid w:val="00A378A0"/>
    <w:rsid w:val="00A404EA"/>
    <w:rsid w:val="00A40916"/>
    <w:rsid w:val="00A41388"/>
    <w:rsid w:val="00A41439"/>
    <w:rsid w:val="00A414E5"/>
    <w:rsid w:val="00A41A0E"/>
    <w:rsid w:val="00A41BAA"/>
    <w:rsid w:val="00A41C00"/>
    <w:rsid w:val="00A41D32"/>
    <w:rsid w:val="00A4295C"/>
    <w:rsid w:val="00A42F14"/>
    <w:rsid w:val="00A42FAF"/>
    <w:rsid w:val="00A436BF"/>
    <w:rsid w:val="00A4423F"/>
    <w:rsid w:val="00A44785"/>
    <w:rsid w:val="00A44E9D"/>
    <w:rsid w:val="00A4590F"/>
    <w:rsid w:val="00A4597A"/>
    <w:rsid w:val="00A45D25"/>
    <w:rsid w:val="00A45F62"/>
    <w:rsid w:val="00A46346"/>
    <w:rsid w:val="00A46440"/>
    <w:rsid w:val="00A465B5"/>
    <w:rsid w:val="00A4660C"/>
    <w:rsid w:val="00A5047A"/>
    <w:rsid w:val="00A5075E"/>
    <w:rsid w:val="00A50E52"/>
    <w:rsid w:val="00A514DD"/>
    <w:rsid w:val="00A5207A"/>
    <w:rsid w:val="00A52D58"/>
    <w:rsid w:val="00A549CC"/>
    <w:rsid w:val="00A54BEB"/>
    <w:rsid w:val="00A54FF4"/>
    <w:rsid w:val="00A557CE"/>
    <w:rsid w:val="00A558E0"/>
    <w:rsid w:val="00A55989"/>
    <w:rsid w:val="00A55A2C"/>
    <w:rsid w:val="00A560E5"/>
    <w:rsid w:val="00A5640F"/>
    <w:rsid w:val="00A579B6"/>
    <w:rsid w:val="00A603C6"/>
    <w:rsid w:val="00A61637"/>
    <w:rsid w:val="00A6220E"/>
    <w:rsid w:val="00A6221D"/>
    <w:rsid w:val="00A623B2"/>
    <w:rsid w:val="00A636DD"/>
    <w:rsid w:val="00A63837"/>
    <w:rsid w:val="00A63B72"/>
    <w:rsid w:val="00A647F8"/>
    <w:rsid w:val="00A65182"/>
    <w:rsid w:val="00A6574D"/>
    <w:rsid w:val="00A66A48"/>
    <w:rsid w:val="00A678C0"/>
    <w:rsid w:val="00A679D6"/>
    <w:rsid w:val="00A71340"/>
    <w:rsid w:val="00A71642"/>
    <w:rsid w:val="00A71742"/>
    <w:rsid w:val="00A71FB0"/>
    <w:rsid w:val="00A725FE"/>
    <w:rsid w:val="00A72897"/>
    <w:rsid w:val="00A72DA5"/>
    <w:rsid w:val="00A737B8"/>
    <w:rsid w:val="00A73A55"/>
    <w:rsid w:val="00A73B0F"/>
    <w:rsid w:val="00A74A85"/>
    <w:rsid w:val="00A74DD2"/>
    <w:rsid w:val="00A74E3F"/>
    <w:rsid w:val="00A75001"/>
    <w:rsid w:val="00A75DC0"/>
    <w:rsid w:val="00A75F08"/>
    <w:rsid w:val="00A76014"/>
    <w:rsid w:val="00A76421"/>
    <w:rsid w:val="00A77228"/>
    <w:rsid w:val="00A77A97"/>
    <w:rsid w:val="00A77BA7"/>
    <w:rsid w:val="00A77D38"/>
    <w:rsid w:val="00A80227"/>
    <w:rsid w:val="00A80D4A"/>
    <w:rsid w:val="00A8165A"/>
    <w:rsid w:val="00A81C44"/>
    <w:rsid w:val="00A8251E"/>
    <w:rsid w:val="00A825A7"/>
    <w:rsid w:val="00A8263D"/>
    <w:rsid w:val="00A82737"/>
    <w:rsid w:val="00A82C7F"/>
    <w:rsid w:val="00A82C81"/>
    <w:rsid w:val="00A82F2B"/>
    <w:rsid w:val="00A83496"/>
    <w:rsid w:val="00A834A8"/>
    <w:rsid w:val="00A8362E"/>
    <w:rsid w:val="00A83DFD"/>
    <w:rsid w:val="00A840DF"/>
    <w:rsid w:val="00A848A7"/>
    <w:rsid w:val="00A84A83"/>
    <w:rsid w:val="00A8501E"/>
    <w:rsid w:val="00A85259"/>
    <w:rsid w:val="00A853EC"/>
    <w:rsid w:val="00A8681B"/>
    <w:rsid w:val="00A869CE"/>
    <w:rsid w:val="00A86E1F"/>
    <w:rsid w:val="00A87064"/>
    <w:rsid w:val="00A87A97"/>
    <w:rsid w:val="00A87FF5"/>
    <w:rsid w:val="00A90D02"/>
    <w:rsid w:val="00A9116F"/>
    <w:rsid w:val="00A91260"/>
    <w:rsid w:val="00A9131A"/>
    <w:rsid w:val="00A917C5"/>
    <w:rsid w:val="00A91E2E"/>
    <w:rsid w:val="00A91FB3"/>
    <w:rsid w:val="00A92352"/>
    <w:rsid w:val="00A934A9"/>
    <w:rsid w:val="00A93C20"/>
    <w:rsid w:val="00A93CD8"/>
    <w:rsid w:val="00A9494F"/>
    <w:rsid w:val="00A94F46"/>
    <w:rsid w:val="00A950D8"/>
    <w:rsid w:val="00A952B0"/>
    <w:rsid w:val="00A953B5"/>
    <w:rsid w:val="00A9562D"/>
    <w:rsid w:val="00A95653"/>
    <w:rsid w:val="00A95D37"/>
    <w:rsid w:val="00A9709D"/>
    <w:rsid w:val="00A97338"/>
    <w:rsid w:val="00A97525"/>
    <w:rsid w:val="00A97589"/>
    <w:rsid w:val="00A975F8"/>
    <w:rsid w:val="00A9770D"/>
    <w:rsid w:val="00AA0265"/>
    <w:rsid w:val="00AA1072"/>
    <w:rsid w:val="00AA25B0"/>
    <w:rsid w:val="00AA3012"/>
    <w:rsid w:val="00AA3719"/>
    <w:rsid w:val="00AA3756"/>
    <w:rsid w:val="00AA45F3"/>
    <w:rsid w:val="00AA4AFE"/>
    <w:rsid w:val="00AA4D5E"/>
    <w:rsid w:val="00AA500B"/>
    <w:rsid w:val="00AA5090"/>
    <w:rsid w:val="00AA6609"/>
    <w:rsid w:val="00AA684F"/>
    <w:rsid w:val="00AA79D2"/>
    <w:rsid w:val="00AA7DCA"/>
    <w:rsid w:val="00AB0520"/>
    <w:rsid w:val="00AB1385"/>
    <w:rsid w:val="00AB1465"/>
    <w:rsid w:val="00AB1E03"/>
    <w:rsid w:val="00AB27C2"/>
    <w:rsid w:val="00AB2E56"/>
    <w:rsid w:val="00AB2E74"/>
    <w:rsid w:val="00AB3499"/>
    <w:rsid w:val="00AB3798"/>
    <w:rsid w:val="00AB3DF2"/>
    <w:rsid w:val="00AB3DFE"/>
    <w:rsid w:val="00AB44E9"/>
    <w:rsid w:val="00AB45DE"/>
    <w:rsid w:val="00AB4C22"/>
    <w:rsid w:val="00AB51E7"/>
    <w:rsid w:val="00AB52B6"/>
    <w:rsid w:val="00AB5310"/>
    <w:rsid w:val="00AB6A8F"/>
    <w:rsid w:val="00AB6F5B"/>
    <w:rsid w:val="00AB7C45"/>
    <w:rsid w:val="00AB7C78"/>
    <w:rsid w:val="00AC061C"/>
    <w:rsid w:val="00AC0E7C"/>
    <w:rsid w:val="00AC1355"/>
    <w:rsid w:val="00AC185C"/>
    <w:rsid w:val="00AC196F"/>
    <w:rsid w:val="00AC2331"/>
    <w:rsid w:val="00AC2B7E"/>
    <w:rsid w:val="00AC2CE3"/>
    <w:rsid w:val="00AC3B8F"/>
    <w:rsid w:val="00AC3C9F"/>
    <w:rsid w:val="00AC436F"/>
    <w:rsid w:val="00AC468A"/>
    <w:rsid w:val="00AC48FB"/>
    <w:rsid w:val="00AC4DE8"/>
    <w:rsid w:val="00AC5308"/>
    <w:rsid w:val="00AC5CC3"/>
    <w:rsid w:val="00AC641E"/>
    <w:rsid w:val="00AC7652"/>
    <w:rsid w:val="00AC777C"/>
    <w:rsid w:val="00AD166F"/>
    <w:rsid w:val="00AD1730"/>
    <w:rsid w:val="00AD1F00"/>
    <w:rsid w:val="00AD2200"/>
    <w:rsid w:val="00AD34F2"/>
    <w:rsid w:val="00AD3690"/>
    <w:rsid w:val="00AD3CA7"/>
    <w:rsid w:val="00AD4B50"/>
    <w:rsid w:val="00AD4FD7"/>
    <w:rsid w:val="00AD5493"/>
    <w:rsid w:val="00AE025C"/>
    <w:rsid w:val="00AE074B"/>
    <w:rsid w:val="00AE16AE"/>
    <w:rsid w:val="00AE17CF"/>
    <w:rsid w:val="00AE212E"/>
    <w:rsid w:val="00AE2B6B"/>
    <w:rsid w:val="00AE347B"/>
    <w:rsid w:val="00AE36CD"/>
    <w:rsid w:val="00AE39AD"/>
    <w:rsid w:val="00AE4ECC"/>
    <w:rsid w:val="00AE53DF"/>
    <w:rsid w:val="00AE5544"/>
    <w:rsid w:val="00AE57A5"/>
    <w:rsid w:val="00AE666B"/>
    <w:rsid w:val="00AE6CDD"/>
    <w:rsid w:val="00AE6D10"/>
    <w:rsid w:val="00AE7157"/>
    <w:rsid w:val="00AE7294"/>
    <w:rsid w:val="00AE7520"/>
    <w:rsid w:val="00AE7DA9"/>
    <w:rsid w:val="00AE7DC7"/>
    <w:rsid w:val="00AF0CD4"/>
    <w:rsid w:val="00AF1476"/>
    <w:rsid w:val="00AF31B2"/>
    <w:rsid w:val="00AF32D6"/>
    <w:rsid w:val="00AF39C3"/>
    <w:rsid w:val="00AF3E3A"/>
    <w:rsid w:val="00AF41C9"/>
    <w:rsid w:val="00AF4A05"/>
    <w:rsid w:val="00AF5137"/>
    <w:rsid w:val="00AF51A8"/>
    <w:rsid w:val="00AF5400"/>
    <w:rsid w:val="00AF5D1A"/>
    <w:rsid w:val="00AF6301"/>
    <w:rsid w:val="00AF6B5B"/>
    <w:rsid w:val="00AF744D"/>
    <w:rsid w:val="00AF7D84"/>
    <w:rsid w:val="00B002F7"/>
    <w:rsid w:val="00B00D24"/>
    <w:rsid w:val="00B0249D"/>
    <w:rsid w:val="00B028A4"/>
    <w:rsid w:val="00B032AD"/>
    <w:rsid w:val="00B039D4"/>
    <w:rsid w:val="00B03B7D"/>
    <w:rsid w:val="00B03DF5"/>
    <w:rsid w:val="00B04192"/>
    <w:rsid w:val="00B04ECE"/>
    <w:rsid w:val="00B04EE0"/>
    <w:rsid w:val="00B05750"/>
    <w:rsid w:val="00B06260"/>
    <w:rsid w:val="00B066A9"/>
    <w:rsid w:val="00B068B5"/>
    <w:rsid w:val="00B076A8"/>
    <w:rsid w:val="00B0789C"/>
    <w:rsid w:val="00B07C74"/>
    <w:rsid w:val="00B102FF"/>
    <w:rsid w:val="00B10409"/>
    <w:rsid w:val="00B10967"/>
    <w:rsid w:val="00B116C2"/>
    <w:rsid w:val="00B11AB8"/>
    <w:rsid w:val="00B11B81"/>
    <w:rsid w:val="00B120A6"/>
    <w:rsid w:val="00B122CA"/>
    <w:rsid w:val="00B12EE0"/>
    <w:rsid w:val="00B12F5D"/>
    <w:rsid w:val="00B13088"/>
    <w:rsid w:val="00B13455"/>
    <w:rsid w:val="00B13A24"/>
    <w:rsid w:val="00B13C29"/>
    <w:rsid w:val="00B13D81"/>
    <w:rsid w:val="00B14E33"/>
    <w:rsid w:val="00B1531E"/>
    <w:rsid w:val="00B168FA"/>
    <w:rsid w:val="00B170B2"/>
    <w:rsid w:val="00B1747D"/>
    <w:rsid w:val="00B204D2"/>
    <w:rsid w:val="00B20DF2"/>
    <w:rsid w:val="00B21421"/>
    <w:rsid w:val="00B226DA"/>
    <w:rsid w:val="00B22B15"/>
    <w:rsid w:val="00B23240"/>
    <w:rsid w:val="00B234EA"/>
    <w:rsid w:val="00B23E46"/>
    <w:rsid w:val="00B240CF"/>
    <w:rsid w:val="00B24C38"/>
    <w:rsid w:val="00B24C8B"/>
    <w:rsid w:val="00B24D7D"/>
    <w:rsid w:val="00B251C2"/>
    <w:rsid w:val="00B25238"/>
    <w:rsid w:val="00B263B2"/>
    <w:rsid w:val="00B26936"/>
    <w:rsid w:val="00B300BD"/>
    <w:rsid w:val="00B30561"/>
    <w:rsid w:val="00B30D66"/>
    <w:rsid w:val="00B31405"/>
    <w:rsid w:val="00B3145F"/>
    <w:rsid w:val="00B3279F"/>
    <w:rsid w:val="00B327D5"/>
    <w:rsid w:val="00B327FB"/>
    <w:rsid w:val="00B334C8"/>
    <w:rsid w:val="00B33DB6"/>
    <w:rsid w:val="00B33EEA"/>
    <w:rsid w:val="00B341F2"/>
    <w:rsid w:val="00B3432D"/>
    <w:rsid w:val="00B34359"/>
    <w:rsid w:val="00B344FC"/>
    <w:rsid w:val="00B34514"/>
    <w:rsid w:val="00B34883"/>
    <w:rsid w:val="00B34CE1"/>
    <w:rsid w:val="00B350BF"/>
    <w:rsid w:val="00B352DE"/>
    <w:rsid w:val="00B3562E"/>
    <w:rsid w:val="00B35893"/>
    <w:rsid w:val="00B35B1A"/>
    <w:rsid w:val="00B362A9"/>
    <w:rsid w:val="00B363E3"/>
    <w:rsid w:val="00B369A9"/>
    <w:rsid w:val="00B3712D"/>
    <w:rsid w:val="00B37248"/>
    <w:rsid w:val="00B37CD4"/>
    <w:rsid w:val="00B40786"/>
    <w:rsid w:val="00B40F43"/>
    <w:rsid w:val="00B421E7"/>
    <w:rsid w:val="00B42410"/>
    <w:rsid w:val="00B424C8"/>
    <w:rsid w:val="00B42E7D"/>
    <w:rsid w:val="00B43DA4"/>
    <w:rsid w:val="00B4427A"/>
    <w:rsid w:val="00B44A05"/>
    <w:rsid w:val="00B45141"/>
    <w:rsid w:val="00B45B2A"/>
    <w:rsid w:val="00B45BFE"/>
    <w:rsid w:val="00B469DA"/>
    <w:rsid w:val="00B46C8B"/>
    <w:rsid w:val="00B50FBA"/>
    <w:rsid w:val="00B5115A"/>
    <w:rsid w:val="00B51563"/>
    <w:rsid w:val="00B51D7B"/>
    <w:rsid w:val="00B521A0"/>
    <w:rsid w:val="00B52622"/>
    <w:rsid w:val="00B52AE7"/>
    <w:rsid w:val="00B534CF"/>
    <w:rsid w:val="00B53E88"/>
    <w:rsid w:val="00B53F79"/>
    <w:rsid w:val="00B54079"/>
    <w:rsid w:val="00B55011"/>
    <w:rsid w:val="00B5524E"/>
    <w:rsid w:val="00B55F01"/>
    <w:rsid w:val="00B568B9"/>
    <w:rsid w:val="00B574CE"/>
    <w:rsid w:val="00B60B29"/>
    <w:rsid w:val="00B6121D"/>
    <w:rsid w:val="00B613B0"/>
    <w:rsid w:val="00B61C70"/>
    <w:rsid w:val="00B61C83"/>
    <w:rsid w:val="00B61D38"/>
    <w:rsid w:val="00B62D58"/>
    <w:rsid w:val="00B62EF6"/>
    <w:rsid w:val="00B62FE7"/>
    <w:rsid w:val="00B63370"/>
    <w:rsid w:val="00B634D8"/>
    <w:rsid w:val="00B63865"/>
    <w:rsid w:val="00B63970"/>
    <w:rsid w:val="00B63B5E"/>
    <w:rsid w:val="00B64208"/>
    <w:rsid w:val="00B651EA"/>
    <w:rsid w:val="00B65559"/>
    <w:rsid w:val="00B6580F"/>
    <w:rsid w:val="00B659FB"/>
    <w:rsid w:val="00B65AD7"/>
    <w:rsid w:val="00B65E37"/>
    <w:rsid w:val="00B66BC4"/>
    <w:rsid w:val="00B66C92"/>
    <w:rsid w:val="00B6724C"/>
    <w:rsid w:val="00B6753D"/>
    <w:rsid w:val="00B70380"/>
    <w:rsid w:val="00B70F32"/>
    <w:rsid w:val="00B71824"/>
    <w:rsid w:val="00B71D58"/>
    <w:rsid w:val="00B7245B"/>
    <w:rsid w:val="00B729FB"/>
    <w:rsid w:val="00B72DB7"/>
    <w:rsid w:val="00B73A1F"/>
    <w:rsid w:val="00B73A83"/>
    <w:rsid w:val="00B73B24"/>
    <w:rsid w:val="00B73CB2"/>
    <w:rsid w:val="00B73FDA"/>
    <w:rsid w:val="00B741EF"/>
    <w:rsid w:val="00B75158"/>
    <w:rsid w:val="00B754AC"/>
    <w:rsid w:val="00B75E32"/>
    <w:rsid w:val="00B76261"/>
    <w:rsid w:val="00B764B8"/>
    <w:rsid w:val="00B76C7F"/>
    <w:rsid w:val="00B7727C"/>
    <w:rsid w:val="00B77445"/>
    <w:rsid w:val="00B7775F"/>
    <w:rsid w:val="00B802F1"/>
    <w:rsid w:val="00B80370"/>
    <w:rsid w:val="00B80C57"/>
    <w:rsid w:val="00B80FEC"/>
    <w:rsid w:val="00B81031"/>
    <w:rsid w:val="00B814FC"/>
    <w:rsid w:val="00B823A4"/>
    <w:rsid w:val="00B825C5"/>
    <w:rsid w:val="00B8360F"/>
    <w:rsid w:val="00B8428A"/>
    <w:rsid w:val="00B84442"/>
    <w:rsid w:val="00B848D8"/>
    <w:rsid w:val="00B84B8B"/>
    <w:rsid w:val="00B85576"/>
    <w:rsid w:val="00B86C8C"/>
    <w:rsid w:val="00B86E5A"/>
    <w:rsid w:val="00B873DD"/>
    <w:rsid w:val="00B87AAC"/>
    <w:rsid w:val="00B87C56"/>
    <w:rsid w:val="00B87E34"/>
    <w:rsid w:val="00B90847"/>
    <w:rsid w:val="00B909E5"/>
    <w:rsid w:val="00B9134E"/>
    <w:rsid w:val="00B91B7C"/>
    <w:rsid w:val="00B91C8E"/>
    <w:rsid w:val="00B927E5"/>
    <w:rsid w:val="00B93C49"/>
    <w:rsid w:val="00B943F5"/>
    <w:rsid w:val="00B94AA1"/>
    <w:rsid w:val="00B94B43"/>
    <w:rsid w:val="00B94BE1"/>
    <w:rsid w:val="00B94CE9"/>
    <w:rsid w:val="00B95AFA"/>
    <w:rsid w:val="00B9626B"/>
    <w:rsid w:val="00B9677C"/>
    <w:rsid w:val="00B968B8"/>
    <w:rsid w:val="00B979FE"/>
    <w:rsid w:val="00BA0489"/>
    <w:rsid w:val="00BA0883"/>
    <w:rsid w:val="00BA0ECF"/>
    <w:rsid w:val="00BA2A33"/>
    <w:rsid w:val="00BA3386"/>
    <w:rsid w:val="00BA352D"/>
    <w:rsid w:val="00BA35CA"/>
    <w:rsid w:val="00BA381F"/>
    <w:rsid w:val="00BA3870"/>
    <w:rsid w:val="00BA38E9"/>
    <w:rsid w:val="00BA3F10"/>
    <w:rsid w:val="00BA4F6D"/>
    <w:rsid w:val="00BA5536"/>
    <w:rsid w:val="00BA5A24"/>
    <w:rsid w:val="00BA5D7D"/>
    <w:rsid w:val="00BA6344"/>
    <w:rsid w:val="00BA634D"/>
    <w:rsid w:val="00BA64F8"/>
    <w:rsid w:val="00BA656D"/>
    <w:rsid w:val="00BA7452"/>
    <w:rsid w:val="00BA798C"/>
    <w:rsid w:val="00BB00DD"/>
    <w:rsid w:val="00BB0412"/>
    <w:rsid w:val="00BB0C18"/>
    <w:rsid w:val="00BB2385"/>
    <w:rsid w:val="00BB23A3"/>
    <w:rsid w:val="00BB247E"/>
    <w:rsid w:val="00BB2514"/>
    <w:rsid w:val="00BB310A"/>
    <w:rsid w:val="00BB35C4"/>
    <w:rsid w:val="00BB3962"/>
    <w:rsid w:val="00BB3C75"/>
    <w:rsid w:val="00BB3D9E"/>
    <w:rsid w:val="00BB4183"/>
    <w:rsid w:val="00BB46E2"/>
    <w:rsid w:val="00BB47C6"/>
    <w:rsid w:val="00BB4E07"/>
    <w:rsid w:val="00BB519E"/>
    <w:rsid w:val="00BB549C"/>
    <w:rsid w:val="00BB5808"/>
    <w:rsid w:val="00BB5D5B"/>
    <w:rsid w:val="00BB6779"/>
    <w:rsid w:val="00BB6C7D"/>
    <w:rsid w:val="00BB7168"/>
    <w:rsid w:val="00BB7818"/>
    <w:rsid w:val="00BB787A"/>
    <w:rsid w:val="00BB7C30"/>
    <w:rsid w:val="00BB7D5E"/>
    <w:rsid w:val="00BC030F"/>
    <w:rsid w:val="00BC112A"/>
    <w:rsid w:val="00BC125E"/>
    <w:rsid w:val="00BC13BB"/>
    <w:rsid w:val="00BC160E"/>
    <w:rsid w:val="00BC17AF"/>
    <w:rsid w:val="00BC1A66"/>
    <w:rsid w:val="00BC1E56"/>
    <w:rsid w:val="00BC29CB"/>
    <w:rsid w:val="00BC3A76"/>
    <w:rsid w:val="00BC3D1E"/>
    <w:rsid w:val="00BC4372"/>
    <w:rsid w:val="00BC563C"/>
    <w:rsid w:val="00BC5A8F"/>
    <w:rsid w:val="00BC7348"/>
    <w:rsid w:val="00BD0331"/>
    <w:rsid w:val="00BD04FC"/>
    <w:rsid w:val="00BD0895"/>
    <w:rsid w:val="00BD0AC7"/>
    <w:rsid w:val="00BD0E7D"/>
    <w:rsid w:val="00BD13A3"/>
    <w:rsid w:val="00BD1469"/>
    <w:rsid w:val="00BD1C06"/>
    <w:rsid w:val="00BD1D0F"/>
    <w:rsid w:val="00BD2056"/>
    <w:rsid w:val="00BD242C"/>
    <w:rsid w:val="00BD275D"/>
    <w:rsid w:val="00BD2B5C"/>
    <w:rsid w:val="00BD2FF9"/>
    <w:rsid w:val="00BD3707"/>
    <w:rsid w:val="00BD555F"/>
    <w:rsid w:val="00BD5C33"/>
    <w:rsid w:val="00BD6059"/>
    <w:rsid w:val="00BD6594"/>
    <w:rsid w:val="00BD6CE8"/>
    <w:rsid w:val="00BD6E0D"/>
    <w:rsid w:val="00BD7035"/>
    <w:rsid w:val="00BD70BC"/>
    <w:rsid w:val="00BD76F3"/>
    <w:rsid w:val="00BD7B2F"/>
    <w:rsid w:val="00BE06AF"/>
    <w:rsid w:val="00BE09BB"/>
    <w:rsid w:val="00BE0C80"/>
    <w:rsid w:val="00BE20F9"/>
    <w:rsid w:val="00BE220D"/>
    <w:rsid w:val="00BE2BAA"/>
    <w:rsid w:val="00BE32AE"/>
    <w:rsid w:val="00BE36BA"/>
    <w:rsid w:val="00BE47B1"/>
    <w:rsid w:val="00BE4A59"/>
    <w:rsid w:val="00BE527F"/>
    <w:rsid w:val="00BE6215"/>
    <w:rsid w:val="00BE6369"/>
    <w:rsid w:val="00BE6D13"/>
    <w:rsid w:val="00BE6FE7"/>
    <w:rsid w:val="00BE738A"/>
    <w:rsid w:val="00BE7AF7"/>
    <w:rsid w:val="00BF0F41"/>
    <w:rsid w:val="00BF11DB"/>
    <w:rsid w:val="00BF1496"/>
    <w:rsid w:val="00BF27B3"/>
    <w:rsid w:val="00BF2C3F"/>
    <w:rsid w:val="00BF32B3"/>
    <w:rsid w:val="00BF359A"/>
    <w:rsid w:val="00BF39BA"/>
    <w:rsid w:val="00BF3BE2"/>
    <w:rsid w:val="00BF4043"/>
    <w:rsid w:val="00BF40E5"/>
    <w:rsid w:val="00BF439F"/>
    <w:rsid w:val="00BF497D"/>
    <w:rsid w:val="00BF5307"/>
    <w:rsid w:val="00BF541B"/>
    <w:rsid w:val="00BF57E5"/>
    <w:rsid w:val="00BF5BF6"/>
    <w:rsid w:val="00BF5F46"/>
    <w:rsid w:val="00BF6342"/>
    <w:rsid w:val="00BF6786"/>
    <w:rsid w:val="00BF6C47"/>
    <w:rsid w:val="00BF6C75"/>
    <w:rsid w:val="00BF6F63"/>
    <w:rsid w:val="00BF7784"/>
    <w:rsid w:val="00BF7A05"/>
    <w:rsid w:val="00C00884"/>
    <w:rsid w:val="00C0104F"/>
    <w:rsid w:val="00C01180"/>
    <w:rsid w:val="00C012BA"/>
    <w:rsid w:val="00C012CC"/>
    <w:rsid w:val="00C0165F"/>
    <w:rsid w:val="00C01846"/>
    <w:rsid w:val="00C018EE"/>
    <w:rsid w:val="00C01A43"/>
    <w:rsid w:val="00C02363"/>
    <w:rsid w:val="00C02BCC"/>
    <w:rsid w:val="00C02D3B"/>
    <w:rsid w:val="00C03803"/>
    <w:rsid w:val="00C04C52"/>
    <w:rsid w:val="00C0501B"/>
    <w:rsid w:val="00C0556D"/>
    <w:rsid w:val="00C056C8"/>
    <w:rsid w:val="00C06207"/>
    <w:rsid w:val="00C067A6"/>
    <w:rsid w:val="00C10085"/>
    <w:rsid w:val="00C1044F"/>
    <w:rsid w:val="00C1045F"/>
    <w:rsid w:val="00C110ED"/>
    <w:rsid w:val="00C11358"/>
    <w:rsid w:val="00C1166C"/>
    <w:rsid w:val="00C130F9"/>
    <w:rsid w:val="00C13771"/>
    <w:rsid w:val="00C138F4"/>
    <w:rsid w:val="00C147D6"/>
    <w:rsid w:val="00C1488C"/>
    <w:rsid w:val="00C14A94"/>
    <w:rsid w:val="00C14AAD"/>
    <w:rsid w:val="00C14DFD"/>
    <w:rsid w:val="00C15EEA"/>
    <w:rsid w:val="00C16114"/>
    <w:rsid w:val="00C171DF"/>
    <w:rsid w:val="00C172A5"/>
    <w:rsid w:val="00C17A78"/>
    <w:rsid w:val="00C17BBD"/>
    <w:rsid w:val="00C20CF1"/>
    <w:rsid w:val="00C20E9A"/>
    <w:rsid w:val="00C210D4"/>
    <w:rsid w:val="00C2122D"/>
    <w:rsid w:val="00C21E62"/>
    <w:rsid w:val="00C23018"/>
    <w:rsid w:val="00C23A9C"/>
    <w:rsid w:val="00C23BDE"/>
    <w:rsid w:val="00C23DC4"/>
    <w:rsid w:val="00C24051"/>
    <w:rsid w:val="00C2465C"/>
    <w:rsid w:val="00C25501"/>
    <w:rsid w:val="00C25712"/>
    <w:rsid w:val="00C265DF"/>
    <w:rsid w:val="00C26C95"/>
    <w:rsid w:val="00C27079"/>
    <w:rsid w:val="00C2772B"/>
    <w:rsid w:val="00C314A8"/>
    <w:rsid w:val="00C317E1"/>
    <w:rsid w:val="00C31C88"/>
    <w:rsid w:val="00C31F72"/>
    <w:rsid w:val="00C322C5"/>
    <w:rsid w:val="00C32694"/>
    <w:rsid w:val="00C33FE6"/>
    <w:rsid w:val="00C34631"/>
    <w:rsid w:val="00C35900"/>
    <w:rsid w:val="00C35E05"/>
    <w:rsid w:val="00C35E8D"/>
    <w:rsid w:val="00C3604D"/>
    <w:rsid w:val="00C36419"/>
    <w:rsid w:val="00C36612"/>
    <w:rsid w:val="00C37549"/>
    <w:rsid w:val="00C37DBB"/>
    <w:rsid w:val="00C40B0A"/>
    <w:rsid w:val="00C40BC2"/>
    <w:rsid w:val="00C40F31"/>
    <w:rsid w:val="00C413E8"/>
    <w:rsid w:val="00C41854"/>
    <w:rsid w:val="00C42005"/>
    <w:rsid w:val="00C42BFB"/>
    <w:rsid w:val="00C43B27"/>
    <w:rsid w:val="00C43F41"/>
    <w:rsid w:val="00C44465"/>
    <w:rsid w:val="00C44489"/>
    <w:rsid w:val="00C444C6"/>
    <w:rsid w:val="00C455A4"/>
    <w:rsid w:val="00C460CB"/>
    <w:rsid w:val="00C4633B"/>
    <w:rsid w:val="00C473D6"/>
    <w:rsid w:val="00C47849"/>
    <w:rsid w:val="00C50396"/>
    <w:rsid w:val="00C50BC9"/>
    <w:rsid w:val="00C51CD1"/>
    <w:rsid w:val="00C527B1"/>
    <w:rsid w:val="00C5342E"/>
    <w:rsid w:val="00C53D88"/>
    <w:rsid w:val="00C53F85"/>
    <w:rsid w:val="00C54142"/>
    <w:rsid w:val="00C54B4E"/>
    <w:rsid w:val="00C559EA"/>
    <w:rsid w:val="00C55F52"/>
    <w:rsid w:val="00C55FE5"/>
    <w:rsid w:val="00C57B1B"/>
    <w:rsid w:val="00C602B5"/>
    <w:rsid w:val="00C62558"/>
    <w:rsid w:val="00C62838"/>
    <w:rsid w:val="00C62B47"/>
    <w:rsid w:val="00C63A6B"/>
    <w:rsid w:val="00C63FE5"/>
    <w:rsid w:val="00C64078"/>
    <w:rsid w:val="00C6445C"/>
    <w:rsid w:val="00C64D8A"/>
    <w:rsid w:val="00C650C9"/>
    <w:rsid w:val="00C65340"/>
    <w:rsid w:val="00C65419"/>
    <w:rsid w:val="00C655FF"/>
    <w:rsid w:val="00C65733"/>
    <w:rsid w:val="00C65736"/>
    <w:rsid w:val="00C65ADF"/>
    <w:rsid w:val="00C65BA3"/>
    <w:rsid w:val="00C65F2C"/>
    <w:rsid w:val="00C66624"/>
    <w:rsid w:val="00C66A75"/>
    <w:rsid w:val="00C67192"/>
    <w:rsid w:val="00C674B9"/>
    <w:rsid w:val="00C7004D"/>
    <w:rsid w:val="00C70773"/>
    <w:rsid w:val="00C7085B"/>
    <w:rsid w:val="00C70AFF"/>
    <w:rsid w:val="00C712CD"/>
    <w:rsid w:val="00C71793"/>
    <w:rsid w:val="00C71D1A"/>
    <w:rsid w:val="00C723D3"/>
    <w:rsid w:val="00C742AB"/>
    <w:rsid w:val="00C750B2"/>
    <w:rsid w:val="00C7628A"/>
    <w:rsid w:val="00C76638"/>
    <w:rsid w:val="00C77C10"/>
    <w:rsid w:val="00C77F5F"/>
    <w:rsid w:val="00C80273"/>
    <w:rsid w:val="00C802A4"/>
    <w:rsid w:val="00C8056D"/>
    <w:rsid w:val="00C815C9"/>
    <w:rsid w:val="00C81B13"/>
    <w:rsid w:val="00C81DFB"/>
    <w:rsid w:val="00C82165"/>
    <w:rsid w:val="00C82EE1"/>
    <w:rsid w:val="00C837E5"/>
    <w:rsid w:val="00C847D8"/>
    <w:rsid w:val="00C852BD"/>
    <w:rsid w:val="00C85363"/>
    <w:rsid w:val="00C86F3B"/>
    <w:rsid w:val="00C87490"/>
    <w:rsid w:val="00C87C74"/>
    <w:rsid w:val="00C90757"/>
    <w:rsid w:val="00C90D10"/>
    <w:rsid w:val="00C90F17"/>
    <w:rsid w:val="00C91181"/>
    <w:rsid w:val="00C912C4"/>
    <w:rsid w:val="00C91484"/>
    <w:rsid w:val="00C921FF"/>
    <w:rsid w:val="00C944C5"/>
    <w:rsid w:val="00C94B98"/>
    <w:rsid w:val="00C95947"/>
    <w:rsid w:val="00C95CBA"/>
    <w:rsid w:val="00C96002"/>
    <w:rsid w:val="00C96B48"/>
    <w:rsid w:val="00C97028"/>
    <w:rsid w:val="00C9732C"/>
    <w:rsid w:val="00C97EFD"/>
    <w:rsid w:val="00CA00EB"/>
    <w:rsid w:val="00CA0260"/>
    <w:rsid w:val="00CA06CE"/>
    <w:rsid w:val="00CA0991"/>
    <w:rsid w:val="00CA0F3D"/>
    <w:rsid w:val="00CA112A"/>
    <w:rsid w:val="00CA1655"/>
    <w:rsid w:val="00CA1BD6"/>
    <w:rsid w:val="00CA1D82"/>
    <w:rsid w:val="00CA232E"/>
    <w:rsid w:val="00CA29F3"/>
    <w:rsid w:val="00CA3310"/>
    <w:rsid w:val="00CA4023"/>
    <w:rsid w:val="00CA427B"/>
    <w:rsid w:val="00CA4CE5"/>
    <w:rsid w:val="00CA4F43"/>
    <w:rsid w:val="00CA546C"/>
    <w:rsid w:val="00CA5627"/>
    <w:rsid w:val="00CA5629"/>
    <w:rsid w:val="00CA60EC"/>
    <w:rsid w:val="00CA63B4"/>
    <w:rsid w:val="00CA7CD7"/>
    <w:rsid w:val="00CA7D49"/>
    <w:rsid w:val="00CB0DAB"/>
    <w:rsid w:val="00CB1759"/>
    <w:rsid w:val="00CB2860"/>
    <w:rsid w:val="00CB2B7B"/>
    <w:rsid w:val="00CB2F31"/>
    <w:rsid w:val="00CB2FFD"/>
    <w:rsid w:val="00CB37AB"/>
    <w:rsid w:val="00CB37FF"/>
    <w:rsid w:val="00CB3A05"/>
    <w:rsid w:val="00CB45BD"/>
    <w:rsid w:val="00CB47F4"/>
    <w:rsid w:val="00CB4B0C"/>
    <w:rsid w:val="00CB51A4"/>
    <w:rsid w:val="00CB546E"/>
    <w:rsid w:val="00CB59D6"/>
    <w:rsid w:val="00CB5A87"/>
    <w:rsid w:val="00CB65EF"/>
    <w:rsid w:val="00CB6C28"/>
    <w:rsid w:val="00CB77DB"/>
    <w:rsid w:val="00CB78F2"/>
    <w:rsid w:val="00CC013E"/>
    <w:rsid w:val="00CC051D"/>
    <w:rsid w:val="00CC0FD4"/>
    <w:rsid w:val="00CC1129"/>
    <w:rsid w:val="00CC1D9B"/>
    <w:rsid w:val="00CC2ADB"/>
    <w:rsid w:val="00CC30F8"/>
    <w:rsid w:val="00CC41FA"/>
    <w:rsid w:val="00CC47AE"/>
    <w:rsid w:val="00CC7CAD"/>
    <w:rsid w:val="00CC7CD2"/>
    <w:rsid w:val="00CC7E10"/>
    <w:rsid w:val="00CD02B5"/>
    <w:rsid w:val="00CD0429"/>
    <w:rsid w:val="00CD1022"/>
    <w:rsid w:val="00CD1226"/>
    <w:rsid w:val="00CD1648"/>
    <w:rsid w:val="00CD164B"/>
    <w:rsid w:val="00CD2A8D"/>
    <w:rsid w:val="00CD2F8C"/>
    <w:rsid w:val="00CD31FF"/>
    <w:rsid w:val="00CD3215"/>
    <w:rsid w:val="00CD3582"/>
    <w:rsid w:val="00CD3BB9"/>
    <w:rsid w:val="00CD3D2A"/>
    <w:rsid w:val="00CD3E5D"/>
    <w:rsid w:val="00CD3E5F"/>
    <w:rsid w:val="00CD40AB"/>
    <w:rsid w:val="00CD4424"/>
    <w:rsid w:val="00CD44C0"/>
    <w:rsid w:val="00CD497E"/>
    <w:rsid w:val="00CD4E58"/>
    <w:rsid w:val="00CD521A"/>
    <w:rsid w:val="00CD62F0"/>
    <w:rsid w:val="00CD70B7"/>
    <w:rsid w:val="00CD75EB"/>
    <w:rsid w:val="00CD78C3"/>
    <w:rsid w:val="00CD7A90"/>
    <w:rsid w:val="00CD7B06"/>
    <w:rsid w:val="00CD7DC2"/>
    <w:rsid w:val="00CD7F6F"/>
    <w:rsid w:val="00CE00C6"/>
    <w:rsid w:val="00CE0823"/>
    <w:rsid w:val="00CE0841"/>
    <w:rsid w:val="00CE19A7"/>
    <w:rsid w:val="00CE1A55"/>
    <w:rsid w:val="00CE233D"/>
    <w:rsid w:val="00CE287A"/>
    <w:rsid w:val="00CE3FFC"/>
    <w:rsid w:val="00CE489C"/>
    <w:rsid w:val="00CE4C34"/>
    <w:rsid w:val="00CE4C55"/>
    <w:rsid w:val="00CE4CBD"/>
    <w:rsid w:val="00CE515F"/>
    <w:rsid w:val="00CE5CFA"/>
    <w:rsid w:val="00CE635D"/>
    <w:rsid w:val="00CF0093"/>
    <w:rsid w:val="00CF0997"/>
    <w:rsid w:val="00CF0CC4"/>
    <w:rsid w:val="00CF0EF2"/>
    <w:rsid w:val="00CF0F30"/>
    <w:rsid w:val="00CF1347"/>
    <w:rsid w:val="00CF1705"/>
    <w:rsid w:val="00CF19C6"/>
    <w:rsid w:val="00CF1E74"/>
    <w:rsid w:val="00CF1EC8"/>
    <w:rsid w:val="00CF1FFA"/>
    <w:rsid w:val="00CF27E9"/>
    <w:rsid w:val="00CF30D4"/>
    <w:rsid w:val="00CF35DC"/>
    <w:rsid w:val="00CF3686"/>
    <w:rsid w:val="00CF3705"/>
    <w:rsid w:val="00CF3971"/>
    <w:rsid w:val="00CF401F"/>
    <w:rsid w:val="00CF4D1E"/>
    <w:rsid w:val="00CF4D45"/>
    <w:rsid w:val="00CF4E0B"/>
    <w:rsid w:val="00CF5258"/>
    <w:rsid w:val="00CF5BDC"/>
    <w:rsid w:val="00CF61E0"/>
    <w:rsid w:val="00CF6292"/>
    <w:rsid w:val="00CF6451"/>
    <w:rsid w:val="00CF70F9"/>
    <w:rsid w:val="00CF7A31"/>
    <w:rsid w:val="00CF7F7A"/>
    <w:rsid w:val="00D00382"/>
    <w:rsid w:val="00D003A9"/>
    <w:rsid w:val="00D00E85"/>
    <w:rsid w:val="00D01482"/>
    <w:rsid w:val="00D01512"/>
    <w:rsid w:val="00D019DE"/>
    <w:rsid w:val="00D01AA3"/>
    <w:rsid w:val="00D01CCA"/>
    <w:rsid w:val="00D02788"/>
    <w:rsid w:val="00D02C75"/>
    <w:rsid w:val="00D03258"/>
    <w:rsid w:val="00D03CF1"/>
    <w:rsid w:val="00D040BA"/>
    <w:rsid w:val="00D046B9"/>
    <w:rsid w:val="00D04CAC"/>
    <w:rsid w:val="00D054D7"/>
    <w:rsid w:val="00D06246"/>
    <w:rsid w:val="00D06738"/>
    <w:rsid w:val="00D06A38"/>
    <w:rsid w:val="00D07C41"/>
    <w:rsid w:val="00D1059E"/>
    <w:rsid w:val="00D1088E"/>
    <w:rsid w:val="00D108F1"/>
    <w:rsid w:val="00D1104F"/>
    <w:rsid w:val="00D1177F"/>
    <w:rsid w:val="00D11CDE"/>
    <w:rsid w:val="00D12036"/>
    <w:rsid w:val="00D121F6"/>
    <w:rsid w:val="00D124C8"/>
    <w:rsid w:val="00D126DD"/>
    <w:rsid w:val="00D13123"/>
    <w:rsid w:val="00D13901"/>
    <w:rsid w:val="00D1443A"/>
    <w:rsid w:val="00D14571"/>
    <w:rsid w:val="00D1477F"/>
    <w:rsid w:val="00D14911"/>
    <w:rsid w:val="00D14937"/>
    <w:rsid w:val="00D14A20"/>
    <w:rsid w:val="00D14A51"/>
    <w:rsid w:val="00D14A6B"/>
    <w:rsid w:val="00D14AF8"/>
    <w:rsid w:val="00D152CB"/>
    <w:rsid w:val="00D156BF"/>
    <w:rsid w:val="00D1797F"/>
    <w:rsid w:val="00D17B92"/>
    <w:rsid w:val="00D2056D"/>
    <w:rsid w:val="00D20839"/>
    <w:rsid w:val="00D20A8A"/>
    <w:rsid w:val="00D20FE7"/>
    <w:rsid w:val="00D21281"/>
    <w:rsid w:val="00D218F8"/>
    <w:rsid w:val="00D21AA1"/>
    <w:rsid w:val="00D21B92"/>
    <w:rsid w:val="00D2214E"/>
    <w:rsid w:val="00D22831"/>
    <w:rsid w:val="00D22C44"/>
    <w:rsid w:val="00D22EBB"/>
    <w:rsid w:val="00D23BFD"/>
    <w:rsid w:val="00D23C53"/>
    <w:rsid w:val="00D2441D"/>
    <w:rsid w:val="00D24479"/>
    <w:rsid w:val="00D249E0"/>
    <w:rsid w:val="00D24C94"/>
    <w:rsid w:val="00D24DD0"/>
    <w:rsid w:val="00D24E0A"/>
    <w:rsid w:val="00D25D55"/>
    <w:rsid w:val="00D266D2"/>
    <w:rsid w:val="00D266E6"/>
    <w:rsid w:val="00D26AE6"/>
    <w:rsid w:val="00D26D93"/>
    <w:rsid w:val="00D26ED4"/>
    <w:rsid w:val="00D26F8D"/>
    <w:rsid w:val="00D27932"/>
    <w:rsid w:val="00D27C2B"/>
    <w:rsid w:val="00D30B42"/>
    <w:rsid w:val="00D30F38"/>
    <w:rsid w:val="00D31228"/>
    <w:rsid w:val="00D313B9"/>
    <w:rsid w:val="00D319AB"/>
    <w:rsid w:val="00D327B2"/>
    <w:rsid w:val="00D32AEC"/>
    <w:rsid w:val="00D32C9F"/>
    <w:rsid w:val="00D32EDF"/>
    <w:rsid w:val="00D33035"/>
    <w:rsid w:val="00D3310F"/>
    <w:rsid w:val="00D338C0"/>
    <w:rsid w:val="00D33B7B"/>
    <w:rsid w:val="00D342DB"/>
    <w:rsid w:val="00D34BA3"/>
    <w:rsid w:val="00D35B7D"/>
    <w:rsid w:val="00D36180"/>
    <w:rsid w:val="00D36519"/>
    <w:rsid w:val="00D36566"/>
    <w:rsid w:val="00D36A34"/>
    <w:rsid w:val="00D36A5C"/>
    <w:rsid w:val="00D36BD3"/>
    <w:rsid w:val="00D36F3A"/>
    <w:rsid w:val="00D37AEF"/>
    <w:rsid w:val="00D37DE0"/>
    <w:rsid w:val="00D409B0"/>
    <w:rsid w:val="00D40EF0"/>
    <w:rsid w:val="00D416A9"/>
    <w:rsid w:val="00D41AF6"/>
    <w:rsid w:val="00D431F2"/>
    <w:rsid w:val="00D44426"/>
    <w:rsid w:val="00D44987"/>
    <w:rsid w:val="00D449C5"/>
    <w:rsid w:val="00D4505B"/>
    <w:rsid w:val="00D45723"/>
    <w:rsid w:val="00D4621C"/>
    <w:rsid w:val="00D46951"/>
    <w:rsid w:val="00D47D1D"/>
    <w:rsid w:val="00D47E8F"/>
    <w:rsid w:val="00D50130"/>
    <w:rsid w:val="00D50A6D"/>
    <w:rsid w:val="00D50C01"/>
    <w:rsid w:val="00D50D20"/>
    <w:rsid w:val="00D51232"/>
    <w:rsid w:val="00D51B56"/>
    <w:rsid w:val="00D520D4"/>
    <w:rsid w:val="00D524CC"/>
    <w:rsid w:val="00D52881"/>
    <w:rsid w:val="00D53405"/>
    <w:rsid w:val="00D537E2"/>
    <w:rsid w:val="00D53C2E"/>
    <w:rsid w:val="00D5509C"/>
    <w:rsid w:val="00D5532B"/>
    <w:rsid w:val="00D566E5"/>
    <w:rsid w:val="00D56A08"/>
    <w:rsid w:val="00D56A63"/>
    <w:rsid w:val="00D56ACD"/>
    <w:rsid w:val="00D56E36"/>
    <w:rsid w:val="00D57CB6"/>
    <w:rsid w:val="00D604C7"/>
    <w:rsid w:val="00D60D30"/>
    <w:rsid w:val="00D61E7D"/>
    <w:rsid w:val="00D63E8E"/>
    <w:rsid w:val="00D6402F"/>
    <w:rsid w:val="00D643A8"/>
    <w:rsid w:val="00D645F0"/>
    <w:rsid w:val="00D656B7"/>
    <w:rsid w:val="00D65B47"/>
    <w:rsid w:val="00D6603F"/>
    <w:rsid w:val="00D66A8F"/>
    <w:rsid w:val="00D66B3E"/>
    <w:rsid w:val="00D67077"/>
    <w:rsid w:val="00D670CD"/>
    <w:rsid w:val="00D7071F"/>
    <w:rsid w:val="00D70E99"/>
    <w:rsid w:val="00D71372"/>
    <w:rsid w:val="00D7232E"/>
    <w:rsid w:val="00D72736"/>
    <w:rsid w:val="00D72A3B"/>
    <w:rsid w:val="00D73094"/>
    <w:rsid w:val="00D7309C"/>
    <w:rsid w:val="00D73A04"/>
    <w:rsid w:val="00D746C6"/>
    <w:rsid w:val="00D74C77"/>
    <w:rsid w:val="00D75985"/>
    <w:rsid w:val="00D7620A"/>
    <w:rsid w:val="00D7675E"/>
    <w:rsid w:val="00D7755F"/>
    <w:rsid w:val="00D7758C"/>
    <w:rsid w:val="00D8050F"/>
    <w:rsid w:val="00D8067A"/>
    <w:rsid w:val="00D81F12"/>
    <w:rsid w:val="00D82295"/>
    <w:rsid w:val="00D82C85"/>
    <w:rsid w:val="00D82CFB"/>
    <w:rsid w:val="00D847E9"/>
    <w:rsid w:val="00D847F3"/>
    <w:rsid w:val="00D850BD"/>
    <w:rsid w:val="00D85603"/>
    <w:rsid w:val="00D85BA1"/>
    <w:rsid w:val="00D86295"/>
    <w:rsid w:val="00D8699F"/>
    <w:rsid w:val="00D86CEF"/>
    <w:rsid w:val="00D90EFC"/>
    <w:rsid w:val="00D91653"/>
    <w:rsid w:val="00D91B8E"/>
    <w:rsid w:val="00D91E1D"/>
    <w:rsid w:val="00D91F7A"/>
    <w:rsid w:val="00D92353"/>
    <w:rsid w:val="00D926BD"/>
    <w:rsid w:val="00D927AF"/>
    <w:rsid w:val="00D92A9E"/>
    <w:rsid w:val="00D93814"/>
    <w:rsid w:val="00D95534"/>
    <w:rsid w:val="00D964E1"/>
    <w:rsid w:val="00D96528"/>
    <w:rsid w:val="00D96693"/>
    <w:rsid w:val="00D97631"/>
    <w:rsid w:val="00D978CF"/>
    <w:rsid w:val="00D97B6A"/>
    <w:rsid w:val="00D97D22"/>
    <w:rsid w:val="00DA01CF"/>
    <w:rsid w:val="00DA01F8"/>
    <w:rsid w:val="00DA09EC"/>
    <w:rsid w:val="00DA1146"/>
    <w:rsid w:val="00DA14DF"/>
    <w:rsid w:val="00DA1773"/>
    <w:rsid w:val="00DA1A91"/>
    <w:rsid w:val="00DA1E50"/>
    <w:rsid w:val="00DA25C1"/>
    <w:rsid w:val="00DA3938"/>
    <w:rsid w:val="00DA39AB"/>
    <w:rsid w:val="00DA3A77"/>
    <w:rsid w:val="00DA3FFF"/>
    <w:rsid w:val="00DA412F"/>
    <w:rsid w:val="00DA42EF"/>
    <w:rsid w:val="00DA4364"/>
    <w:rsid w:val="00DA4388"/>
    <w:rsid w:val="00DA45D9"/>
    <w:rsid w:val="00DA4976"/>
    <w:rsid w:val="00DA4BD5"/>
    <w:rsid w:val="00DA53CA"/>
    <w:rsid w:val="00DA5645"/>
    <w:rsid w:val="00DA57EA"/>
    <w:rsid w:val="00DA5B34"/>
    <w:rsid w:val="00DA6F64"/>
    <w:rsid w:val="00DA71E0"/>
    <w:rsid w:val="00DA781A"/>
    <w:rsid w:val="00DA7D4A"/>
    <w:rsid w:val="00DB00E5"/>
    <w:rsid w:val="00DB102B"/>
    <w:rsid w:val="00DB1747"/>
    <w:rsid w:val="00DB1949"/>
    <w:rsid w:val="00DB1BCD"/>
    <w:rsid w:val="00DB1C3B"/>
    <w:rsid w:val="00DB2C1D"/>
    <w:rsid w:val="00DB3C0C"/>
    <w:rsid w:val="00DB40F1"/>
    <w:rsid w:val="00DB4F2D"/>
    <w:rsid w:val="00DB5329"/>
    <w:rsid w:val="00DB55AE"/>
    <w:rsid w:val="00DB5BA0"/>
    <w:rsid w:val="00DB64CC"/>
    <w:rsid w:val="00DB671D"/>
    <w:rsid w:val="00DB6BA4"/>
    <w:rsid w:val="00DB6C03"/>
    <w:rsid w:val="00DB6C36"/>
    <w:rsid w:val="00DB6E03"/>
    <w:rsid w:val="00DB70D1"/>
    <w:rsid w:val="00DB7413"/>
    <w:rsid w:val="00DB7714"/>
    <w:rsid w:val="00DB79A2"/>
    <w:rsid w:val="00DB79E9"/>
    <w:rsid w:val="00DB7BB3"/>
    <w:rsid w:val="00DC0264"/>
    <w:rsid w:val="00DC07BE"/>
    <w:rsid w:val="00DC0BA8"/>
    <w:rsid w:val="00DC11CE"/>
    <w:rsid w:val="00DC18A6"/>
    <w:rsid w:val="00DC1CCA"/>
    <w:rsid w:val="00DC1E8B"/>
    <w:rsid w:val="00DC26F4"/>
    <w:rsid w:val="00DC3273"/>
    <w:rsid w:val="00DC428D"/>
    <w:rsid w:val="00DC4B9B"/>
    <w:rsid w:val="00DC5DEA"/>
    <w:rsid w:val="00DC5F8B"/>
    <w:rsid w:val="00DC60A6"/>
    <w:rsid w:val="00DC7718"/>
    <w:rsid w:val="00DC79E9"/>
    <w:rsid w:val="00DC7E96"/>
    <w:rsid w:val="00DD11A0"/>
    <w:rsid w:val="00DD13B4"/>
    <w:rsid w:val="00DD1A27"/>
    <w:rsid w:val="00DD1B02"/>
    <w:rsid w:val="00DD2657"/>
    <w:rsid w:val="00DD36BD"/>
    <w:rsid w:val="00DD3AD0"/>
    <w:rsid w:val="00DD3E42"/>
    <w:rsid w:val="00DD3F36"/>
    <w:rsid w:val="00DD4A0E"/>
    <w:rsid w:val="00DD5096"/>
    <w:rsid w:val="00DD5495"/>
    <w:rsid w:val="00DD5B18"/>
    <w:rsid w:val="00DD5DA4"/>
    <w:rsid w:val="00DD63D1"/>
    <w:rsid w:val="00DD6732"/>
    <w:rsid w:val="00DD764E"/>
    <w:rsid w:val="00DD77F2"/>
    <w:rsid w:val="00DE00A0"/>
    <w:rsid w:val="00DE096E"/>
    <w:rsid w:val="00DE0A72"/>
    <w:rsid w:val="00DE0AE4"/>
    <w:rsid w:val="00DE142B"/>
    <w:rsid w:val="00DE1D71"/>
    <w:rsid w:val="00DE1E65"/>
    <w:rsid w:val="00DE1F42"/>
    <w:rsid w:val="00DE2935"/>
    <w:rsid w:val="00DE2979"/>
    <w:rsid w:val="00DE2A11"/>
    <w:rsid w:val="00DE2D34"/>
    <w:rsid w:val="00DE345E"/>
    <w:rsid w:val="00DE3CF1"/>
    <w:rsid w:val="00DE3F7E"/>
    <w:rsid w:val="00DE4D83"/>
    <w:rsid w:val="00DE4E5D"/>
    <w:rsid w:val="00DE4F75"/>
    <w:rsid w:val="00DE53AE"/>
    <w:rsid w:val="00DE53D5"/>
    <w:rsid w:val="00DE58E0"/>
    <w:rsid w:val="00DE5EA1"/>
    <w:rsid w:val="00DE67C0"/>
    <w:rsid w:val="00DE77DE"/>
    <w:rsid w:val="00DE7CC5"/>
    <w:rsid w:val="00DF0124"/>
    <w:rsid w:val="00DF0964"/>
    <w:rsid w:val="00DF127F"/>
    <w:rsid w:val="00DF1635"/>
    <w:rsid w:val="00DF2103"/>
    <w:rsid w:val="00DF2875"/>
    <w:rsid w:val="00DF3AE7"/>
    <w:rsid w:val="00DF3E38"/>
    <w:rsid w:val="00DF4060"/>
    <w:rsid w:val="00DF4737"/>
    <w:rsid w:val="00DF49BA"/>
    <w:rsid w:val="00DF4D50"/>
    <w:rsid w:val="00DF5D7A"/>
    <w:rsid w:val="00DF6382"/>
    <w:rsid w:val="00DF7263"/>
    <w:rsid w:val="00E00A5C"/>
    <w:rsid w:val="00E00EC6"/>
    <w:rsid w:val="00E01E69"/>
    <w:rsid w:val="00E01F66"/>
    <w:rsid w:val="00E02523"/>
    <w:rsid w:val="00E02D8C"/>
    <w:rsid w:val="00E03540"/>
    <w:rsid w:val="00E03650"/>
    <w:rsid w:val="00E03BB5"/>
    <w:rsid w:val="00E0460D"/>
    <w:rsid w:val="00E04E89"/>
    <w:rsid w:val="00E05C4E"/>
    <w:rsid w:val="00E0677A"/>
    <w:rsid w:val="00E06780"/>
    <w:rsid w:val="00E06D64"/>
    <w:rsid w:val="00E06F35"/>
    <w:rsid w:val="00E076D2"/>
    <w:rsid w:val="00E10BF2"/>
    <w:rsid w:val="00E1125F"/>
    <w:rsid w:val="00E116CA"/>
    <w:rsid w:val="00E11FAD"/>
    <w:rsid w:val="00E130B8"/>
    <w:rsid w:val="00E13856"/>
    <w:rsid w:val="00E13AAB"/>
    <w:rsid w:val="00E14CDC"/>
    <w:rsid w:val="00E14DD0"/>
    <w:rsid w:val="00E155B5"/>
    <w:rsid w:val="00E15E3E"/>
    <w:rsid w:val="00E16A1E"/>
    <w:rsid w:val="00E16CE0"/>
    <w:rsid w:val="00E17196"/>
    <w:rsid w:val="00E2094D"/>
    <w:rsid w:val="00E20C05"/>
    <w:rsid w:val="00E213E8"/>
    <w:rsid w:val="00E2142F"/>
    <w:rsid w:val="00E21E88"/>
    <w:rsid w:val="00E22A34"/>
    <w:rsid w:val="00E22AA0"/>
    <w:rsid w:val="00E22D0A"/>
    <w:rsid w:val="00E236C5"/>
    <w:rsid w:val="00E23861"/>
    <w:rsid w:val="00E24A9C"/>
    <w:rsid w:val="00E24FC8"/>
    <w:rsid w:val="00E2561C"/>
    <w:rsid w:val="00E25AEF"/>
    <w:rsid w:val="00E25D02"/>
    <w:rsid w:val="00E25D05"/>
    <w:rsid w:val="00E2603E"/>
    <w:rsid w:val="00E268B0"/>
    <w:rsid w:val="00E268D8"/>
    <w:rsid w:val="00E26AA1"/>
    <w:rsid w:val="00E26BE2"/>
    <w:rsid w:val="00E27A30"/>
    <w:rsid w:val="00E300DC"/>
    <w:rsid w:val="00E302DD"/>
    <w:rsid w:val="00E30487"/>
    <w:rsid w:val="00E30BA7"/>
    <w:rsid w:val="00E30BCB"/>
    <w:rsid w:val="00E30EA7"/>
    <w:rsid w:val="00E3106B"/>
    <w:rsid w:val="00E31C03"/>
    <w:rsid w:val="00E33050"/>
    <w:rsid w:val="00E341BF"/>
    <w:rsid w:val="00E343A4"/>
    <w:rsid w:val="00E34A1A"/>
    <w:rsid w:val="00E35A2D"/>
    <w:rsid w:val="00E35FA2"/>
    <w:rsid w:val="00E3616E"/>
    <w:rsid w:val="00E36A68"/>
    <w:rsid w:val="00E36E06"/>
    <w:rsid w:val="00E37696"/>
    <w:rsid w:val="00E3782C"/>
    <w:rsid w:val="00E37EF3"/>
    <w:rsid w:val="00E37F69"/>
    <w:rsid w:val="00E40F85"/>
    <w:rsid w:val="00E41ACF"/>
    <w:rsid w:val="00E41E15"/>
    <w:rsid w:val="00E41F43"/>
    <w:rsid w:val="00E42DE8"/>
    <w:rsid w:val="00E437C6"/>
    <w:rsid w:val="00E43B9A"/>
    <w:rsid w:val="00E45870"/>
    <w:rsid w:val="00E45D08"/>
    <w:rsid w:val="00E47FB4"/>
    <w:rsid w:val="00E50075"/>
    <w:rsid w:val="00E50443"/>
    <w:rsid w:val="00E51999"/>
    <w:rsid w:val="00E530F3"/>
    <w:rsid w:val="00E53547"/>
    <w:rsid w:val="00E538D0"/>
    <w:rsid w:val="00E54158"/>
    <w:rsid w:val="00E54D4F"/>
    <w:rsid w:val="00E54DAF"/>
    <w:rsid w:val="00E5502D"/>
    <w:rsid w:val="00E55214"/>
    <w:rsid w:val="00E55FCF"/>
    <w:rsid w:val="00E57FB1"/>
    <w:rsid w:val="00E6009D"/>
    <w:rsid w:val="00E60481"/>
    <w:rsid w:val="00E60631"/>
    <w:rsid w:val="00E60B18"/>
    <w:rsid w:val="00E6121C"/>
    <w:rsid w:val="00E6140C"/>
    <w:rsid w:val="00E6214E"/>
    <w:rsid w:val="00E621E4"/>
    <w:rsid w:val="00E62602"/>
    <w:rsid w:val="00E6264C"/>
    <w:rsid w:val="00E62896"/>
    <w:rsid w:val="00E631E3"/>
    <w:rsid w:val="00E63E7A"/>
    <w:rsid w:val="00E63F63"/>
    <w:rsid w:val="00E65419"/>
    <w:rsid w:val="00E6587F"/>
    <w:rsid w:val="00E66168"/>
    <w:rsid w:val="00E66279"/>
    <w:rsid w:val="00E66959"/>
    <w:rsid w:val="00E673C9"/>
    <w:rsid w:val="00E6750B"/>
    <w:rsid w:val="00E708B0"/>
    <w:rsid w:val="00E70DEF"/>
    <w:rsid w:val="00E70F32"/>
    <w:rsid w:val="00E71584"/>
    <w:rsid w:val="00E7189E"/>
    <w:rsid w:val="00E721B0"/>
    <w:rsid w:val="00E72243"/>
    <w:rsid w:val="00E72311"/>
    <w:rsid w:val="00E73540"/>
    <w:rsid w:val="00E73B70"/>
    <w:rsid w:val="00E73B74"/>
    <w:rsid w:val="00E73CA4"/>
    <w:rsid w:val="00E73CD4"/>
    <w:rsid w:val="00E73DCD"/>
    <w:rsid w:val="00E73F78"/>
    <w:rsid w:val="00E743B1"/>
    <w:rsid w:val="00E7497E"/>
    <w:rsid w:val="00E74BD0"/>
    <w:rsid w:val="00E75146"/>
    <w:rsid w:val="00E75448"/>
    <w:rsid w:val="00E76321"/>
    <w:rsid w:val="00E76BF2"/>
    <w:rsid w:val="00E76D7D"/>
    <w:rsid w:val="00E7704A"/>
    <w:rsid w:val="00E77787"/>
    <w:rsid w:val="00E77ED4"/>
    <w:rsid w:val="00E77F3A"/>
    <w:rsid w:val="00E80379"/>
    <w:rsid w:val="00E8055F"/>
    <w:rsid w:val="00E806BC"/>
    <w:rsid w:val="00E8165C"/>
    <w:rsid w:val="00E81715"/>
    <w:rsid w:val="00E82286"/>
    <w:rsid w:val="00E828E7"/>
    <w:rsid w:val="00E82DC8"/>
    <w:rsid w:val="00E83373"/>
    <w:rsid w:val="00E837B6"/>
    <w:rsid w:val="00E83DAA"/>
    <w:rsid w:val="00E85CAB"/>
    <w:rsid w:val="00E85D45"/>
    <w:rsid w:val="00E86210"/>
    <w:rsid w:val="00E86E0D"/>
    <w:rsid w:val="00E87150"/>
    <w:rsid w:val="00E871E7"/>
    <w:rsid w:val="00E872C8"/>
    <w:rsid w:val="00E87E2B"/>
    <w:rsid w:val="00E87F76"/>
    <w:rsid w:val="00E90240"/>
    <w:rsid w:val="00E9030D"/>
    <w:rsid w:val="00E90A36"/>
    <w:rsid w:val="00E90D9C"/>
    <w:rsid w:val="00E90E68"/>
    <w:rsid w:val="00E9163F"/>
    <w:rsid w:val="00E9243E"/>
    <w:rsid w:val="00E9289E"/>
    <w:rsid w:val="00E928B7"/>
    <w:rsid w:val="00E931D4"/>
    <w:rsid w:val="00E934C8"/>
    <w:rsid w:val="00E93A31"/>
    <w:rsid w:val="00E942D7"/>
    <w:rsid w:val="00E94357"/>
    <w:rsid w:val="00E954F7"/>
    <w:rsid w:val="00E956DB"/>
    <w:rsid w:val="00E95C6A"/>
    <w:rsid w:val="00E96750"/>
    <w:rsid w:val="00E96E79"/>
    <w:rsid w:val="00E970C1"/>
    <w:rsid w:val="00E970C9"/>
    <w:rsid w:val="00E975B4"/>
    <w:rsid w:val="00E9760D"/>
    <w:rsid w:val="00E97845"/>
    <w:rsid w:val="00EA0768"/>
    <w:rsid w:val="00EA0E29"/>
    <w:rsid w:val="00EA1562"/>
    <w:rsid w:val="00EA165D"/>
    <w:rsid w:val="00EA167B"/>
    <w:rsid w:val="00EA17A2"/>
    <w:rsid w:val="00EA20F2"/>
    <w:rsid w:val="00EA2356"/>
    <w:rsid w:val="00EA27E8"/>
    <w:rsid w:val="00EA2B5F"/>
    <w:rsid w:val="00EA3816"/>
    <w:rsid w:val="00EA4500"/>
    <w:rsid w:val="00EA49B3"/>
    <w:rsid w:val="00EA543F"/>
    <w:rsid w:val="00EA5A73"/>
    <w:rsid w:val="00EA5BFA"/>
    <w:rsid w:val="00EA6A0A"/>
    <w:rsid w:val="00EA6CBB"/>
    <w:rsid w:val="00EA7240"/>
    <w:rsid w:val="00EA72CB"/>
    <w:rsid w:val="00EA734B"/>
    <w:rsid w:val="00EA7351"/>
    <w:rsid w:val="00EA755C"/>
    <w:rsid w:val="00EB082F"/>
    <w:rsid w:val="00EB148F"/>
    <w:rsid w:val="00EB1676"/>
    <w:rsid w:val="00EB1FD8"/>
    <w:rsid w:val="00EB2A8A"/>
    <w:rsid w:val="00EB2B7D"/>
    <w:rsid w:val="00EB35C0"/>
    <w:rsid w:val="00EB3D31"/>
    <w:rsid w:val="00EB3E3A"/>
    <w:rsid w:val="00EB448B"/>
    <w:rsid w:val="00EB44F0"/>
    <w:rsid w:val="00EB4CF4"/>
    <w:rsid w:val="00EB4EA1"/>
    <w:rsid w:val="00EB4FEB"/>
    <w:rsid w:val="00EB53B0"/>
    <w:rsid w:val="00EB55C6"/>
    <w:rsid w:val="00EB6633"/>
    <w:rsid w:val="00EB69F9"/>
    <w:rsid w:val="00EB6E6A"/>
    <w:rsid w:val="00EB7015"/>
    <w:rsid w:val="00EB7D20"/>
    <w:rsid w:val="00EB7F7F"/>
    <w:rsid w:val="00EC05AB"/>
    <w:rsid w:val="00EC06C2"/>
    <w:rsid w:val="00EC0B46"/>
    <w:rsid w:val="00EC0ED8"/>
    <w:rsid w:val="00EC0EDB"/>
    <w:rsid w:val="00EC1255"/>
    <w:rsid w:val="00EC1517"/>
    <w:rsid w:val="00EC1D36"/>
    <w:rsid w:val="00EC241B"/>
    <w:rsid w:val="00EC3132"/>
    <w:rsid w:val="00EC482A"/>
    <w:rsid w:val="00EC4D51"/>
    <w:rsid w:val="00EC58F9"/>
    <w:rsid w:val="00EC5CDA"/>
    <w:rsid w:val="00EC6101"/>
    <w:rsid w:val="00EC6FCD"/>
    <w:rsid w:val="00EC7530"/>
    <w:rsid w:val="00EC7C22"/>
    <w:rsid w:val="00EC7FCD"/>
    <w:rsid w:val="00ED018C"/>
    <w:rsid w:val="00ED0503"/>
    <w:rsid w:val="00ED07CB"/>
    <w:rsid w:val="00ED0F73"/>
    <w:rsid w:val="00ED17D7"/>
    <w:rsid w:val="00ED269E"/>
    <w:rsid w:val="00ED38E8"/>
    <w:rsid w:val="00ED3AEF"/>
    <w:rsid w:val="00ED3E9E"/>
    <w:rsid w:val="00ED53D0"/>
    <w:rsid w:val="00ED557C"/>
    <w:rsid w:val="00ED5621"/>
    <w:rsid w:val="00ED608F"/>
    <w:rsid w:val="00ED6288"/>
    <w:rsid w:val="00ED6531"/>
    <w:rsid w:val="00ED6DAE"/>
    <w:rsid w:val="00ED70C6"/>
    <w:rsid w:val="00ED72F6"/>
    <w:rsid w:val="00ED7AE1"/>
    <w:rsid w:val="00EE01CB"/>
    <w:rsid w:val="00EE0620"/>
    <w:rsid w:val="00EE0669"/>
    <w:rsid w:val="00EE0E98"/>
    <w:rsid w:val="00EE1078"/>
    <w:rsid w:val="00EE144E"/>
    <w:rsid w:val="00EE15D4"/>
    <w:rsid w:val="00EE19AD"/>
    <w:rsid w:val="00EE1B05"/>
    <w:rsid w:val="00EE1BE2"/>
    <w:rsid w:val="00EE1FEA"/>
    <w:rsid w:val="00EE2E8B"/>
    <w:rsid w:val="00EE2EDF"/>
    <w:rsid w:val="00EE337A"/>
    <w:rsid w:val="00EE34D5"/>
    <w:rsid w:val="00EE3548"/>
    <w:rsid w:val="00EE3C6E"/>
    <w:rsid w:val="00EE4FB6"/>
    <w:rsid w:val="00EE5201"/>
    <w:rsid w:val="00EE55CD"/>
    <w:rsid w:val="00EE58D6"/>
    <w:rsid w:val="00EE5F12"/>
    <w:rsid w:val="00EE5FC2"/>
    <w:rsid w:val="00EE695E"/>
    <w:rsid w:val="00EE6DC3"/>
    <w:rsid w:val="00EE7423"/>
    <w:rsid w:val="00EE7C3D"/>
    <w:rsid w:val="00EE7CCB"/>
    <w:rsid w:val="00EF1373"/>
    <w:rsid w:val="00EF1C19"/>
    <w:rsid w:val="00EF2374"/>
    <w:rsid w:val="00EF2A90"/>
    <w:rsid w:val="00EF3653"/>
    <w:rsid w:val="00EF3779"/>
    <w:rsid w:val="00EF3F77"/>
    <w:rsid w:val="00EF4782"/>
    <w:rsid w:val="00EF501E"/>
    <w:rsid w:val="00EF537D"/>
    <w:rsid w:val="00EF5AF9"/>
    <w:rsid w:val="00EF5EA5"/>
    <w:rsid w:val="00EF607C"/>
    <w:rsid w:val="00EF64FB"/>
    <w:rsid w:val="00EF65A0"/>
    <w:rsid w:val="00EF72F8"/>
    <w:rsid w:val="00EF7605"/>
    <w:rsid w:val="00EF7844"/>
    <w:rsid w:val="00EF78FD"/>
    <w:rsid w:val="00F00050"/>
    <w:rsid w:val="00F008C9"/>
    <w:rsid w:val="00F00BF8"/>
    <w:rsid w:val="00F00D2B"/>
    <w:rsid w:val="00F00F78"/>
    <w:rsid w:val="00F01655"/>
    <w:rsid w:val="00F016D3"/>
    <w:rsid w:val="00F01F53"/>
    <w:rsid w:val="00F020DB"/>
    <w:rsid w:val="00F02ADC"/>
    <w:rsid w:val="00F02CAA"/>
    <w:rsid w:val="00F02DB2"/>
    <w:rsid w:val="00F031F5"/>
    <w:rsid w:val="00F042F4"/>
    <w:rsid w:val="00F04FEF"/>
    <w:rsid w:val="00F0565E"/>
    <w:rsid w:val="00F0711B"/>
    <w:rsid w:val="00F07A7E"/>
    <w:rsid w:val="00F07C20"/>
    <w:rsid w:val="00F1001D"/>
    <w:rsid w:val="00F10625"/>
    <w:rsid w:val="00F1086F"/>
    <w:rsid w:val="00F11063"/>
    <w:rsid w:val="00F117B7"/>
    <w:rsid w:val="00F11C6A"/>
    <w:rsid w:val="00F12168"/>
    <w:rsid w:val="00F12D16"/>
    <w:rsid w:val="00F1314C"/>
    <w:rsid w:val="00F1333F"/>
    <w:rsid w:val="00F1342B"/>
    <w:rsid w:val="00F1384B"/>
    <w:rsid w:val="00F13AA8"/>
    <w:rsid w:val="00F13AFF"/>
    <w:rsid w:val="00F153CF"/>
    <w:rsid w:val="00F1574C"/>
    <w:rsid w:val="00F1639F"/>
    <w:rsid w:val="00F16671"/>
    <w:rsid w:val="00F175D9"/>
    <w:rsid w:val="00F20CCA"/>
    <w:rsid w:val="00F2101B"/>
    <w:rsid w:val="00F21A45"/>
    <w:rsid w:val="00F23530"/>
    <w:rsid w:val="00F235B3"/>
    <w:rsid w:val="00F240AC"/>
    <w:rsid w:val="00F24CF9"/>
    <w:rsid w:val="00F24FCC"/>
    <w:rsid w:val="00F25138"/>
    <w:rsid w:val="00F252B6"/>
    <w:rsid w:val="00F253C5"/>
    <w:rsid w:val="00F25F4B"/>
    <w:rsid w:val="00F26317"/>
    <w:rsid w:val="00F263A9"/>
    <w:rsid w:val="00F267BF"/>
    <w:rsid w:val="00F26DE4"/>
    <w:rsid w:val="00F270DF"/>
    <w:rsid w:val="00F2767A"/>
    <w:rsid w:val="00F2790A"/>
    <w:rsid w:val="00F30858"/>
    <w:rsid w:val="00F30C00"/>
    <w:rsid w:val="00F30D1D"/>
    <w:rsid w:val="00F30D4F"/>
    <w:rsid w:val="00F3147C"/>
    <w:rsid w:val="00F31C8B"/>
    <w:rsid w:val="00F31F62"/>
    <w:rsid w:val="00F321CD"/>
    <w:rsid w:val="00F332F4"/>
    <w:rsid w:val="00F338A8"/>
    <w:rsid w:val="00F33B37"/>
    <w:rsid w:val="00F33B9C"/>
    <w:rsid w:val="00F33E3E"/>
    <w:rsid w:val="00F33E9D"/>
    <w:rsid w:val="00F342CC"/>
    <w:rsid w:val="00F346C1"/>
    <w:rsid w:val="00F34CF0"/>
    <w:rsid w:val="00F354FE"/>
    <w:rsid w:val="00F35D86"/>
    <w:rsid w:val="00F36609"/>
    <w:rsid w:val="00F36763"/>
    <w:rsid w:val="00F372D1"/>
    <w:rsid w:val="00F37426"/>
    <w:rsid w:val="00F377D2"/>
    <w:rsid w:val="00F37B42"/>
    <w:rsid w:val="00F401D8"/>
    <w:rsid w:val="00F4135C"/>
    <w:rsid w:val="00F4166B"/>
    <w:rsid w:val="00F41C54"/>
    <w:rsid w:val="00F41D61"/>
    <w:rsid w:val="00F41FFB"/>
    <w:rsid w:val="00F423AC"/>
    <w:rsid w:val="00F426AF"/>
    <w:rsid w:val="00F427BF"/>
    <w:rsid w:val="00F42918"/>
    <w:rsid w:val="00F43602"/>
    <w:rsid w:val="00F44031"/>
    <w:rsid w:val="00F447BE"/>
    <w:rsid w:val="00F4490F"/>
    <w:rsid w:val="00F44FF1"/>
    <w:rsid w:val="00F45323"/>
    <w:rsid w:val="00F4557C"/>
    <w:rsid w:val="00F4560F"/>
    <w:rsid w:val="00F459E4"/>
    <w:rsid w:val="00F45A33"/>
    <w:rsid w:val="00F45BCC"/>
    <w:rsid w:val="00F45DA9"/>
    <w:rsid w:val="00F460CB"/>
    <w:rsid w:val="00F4643D"/>
    <w:rsid w:val="00F46B90"/>
    <w:rsid w:val="00F46BAB"/>
    <w:rsid w:val="00F46C80"/>
    <w:rsid w:val="00F46D53"/>
    <w:rsid w:val="00F46F3A"/>
    <w:rsid w:val="00F47632"/>
    <w:rsid w:val="00F476F9"/>
    <w:rsid w:val="00F4788D"/>
    <w:rsid w:val="00F50308"/>
    <w:rsid w:val="00F50D37"/>
    <w:rsid w:val="00F5148E"/>
    <w:rsid w:val="00F51FDD"/>
    <w:rsid w:val="00F5205D"/>
    <w:rsid w:val="00F52673"/>
    <w:rsid w:val="00F526CC"/>
    <w:rsid w:val="00F52FCD"/>
    <w:rsid w:val="00F534CF"/>
    <w:rsid w:val="00F53C79"/>
    <w:rsid w:val="00F53CB0"/>
    <w:rsid w:val="00F53F1D"/>
    <w:rsid w:val="00F543DC"/>
    <w:rsid w:val="00F5444B"/>
    <w:rsid w:val="00F544CE"/>
    <w:rsid w:val="00F5499B"/>
    <w:rsid w:val="00F54B0E"/>
    <w:rsid w:val="00F54F46"/>
    <w:rsid w:val="00F55DEC"/>
    <w:rsid w:val="00F56245"/>
    <w:rsid w:val="00F56278"/>
    <w:rsid w:val="00F56354"/>
    <w:rsid w:val="00F56518"/>
    <w:rsid w:val="00F56690"/>
    <w:rsid w:val="00F568F0"/>
    <w:rsid w:val="00F56F30"/>
    <w:rsid w:val="00F56F6F"/>
    <w:rsid w:val="00F574B3"/>
    <w:rsid w:val="00F5763D"/>
    <w:rsid w:val="00F57BCD"/>
    <w:rsid w:val="00F60425"/>
    <w:rsid w:val="00F60551"/>
    <w:rsid w:val="00F61139"/>
    <w:rsid w:val="00F61971"/>
    <w:rsid w:val="00F62EA2"/>
    <w:rsid w:val="00F62FA2"/>
    <w:rsid w:val="00F64235"/>
    <w:rsid w:val="00F64284"/>
    <w:rsid w:val="00F64A9D"/>
    <w:rsid w:val="00F64AA2"/>
    <w:rsid w:val="00F64B2A"/>
    <w:rsid w:val="00F64FFC"/>
    <w:rsid w:val="00F65FFE"/>
    <w:rsid w:val="00F66B35"/>
    <w:rsid w:val="00F66D35"/>
    <w:rsid w:val="00F67660"/>
    <w:rsid w:val="00F67D1D"/>
    <w:rsid w:val="00F67E92"/>
    <w:rsid w:val="00F67EA0"/>
    <w:rsid w:val="00F70154"/>
    <w:rsid w:val="00F70520"/>
    <w:rsid w:val="00F70F70"/>
    <w:rsid w:val="00F710B5"/>
    <w:rsid w:val="00F71729"/>
    <w:rsid w:val="00F71811"/>
    <w:rsid w:val="00F719AC"/>
    <w:rsid w:val="00F71B72"/>
    <w:rsid w:val="00F71DBC"/>
    <w:rsid w:val="00F71E9A"/>
    <w:rsid w:val="00F71ED7"/>
    <w:rsid w:val="00F725F1"/>
    <w:rsid w:val="00F7306F"/>
    <w:rsid w:val="00F734DF"/>
    <w:rsid w:val="00F73512"/>
    <w:rsid w:val="00F7372E"/>
    <w:rsid w:val="00F73805"/>
    <w:rsid w:val="00F7397E"/>
    <w:rsid w:val="00F73BC6"/>
    <w:rsid w:val="00F7445F"/>
    <w:rsid w:val="00F74663"/>
    <w:rsid w:val="00F7490B"/>
    <w:rsid w:val="00F74F6F"/>
    <w:rsid w:val="00F74FC6"/>
    <w:rsid w:val="00F75337"/>
    <w:rsid w:val="00F756FA"/>
    <w:rsid w:val="00F757BC"/>
    <w:rsid w:val="00F758C8"/>
    <w:rsid w:val="00F75F27"/>
    <w:rsid w:val="00F76699"/>
    <w:rsid w:val="00F76FE7"/>
    <w:rsid w:val="00F76FF8"/>
    <w:rsid w:val="00F775E2"/>
    <w:rsid w:val="00F7780E"/>
    <w:rsid w:val="00F77B04"/>
    <w:rsid w:val="00F8003C"/>
    <w:rsid w:val="00F80701"/>
    <w:rsid w:val="00F807FB"/>
    <w:rsid w:val="00F80D8A"/>
    <w:rsid w:val="00F80FB3"/>
    <w:rsid w:val="00F8145A"/>
    <w:rsid w:val="00F81A18"/>
    <w:rsid w:val="00F8254C"/>
    <w:rsid w:val="00F83737"/>
    <w:rsid w:val="00F83781"/>
    <w:rsid w:val="00F83A8E"/>
    <w:rsid w:val="00F843AF"/>
    <w:rsid w:val="00F84A73"/>
    <w:rsid w:val="00F85A0B"/>
    <w:rsid w:val="00F86D69"/>
    <w:rsid w:val="00F8718B"/>
    <w:rsid w:val="00F8787A"/>
    <w:rsid w:val="00F90B25"/>
    <w:rsid w:val="00F90E61"/>
    <w:rsid w:val="00F91BF2"/>
    <w:rsid w:val="00F91C4F"/>
    <w:rsid w:val="00F91C9B"/>
    <w:rsid w:val="00F92676"/>
    <w:rsid w:val="00F926C7"/>
    <w:rsid w:val="00F93AB4"/>
    <w:rsid w:val="00F93DDA"/>
    <w:rsid w:val="00F93E54"/>
    <w:rsid w:val="00F942FA"/>
    <w:rsid w:val="00F946A5"/>
    <w:rsid w:val="00F9474F"/>
    <w:rsid w:val="00F94ABE"/>
    <w:rsid w:val="00F96173"/>
    <w:rsid w:val="00F96679"/>
    <w:rsid w:val="00F96B50"/>
    <w:rsid w:val="00F96F94"/>
    <w:rsid w:val="00F971B6"/>
    <w:rsid w:val="00F9725D"/>
    <w:rsid w:val="00F9725F"/>
    <w:rsid w:val="00F97471"/>
    <w:rsid w:val="00F97591"/>
    <w:rsid w:val="00F97607"/>
    <w:rsid w:val="00FA0E9B"/>
    <w:rsid w:val="00FA1554"/>
    <w:rsid w:val="00FA2218"/>
    <w:rsid w:val="00FA28A3"/>
    <w:rsid w:val="00FA2E0F"/>
    <w:rsid w:val="00FA313A"/>
    <w:rsid w:val="00FA3394"/>
    <w:rsid w:val="00FA39C6"/>
    <w:rsid w:val="00FA42A6"/>
    <w:rsid w:val="00FA4878"/>
    <w:rsid w:val="00FA4A3B"/>
    <w:rsid w:val="00FA4C3C"/>
    <w:rsid w:val="00FA4CDB"/>
    <w:rsid w:val="00FA5993"/>
    <w:rsid w:val="00FA5D45"/>
    <w:rsid w:val="00FA6013"/>
    <w:rsid w:val="00FA707A"/>
    <w:rsid w:val="00FA75EF"/>
    <w:rsid w:val="00FA7885"/>
    <w:rsid w:val="00FA788F"/>
    <w:rsid w:val="00FA7BEC"/>
    <w:rsid w:val="00FA7FC6"/>
    <w:rsid w:val="00FB0382"/>
    <w:rsid w:val="00FB04F8"/>
    <w:rsid w:val="00FB2132"/>
    <w:rsid w:val="00FB23AD"/>
    <w:rsid w:val="00FB35C5"/>
    <w:rsid w:val="00FB3FB4"/>
    <w:rsid w:val="00FB47F6"/>
    <w:rsid w:val="00FB4F46"/>
    <w:rsid w:val="00FB5612"/>
    <w:rsid w:val="00FB5AF7"/>
    <w:rsid w:val="00FC11E0"/>
    <w:rsid w:val="00FC3F86"/>
    <w:rsid w:val="00FC40CF"/>
    <w:rsid w:val="00FC4B0C"/>
    <w:rsid w:val="00FC4DC9"/>
    <w:rsid w:val="00FC4F0B"/>
    <w:rsid w:val="00FC5448"/>
    <w:rsid w:val="00FC5636"/>
    <w:rsid w:val="00FC5A59"/>
    <w:rsid w:val="00FC5D24"/>
    <w:rsid w:val="00FC5F95"/>
    <w:rsid w:val="00FC6A32"/>
    <w:rsid w:val="00FC6B1A"/>
    <w:rsid w:val="00FC7207"/>
    <w:rsid w:val="00FD0121"/>
    <w:rsid w:val="00FD0159"/>
    <w:rsid w:val="00FD0B60"/>
    <w:rsid w:val="00FD0D13"/>
    <w:rsid w:val="00FD1746"/>
    <w:rsid w:val="00FD2168"/>
    <w:rsid w:val="00FD25FA"/>
    <w:rsid w:val="00FD27E9"/>
    <w:rsid w:val="00FD31FC"/>
    <w:rsid w:val="00FD3210"/>
    <w:rsid w:val="00FD5354"/>
    <w:rsid w:val="00FD55DE"/>
    <w:rsid w:val="00FD5878"/>
    <w:rsid w:val="00FD5FF2"/>
    <w:rsid w:val="00FD7DFE"/>
    <w:rsid w:val="00FE028E"/>
    <w:rsid w:val="00FE1B99"/>
    <w:rsid w:val="00FE252D"/>
    <w:rsid w:val="00FE2905"/>
    <w:rsid w:val="00FE29C0"/>
    <w:rsid w:val="00FE2A94"/>
    <w:rsid w:val="00FE38AD"/>
    <w:rsid w:val="00FE4354"/>
    <w:rsid w:val="00FE4B19"/>
    <w:rsid w:val="00FE580E"/>
    <w:rsid w:val="00FE5C58"/>
    <w:rsid w:val="00FE5CFF"/>
    <w:rsid w:val="00FE6423"/>
    <w:rsid w:val="00FE6528"/>
    <w:rsid w:val="00FE6582"/>
    <w:rsid w:val="00FE6B28"/>
    <w:rsid w:val="00FE6D95"/>
    <w:rsid w:val="00FE6E49"/>
    <w:rsid w:val="00FE7402"/>
    <w:rsid w:val="00FE7B98"/>
    <w:rsid w:val="00FE7BCE"/>
    <w:rsid w:val="00FE7D12"/>
    <w:rsid w:val="00FE7D2D"/>
    <w:rsid w:val="00FE7FF3"/>
    <w:rsid w:val="00FF08FE"/>
    <w:rsid w:val="00FF0B90"/>
    <w:rsid w:val="00FF0E51"/>
    <w:rsid w:val="00FF225F"/>
    <w:rsid w:val="00FF25E2"/>
    <w:rsid w:val="00FF30E0"/>
    <w:rsid w:val="00FF35B3"/>
    <w:rsid w:val="00FF369F"/>
    <w:rsid w:val="00FF489D"/>
    <w:rsid w:val="00FF4FD7"/>
    <w:rsid w:val="00FF51B9"/>
    <w:rsid w:val="00FF5CA8"/>
    <w:rsid w:val="00FF67DA"/>
    <w:rsid w:val="00FF685E"/>
    <w:rsid w:val="00FF6D6B"/>
    <w:rsid w:val="00FF72DC"/>
    <w:rsid w:val="00FF79EF"/>
    <w:rsid w:val="00FF7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56147638-72D9-4700-A7D2-AE3D3287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690"/>
  </w:style>
  <w:style w:type="paragraph" w:styleId="Heading1">
    <w:name w:val="heading 1"/>
    <w:basedOn w:val="Normal"/>
    <w:next w:val="Normal"/>
    <w:link w:val="Heading1Char"/>
    <w:rsid w:val="007D7560"/>
    <w:pPr>
      <w:keepNext/>
      <w:spacing w:before="240" w:after="60"/>
      <w:jc w:val="both"/>
      <w:outlineLvl w:val="0"/>
    </w:pPr>
    <w:rPr>
      <w:b/>
      <w:bCs/>
      <w:kern w:val="32"/>
      <w:sz w:val="28"/>
      <w:szCs w:val="32"/>
    </w:rPr>
  </w:style>
  <w:style w:type="paragraph" w:styleId="Heading3">
    <w:name w:val="heading 3"/>
    <w:basedOn w:val="Normal"/>
    <w:next w:val="Normal"/>
    <w:link w:val="Heading3Char1"/>
    <w:semiHidden/>
    <w:unhideWhenUsed/>
    <w:qFormat/>
    <w:rsid w:val="00E37EF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7560"/>
    <w:rPr>
      <w:b/>
      <w:bCs/>
      <w:kern w:val="32"/>
      <w:sz w:val="28"/>
      <w:szCs w:val="32"/>
    </w:rPr>
  </w:style>
  <w:style w:type="character" w:styleId="PageNumber">
    <w:name w:val="page number"/>
    <w:basedOn w:val="DefaultParagraphFont"/>
    <w:rsid w:val="00A0563A"/>
  </w:style>
  <w:style w:type="character" w:styleId="Hyperlink">
    <w:name w:val="Hyperlink"/>
    <w:rsid w:val="00796FBF"/>
    <w:rPr>
      <w:strike w:val="0"/>
      <w:dstrike w:val="0"/>
      <w:color w:val="0253B7"/>
      <w:u w:val="none"/>
      <w:effect w:val="none"/>
    </w:rPr>
  </w:style>
  <w:style w:type="character" w:customStyle="1" w:styleId="BalloonTextChar">
    <w:name w:val="Balloon Text Char"/>
    <w:rsid w:val="006A584D"/>
    <w:rPr>
      <w:rFonts w:ascii="Tahoma" w:hAnsi="Tahoma" w:cs="Tahoma"/>
      <w:sz w:val="16"/>
      <w:szCs w:val="16"/>
    </w:rPr>
  </w:style>
  <w:style w:type="character" w:customStyle="1" w:styleId="FootnoteTextChar">
    <w:name w:val="Footnote Text Char"/>
    <w:basedOn w:val="DefaultParagraphFont"/>
    <w:rsid w:val="00252AC8"/>
  </w:style>
  <w:style w:type="character" w:styleId="FootnoteReference">
    <w:name w:val="footnote reference"/>
    <w:rsid w:val="00252AC8"/>
    <w:rPr>
      <w:vertAlign w:val="superscript"/>
    </w:rPr>
  </w:style>
  <w:style w:type="table" w:styleId="TableGrid">
    <w:name w:val="Table Grid"/>
    <w:basedOn w:val="TableNormal"/>
    <w:rsid w:val="00252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rsid w:val="00617466"/>
    <w:rPr>
      <w:rFonts w:ascii="Times New Roman Bold" w:hAnsi="Times New Roman Bold"/>
      <w:b/>
      <w:bCs/>
      <w:sz w:val="24"/>
      <w:szCs w:val="24"/>
    </w:rPr>
  </w:style>
  <w:style w:type="character" w:customStyle="1" w:styleId="Heading4Char">
    <w:name w:val="Heading 4 Char"/>
    <w:rsid w:val="00617466"/>
    <w:rPr>
      <w:rFonts w:ascii="Calibri" w:hAnsi="Calibri"/>
      <w:b/>
      <w:bCs/>
      <w:sz w:val="28"/>
      <w:szCs w:val="28"/>
    </w:rPr>
  </w:style>
  <w:style w:type="paragraph" w:customStyle="1" w:styleId="Style11ptJustifiedAfter6pt">
    <w:name w:val="Style 11 pt Justified After:  6 pt"/>
    <w:basedOn w:val="Normal"/>
    <w:rsid w:val="00617466"/>
    <w:pPr>
      <w:spacing w:after="120"/>
      <w:jc w:val="both"/>
    </w:pPr>
    <w:rPr>
      <w:sz w:val="22"/>
      <w:szCs w:val="22"/>
    </w:rPr>
  </w:style>
  <w:style w:type="character" w:customStyle="1" w:styleId="FootnoteTextChar1">
    <w:name w:val="Footnote Text Char1"/>
    <w:basedOn w:val="DefaultParagraphFont"/>
    <w:rsid w:val="00617466"/>
  </w:style>
  <w:style w:type="character" w:customStyle="1" w:styleId="pprag1Char">
    <w:name w:val="pprag 1 Char"/>
    <w:rsid w:val="007D7560"/>
    <w:rPr>
      <w:b/>
      <w:bCs/>
      <w:sz w:val="34"/>
      <w:szCs w:val="28"/>
      <w:lang w:val="fr-FR"/>
    </w:rPr>
  </w:style>
  <w:style w:type="paragraph" w:customStyle="1" w:styleId="pprag2">
    <w:name w:val="pprag 2"/>
    <w:basedOn w:val="Normal"/>
    <w:next w:val="Normal"/>
    <w:link w:val="pprag2Char"/>
    <w:autoRedefine/>
    <w:qFormat/>
    <w:rsid w:val="007D7560"/>
    <w:pPr>
      <w:widowControl w:val="0"/>
      <w:numPr>
        <w:ilvl w:val="1"/>
        <w:numId w:val="12"/>
      </w:numPr>
      <w:tabs>
        <w:tab w:val="left" w:pos="737"/>
      </w:tabs>
      <w:spacing w:before="240" w:after="120" w:line="276" w:lineRule="auto"/>
      <w:jc w:val="both"/>
      <w:outlineLvl w:val="1"/>
    </w:pPr>
    <w:rPr>
      <w:rFonts w:ascii="Times New Roman Bold" w:hAnsi="Times New Roman Bold"/>
      <w:b/>
      <w:color w:val="000000"/>
      <w:sz w:val="32"/>
    </w:rPr>
  </w:style>
  <w:style w:type="character" w:customStyle="1" w:styleId="pprag2Char">
    <w:name w:val="pprag 2 Char"/>
    <w:link w:val="pprag2"/>
    <w:rsid w:val="007D7560"/>
    <w:rPr>
      <w:rFonts w:ascii="Times New Roman Bold" w:hAnsi="Times New Roman Bold"/>
      <w:b/>
      <w:color w:val="000000"/>
      <w:sz w:val="32"/>
      <w:szCs w:val="24"/>
      <w:lang w:val="fr-FR"/>
    </w:rPr>
  </w:style>
  <w:style w:type="paragraph" w:customStyle="1" w:styleId="pprag3">
    <w:name w:val="pprag 3"/>
    <w:basedOn w:val="Normal"/>
    <w:next w:val="Normal"/>
    <w:autoRedefine/>
    <w:qFormat/>
    <w:rsid w:val="007D7560"/>
    <w:pPr>
      <w:widowControl w:val="0"/>
      <w:numPr>
        <w:ilvl w:val="2"/>
        <w:numId w:val="12"/>
      </w:numPr>
      <w:tabs>
        <w:tab w:val="left" w:pos="851"/>
      </w:tabs>
      <w:spacing w:before="240" w:after="240" w:line="276" w:lineRule="auto"/>
      <w:jc w:val="both"/>
      <w:outlineLvl w:val="2"/>
    </w:pPr>
    <w:rPr>
      <w:rFonts w:ascii="Times New Roman Bold" w:hAnsi="Times New Roman Bold"/>
      <w:b/>
      <w:sz w:val="28"/>
      <w:szCs w:val="28"/>
    </w:rPr>
  </w:style>
  <w:style w:type="paragraph" w:customStyle="1" w:styleId="pprag4">
    <w:name w:val="pprag 4"/>
    <w:basedOn w:val="Normal"/>
    <w:next w:val="Normal"/>
    <w:autoRedefine/>
    <w:qFormat/>
    <w:rsid w:val="007D7560"/>
    <w:pPr>
      <w:widowControl w:val="0"/>
      <w:numPr>
        <w:ilvl w:val="3"/>
        <w:numId w:val="12"/>
      </w:numPr>
      <w:tabs>
        <w:tab w:val="left" w:pos="646"/>
      </w:tabs>
      <w:spacing w:before="120" w:after="120" w:line="276" w:lineRule="auto"/>
      <w:jc w:val="both"/>
      <w:outlineLvl w:val="3"/>
    </w:pPr>
    <w:rPr>
      <w:b/>
      <w:bCs/>
      <w:szCs w:val="28"/>
    </w:rPr>
  </w:style>
  <w:style w:type="paragraph" w:customStyle="1" w:styleId="pprag5">
    <w:name w:val="pprag 5"/>
    <w:basedOn w:val="Normal"/>
    <w:link w:val="pprag5Char"/>
    <w:autoRedefine/>
    <w:qFormat/>
    <w:rsid w:val="007D7560"/>
    <w:pPr>
      <w:numPr>
        <w:ilvl w:val="4"/>
        <w:numId w:val="12"/>
      </w:numPr>
      <w:tabs>
        <w:tab w:val="left" w:pos="1134"/>
      </w:tabs>
      <w:spacing w:before="120" w:after="120" w:line="276" w:lineRule="auto"/>
      <w:jc w:val="both"/>
      <w:outlineLvl w:val="4"/>
    </w:pPr>
    <w:rPr>
      <w:b/>
      <w:bCs/>
    </w:rPr>
  </w:style>
  <w:style w:type="character" w:customStyle="1" w:styleId="pprag5Char">
    <w:name w:val="pprag 5 Char"/>
    <w:link w:val="pprag5"/>
    <w:locked/>
    <w:rsid w:val="007D7560"/>
    <w:rPr>
      <w:b/>
      <w:bCs/>
      <w:sz w:val="24"/>
      <w:szCs w:val="24"/>
      <w:lang w:val="fr-FR"/>
    </w:rPr>
  </w:style>
  <w:style w:type="character" w:styleId="IntenseEmphasis">
    <w:name w:val="Intense Emphasis"/>
    <w:uiPriority w:val="21"/>
    <w:rsid w:val="007D7560"/>
    <w:rPr>
      <w:b/>
      <w:bCs/>
      <w:i/>
      <w:iCs/>
      <w:color w:val="4F81BD"/>
    </w:rPr>
  </w:style>
  <w:style w:type="character" w:customStyle="1" w:styleId="FooterChar">
    <w:name w:val="Footer Char"/>
    <w:uiPriority w:val="99"/>
    <w:rsid w:val="00755B4F"/>
    <w:rPr>
      <w:sz w:val="24"/>
      <w:szCs w:val="24"/>
    </w:rPr>
  </w:style>
  <w:style w:type="paragraph" w:styleId="Header">
    <w:name w:val="header"/>
    <w:basedOn w:val="Normal"/>
    <w:link w:val="HeaderChar"/>
    <w:rsid w:val="006C38B3"/>
    <w:pPr>
      <w:tabs>
        <w:tab w:val="center" w:pos="4536"/>
        <w:tab w:val="right" w:pos="9072"/>
      </w:tabs>
    </w:pPr>
  </w:style>
  <w:style w:type="character" w:customStyle="1" w:styleId="HeaderChar">
    <w:name w:val="Header Char"/>
    <w:basedOn w:val="DefaultParagraphFont"/>
    <w:link w:val="Header"/>
    <w:rsid w:val="006C38B3"/>
  </w:style>
  <w:style w:type="paragraph" w:styleId="Footer">
    <w:name w:val="footer"/>
    <w:basedOn w:val="Normal"/>
    <w:link w:val="FooterChar1"/>
    <w:rsid w:val="006C38B3"/>
    <w:pPr>
      <w:tabs>
        <w:tab w:val="center" w:pos="4536"/>
        <w:tab w:val="right" w:pos="9072"/>
      </w:tabs>
    </w:pPr>
  </w:style>
  <w:style w:type="character" w:customStyle="1" w:styleId="FooterChar1">
    <w:name w:val="Footer Char1"/>
    <w:basedOn w:val="DefaultParagraphFont"/>
    <w:link w:val="Footer"/>
    <w:uiPriority w:val="99"/>
    <w:rsid w:val="006C38B3"/>
  </w:style>
  <w:style w:type="paragraph" w:styleId="BalloonText">
    <w:name w:val="Balloon Text"/>
    <w:basedOn w:val="Normal"/>
    <w:link w:val="BalloonTextChar1"/>
    <w:rsid w:val="00E6214E"/>
    <w:rPr>
      <w:rFonts w:ascii="Tahoma" w:hAnsi="Tahoma" w:cs="Tahoma"/>
      <w:sz w:val="16"/>
      <w:szCs w:val="16"/>
    </w:rPr>
  </w:style>
  <w:style w:type="character" w:customStyle="1" w:styleId="BalloonTextChar1">
    <w:name w:val="Balloon Text Char1"/>
    <w:link w:val="BalloonText"/>
    <w:rsid w:val="00E6214E"/>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rsid w:val="00274588"/>
  </w:style>
  <w:style w:type="paragraph" w:styleId="CommentSubject">
    <w:name w:val="annotation subject"/>
    <w:basedOn w:val="CommentText"/>
    <w:next w:val="CommentText"/>
    <w:link w:val="CommentSubjectChar"/>
    <w:rsid w:val="00274588"/>
    <w:rPr>
      <w:b/>
      <w:bCs/>
    </w:rPr>
  </w:style>
  <w:style w:type="character" w:customStyle="1" w:styleId="CommentSubjectChar">
    <w:name w:val="Comment Subject Char"/>
    <w:link w:val="CommentSubject"/>
    <w:rsid w:val="00274588"/>
    <w:rPr>
      <w:b/>
      <w:bCs/>
    </w:rPr>
  </w:style>
  <w:style w:type="paragraph" w:styleId="FootnoteText">
    <w:name w:val="footnote text"/>
    <w:basedOn w:val="Normal"/>
    <w:link w:val="FootnoteTextChar2"/>
    <w:autoRedefine/>
    <w:qFormat/>
    <w:rsid w:val="00F56690"/>
    <w:pPr>
      <w:spacing w:after="60"/>
    </w:pPr>
  </w:style>
  <w:style w:type="character" w:customStyle="1" w:styleId="FootnoteTextChar2">
    <w:name w:val="Footnote Text Char2"/>
    <w:basedOn w:val="DefaultParagraphFont"/>
    <w:link w:val="FootnoteText"/>
    <w:rsid w:val="00F56690"/>
  </w:style>
  <w:style w:type="character" w:customStyle="1" w:styleId="Heading3Char1">
    <w:name w:val="Heading 3 Char1"/>
    <w:link w:val="Heading3"/>
    <w:semiHidden/>
    <w:rsid w:val="00E37EF3"/>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5485">
      <w:bodyDiv w:val="1"/>
      <w:marLeft w:val="0"/>
      <w:marRight w:val="0"/>
      <w:marTop w:val="0"/>
      <w:marBottom w:val="0"/>
      <w:divBdr>
        <w:top w:val="none" w:sz="0" w:space="0" w:color="auto"/>
        <w:left w:val="none" w:sz="0" w:space="0" w:color="auto"/>
        <w:bottom w:val="none" w:sz="0" w:space="0" w:color="auto"/>
        <w:right w:val="none" w:sz="0" w:space="0" w:color="auto"/>
      </w:divBdr>
    </w:div>
    <w:div w:id="78210875">
      <w:bodyDiv w:val="1"/>
      <w:marLeft w:val="0"/>
      <w:marRight w:val="0"/>
      <w:marTop w:val="0"/>
      <w:marBottom w:val="0"/>
      <w:divBdr>
        <w:top w:val="none" w:sz="0" w:space="0" w:color="auto"/>
        <w:left w:val="none" w:sz="0" w:space="0" w:color="auto"/>
        <w:bottom w:val="none" w:sz="0" w:space="0" w:color="auto"/>
        <w:right w:val="none" w:sz="0" w:space="0" w:color="auto"/>
      </w:divBdr>
    </w:div>
    <w:div w:id="177158361">
      <w:bodyDiv w:val="1"/>
      <w:marLeft w:val="0"/>
      <w:marRight w:val="0"/>
      <w:marTop w:val="0"/>
      <w:marBottom w:val="0"/>
      <w:divBdr>
        <w:top w:val="none" w:sz="0" w:space="0" w:color="auto"/>
        <w:left w:val="none" w:sz="0" w:space="0" w:color="auto"/>
        <w:bottom w:val="none" w:sz="0" w:space="0" w:color="auto"/>
        <w:right w:val="none" w:sz="0" w:space="0" w:color="auto"/>
      </w:divBdr>
    </w:div>
    <w:div w:id="179129958">
      <w:bodyDiv w:val="1"/>
      <w:marLeft w:val="0"/>
      <w:marRight w:val="0"/>
      <w:marTop w:val="0"/>
      <w:marBottom w:val="0"/>
      <w:divBdr>
        <w:top w:val="none" w:sz="0" w:space="0" w:color="auto"/>
        <w:left w:val="none" w:sz="0" w:space="0" w:color="auto"/>
        <w:bottom w:val="none" w:sz="0" w:space="0" w:color="auto"/>
        <w:right w:val="none" w:sz="0" w:space="0" w:color="auto"/>
      </w:divBdr>
    </w:div>
    <w:div w:id="250508836">
      <w:bodyDiv w:val="1"/>
      <w:marLeft w:val="0"/>
      <w:marRight w:val="0"/>
      <w:marTop w:val="0"/>
      <w:marBottom w:val="0"/>
      <w:divBdr>
        <w:top w:val="none" w:sz="0" w:space="0" w:color="auto"/>
        <w:left w:val="none" w:sz="0" w:space="0" w:color="auto"/>
        <w:bottom w:val="none" w:sz="0" w:space="0" w:color="auto"/>
        <w:right w:val="none" w:sz="0" w:space="0" w:color="auto"/>
      </w:divBdr>
    </w:div>
    <w:div w:id="525018604">
      <w:bodyDiv w:val="1"/>
      <w:marLeft w:val="0"/>
      <w:marRight w:val="0"/>
      <w:marTop w:val="0"/>
      <w:marBottom w:val="0"/>
      <w:divBdr>
        <w:top w:val="none" w:sz="0" w:space="0" w:color="auto"/>
        <w:left w:val="none" w:sz="0" w:space="0" w:color="auto"/>
        <w:bottom w:val="none" w:sz="0" w:space="0" w:color="auto"/>
        <w:right w:val="none" w:sz="0" w:space="0" w:color="auto"/>
      </w:divBdr>
    </w:div>
    <w:div w:id="540360378">
      <w:bodyDiv w:val="1"/>
      <w:marLeft w:val="0"/>
      <w:marRight w:val="0"/>
      <w:marTop w:val="0"/>
      <w:marBottom w:val="0"/>
      <w:divBdr>
        <w:top w:val="none" w:sz="0" w:space="0" w:color="auto"/>
        <w:left w:val="none" w:sz="0" w:space="0" w:color="auto"/>
        <w:bottom w:val="none" w:sz="0" w:space="0" w:color="auto"/>
        <w:right w:val="none" w:sz="0" w:space="0" w:color="auto"/>
      </w:divBdr>
    </w:div>
    <w:div w:id="688408044">
      <w:bodyDiv w:val="1"/>
      <w:marLeft w:val="0"/>
      <w:marRight w:val="0"/>
      <w:marTop w:val="0"/>
      <w:marBottom w:val="0"/>
      <w:divBdr>
        <w:top w:val="none" w:sz="0" w:space="0" w:color="auto"/>
        <w:left w:val="none" w:sz="0" w:space="0" w:color="auto"/>
        <w:bottom w:val="none" w:sz="0" w:space="0" w:color="auto"/>
        <w:right w:val="none" w:sz="0" w:space="0" w:color="auto"/>
      </w:divBdr>
    </w:div>
    <w:div w:id="764956170">
      <w:bodyDiv w:val="1"/>
      <w:marLeft w:val="0"/>
      <w:marRight w:val="0"/>
      <w:marTop w:val="0"/>
      <w:marBottom w:val="0"/>
      <w:divBdr>
        <w:top w:val="none" w:sz="0" w:space="0" w:color="auto"/>
        <w:left w:val="none" w:sz="0" w:space="0" w:color="auto"/>
        <w:bottom w:val="none" w:sz="0" w:space="0" w:color="auto"/>
        <w:right w:val="none" w:sz="0" w:space="0" w:color="auto"/>
      </w:divBdr>
    </w:div>
    <w:div w:id="867177284">
      <w:bodyDiv w:val="1"/>
      <w:marLeft w:val="0"/>
      <w:marRight w:val="0"/>
      <w:marTop w:val="0"/>
      <w:marBottom w:val="0"/>
      <w:divBdr>
        <w:top w:val="none" w:sz="0" w:space="0" w:color="auto"/>
        <w:left w:val="none" w:sz="0" w:space="0" w:color="auto"/>
        <w:bottom w:val="none" w:sz="0" w:space="0" w:color="auto"/>
        <w:right w:val="none" w:sz="0" w:space="0" w:color="auto"/>
      </w:divBdr>
    </w:div>
    <w:div w:id="1039235428">
      <w:bodyDiv w:val="1"/>
      <w:marLeft w:val="0"/>
      <w:marRight w:val="0"/>
      <w:marTop w:val="0"/>
      <w:marBottom w:val="0"/>
      <w:divBdr>
        <w:top w:val="none" w:sz="0" w:space="0" w:color="auto"/>
        <w:left w:val="none" w:sz="0" w:space="0" w:color="auto"/>
        <w:bottom w:val="none" w:sz="0" w:space="0" w:color="auto"/>
        <w:right w:val="none" w:sz="0" w:space="0" w:color="auto"/>
      </w:divBdr>
    </w:div>
    <w:div w:id="1053238066">
      <w:bodyDiv w:val="1"/>
      <w:marLeft w:val="0"/>
      <w:marRight w:val="0"/>
      <w:marTop w:val="0"/>
      <w:marBottom w:val="0"/>
      <w:divBdr>
        <w:top w:val="none" w:sz="0" w:space="0" w:color="auto"/>
        <w:left w:val="none" w:sz="0" w:space="0" w:color="auto"/>
        <w:bottom w:val="none" w:sz="0" w:space="0" w:color="auto"/>
        <w:right w:val="none" w:sz="0" w:space="0" w:color="auto"/>
      </w:divBdr>
    </w:div>
    <w:div w:id="1053383057">
      <w:bodyDiv w:val="1"/>
      <w:marLeft w:val="0"/>
      <w:marRight w:val="0"/>
      <w:marTop w:val="0"/>
      <w:marBottom w:val="0"/>
      <w:divBdr>
        <w:top w:val="none" w:sz="0" w:space="0" w:color="auto"/>
        <w:left w:val="none" w:sz="0" w:space="0" w:color="auto"/>
        <w:bottom w:val="none" w:sz="0" w:space="0" w:color="auto"/>
        <w:right w:val="none" w:sz="0" w:space="0" w:color="auto"/>
      </w:divBdr>
    </w:div>
    <w:div w:id="1231847154">
      <w:bodyDiv w:val="1"/>
      <w:marLeft w:val="0"/>
      <w:marRight w:val="0"/>
      <w:marTop w:val="0"/>
      <w:marBottom w:val="0"/>
      <w:divBdr>
        <w:top w:val="none" w:sz="0" w:space="0" w:color="auto"/>
        <w:left w:val="none" w:sz="0" w:space="0" w:color="auto"/>
        <w:bottom w:val="none" w:sz="0" w:space="0" w:color="auto"/>
        <w:right w:val="none" w:sz="0" w:space="0" w:color="auto"/>
      </w:divBdr>
    </w:div>
    <w:div w:id="1242176463">
      <w:bodyDiv w:val="1"/>
      <w:marLeft w:val="0"/>
      <w:marRight w:val="0"/>
      <w:marTop w:val="0"/>
      <w:marBottom w:val="0"/>
      <w:divBdr>
        <w:top w:val="none" w:sz="0" w:space="0" w:color="auto"/>
        <w:left w:val="none" w:sz="0" w:space="0" w:color="auto"/>
        <w:bottom w:val="none" w:sz="0" w:space="0" w:color="auto"/>
        <w:right w:val="none" w:sz="0" w:space="0" w:color="auto"/>
      </w:divBdr>
    </w:div>
    <w:div w:id="1486121954">
      <w:bodyDiv w:val="1"/>
      <w:marLeft w:val="0"/>
      <w:marRight w:val="0"/>
      <w:marTop w:val="0"/>
      <w:marBottom w:val="0"/>
      <w:divBdr>
        <w:top w:val="none" w:sz="0" w:space="0" w:color="auto"/>
        <w:left w:val="none" w:sz="0" w:space="0" w:color="auto"/>
        <w:bottom w:val="none" w:sz="0" w:space="0" w:color="auto"/>
        <w:right w:val="none" w:sz="0" w:space="0" w:color="auto"/>
      </w:divBdr>
    </w:div>
    <w:div w:id="1604413680">
      <w:bodyDiv w:val="1"/>
      <w:marLeft w:val="0"/>
      <w:marRight w:val="0"/>
      <w:marTop w:val="0"/>
      <w:marBottom w:val="0"/>
      <w:divBdr>
        <w:top w:val="none" w:sz="0" w:space="0" w:color="auto"/>
        <w:left w:val="none" w:sz="0" w:space="0" w:color="auto"/>
        <w:bottom w:val="none" w:sz="0" w:space="0" w:color="auto"/>
        <w:right w:val="none" w:sz="0" w:space="0" w:color="auto"/>
      </w:divBdr>
    </w:div>
    <w:div w:id="1625232380">
      <w:bodyDiv w:val="1"/>
      <w:marLeft w:val="0"/>
      <w:marRight w:val="0"/>
      <w:marTop w:val="0"/>
      <w:marBottom w:val="0"/>
      <w:divBdr>
        <w:top w:val="none" w:sz="0" w:space="0" w:color="auto"/>
        <w:left w:val="none" w:sz="0" w:space="0" w:color="auto"/>
        <w:bottom w:val="none" w:sz="0" w:space="0" w:color="auto"/>
        <w:right w:val="none" w:sz="0" w:space="0" w:color="auto"/>
      </w:divBdr>
    </w:div>
    <w:div w:id="1651666517">
      <w:bodyDiv w:val="1"/>
      <w:marLeft w:val="0"/>
      <w:marRight w:val="0"/>
      <w:marTop w:val="0"/>
      <w:marBottom w:val="0"/>
      <w:divBdr>
        <w:top w:val="none" w:sz="0" w:space="0" w:color="auto"/>
        <w:left w:val="none" w:sz="0" w:space="0" w:color="auto"/>
        <w:bottom w:val="none" w:sz="0" w:space="0" w:color="auto"/>
        <w:right w:val="none" w:sz="0" w:space="0" w:color="auto"/>
      </w:divBdr>
    </w:div>
    <w:div w:id="1669625910">
      <w:bodyDiv w:val="1"/>
      <w:marLeft w:val="0"/>
      <w:marRight w:val="0"/>
      <w:marTop w:val="0"/>
      <w:marBottom w:val="0"/>
      <w:divBdr>
        <w:top w:val="none" w:sz="0" w:space="0" w:color="auto"/>
        <w:left w:val="none" w:sz="0" w:space="0" w:color="auto"/>
        <w:bottom w:val="none" w:sz="0" w:space="0" w:color="auto"/>
        <w:right w:val="none" w:sz="0" w:space="0" w:color="auto"/>
      </w:divBdr>
      <w:divsChild>
        <w:div w:id="716508664">
          <w:marLeft w:val="0"/>
          <w:marRight w:val="0"/>
          <w:marTop w:val="0"/>
          <w:marBottom w:val="0"/>
          <w:divBdr>
            <w:top w:val="none" w:sz="0" w:space="0" w:color="auto"/>
            <w:left w:val="none" w:sz="0" w:space="0" w:color="auto"/>
            <w:bottom w:val="none" w:sz="0" w:space="0" w:color="auto"/>
            <w:right w:val="none" w:sz="0" w:space="0" w:color="auto"/>
          </w:divBdr>
          <w:divsChild>
            <w:div w:id="50752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6632">
      <w:bodyDiv w:val="1"/>
      <w:marLeft w:val="0"/>
      <w:marRight w:val="0"/>
      <w:marTop w:val="0"/>
      <w:marBottom w:val="0"/>
      <w:divBdr>
        <w:top w:val="none" w:sz="0" w:space="0" w:color="auto"/>
        <w:left w:val="none" w:sz="0" w:space="0" w:color="auto"/>
        <w:bottom w:val="none" w:sz="0" w:space="0" w:color="auto"/>
        <w:right w:val="none" w:sz="0" w:space="0" w:color="auto"/>
      </w:divBdr>
    </w:div>
    <w:div w:id="1800686047">
      <w:bodyDiv w:val="1"/>
      <w:marLeft w:val="0"/>
      <w:marRight w:val="0"/>
      <w:marTop w:val="0"/>
      <w:marBottom w:val="0"/>
      <w:divBdr>
        <w:top w:val="none" w:sz="0" w:space="0" w:color="auto"/>
        <w:left w:val="none" w:sz="0" w:space="0" w:color="auto"/>
        <w:bottom w:val="none" w:sz="0" w:space="0" w:color="auto"/>
        <w:right w:val="none" w:sz="0" w:space="0" w:color="auto"/>
      </w:divBdr>
    </w:div>
    <w:div w:id="1851290992">
      <w:bodyDiv w:val="1"/>
      <w:marLeft w:val="0"/>
      <w:marRight w:val="0"/>
      <w:marTop w:val="0"/>
      <w:marBottom w:val="0"/>
      <w:divBdr>
        <w:top w:val="none" w:sz="0" w:space="0" w:color="auto"/>
        <w:left w:val="none" w:sz="0" w:space="0" w:color="auto"/>
        <w:bottom w:val="none" w:sz="0" w:space="0" w:color="auto"/>
        <w:right w:val="none" w:sz="0" w:space="0" w:color="auto"/>
      </w:divBdr>
    </w:div>
    <w:div w:id="1864126134">
      <w:bodyDiv w:val="1"/>
      <w:marLeft w:val="0"/>
      <w:marRight w:val="0"/>
      <w:marTop w:val="0"/>
      <w:marBottom w:val="0"/>
      <w:divBdr>
        <w:top w:val="none" w:sz="0" w:space="0" w:color="auto"/>
        <w:left w:val="none" w:sz="0" w:space="0" w:color="auto"/>
        <w:bottom w:val="none" w:sz="0" w:space="0" w:color="auto"/>
        <w:right w:val="none" w:sz="0" w:space="0" w:color="auto"/>
      </w:divBdr>
    </w:div>
    <w:div w:id="1890220460">
      <w:bodyDiv w:val="1"/>
      <w:marLeft w:val="0"/>
      <w:marRight w:val="0"/>
      <w:marTop w:val="0"/>
      <w:marBottom w:val="0"/>
      <w:divBdr>
        <w:top w:val="none" w:sz="0" w:space="0" w:color="auto"/>
        <w:left w:val="none" w:sz="0" w:space="0" w:color="auto"/>
        <w:bottom w:val="none" w:sz="0" w:space="0" w:color="auto"/>
        <w:right w:val="none" w:sz="0" w:space="0" w:color="auto"/>
      </w:divBdr>
    </w:div>
    <w:div w:id="1969781017">
      <w:bodyDiv w:val="1"/>
      <w:marLeft w:val="0"/>
      <w:marRight w:val="0"/>
      <w:marTop w:val="0"/>
      <w:marBottom w:val="0"/>
      <w:divBdr>
        <w:top w:val="none" w:sz="0" w:space="0" w:color="auto"/>
        <w:left w:val="none" w:sz="0" w:space="0" w:color="auto"/>
        <w:bottom w:val="none" w:sz="0" w:space="0" w:color="auto"/>
        <w:right w:val="none" w:sz="0" w:space="0" w:color="auto"/>
      </w:divBdr>
    </w:div>
    <w:div w:id="2055305079">
      <w:bodyDiv w:val="1"/>
      <w:marLeft w:val="0"/>
      <w:marRight w:val="0"/>
      <w:marTop w:val="0"/>
      <w:marBottom w:val="0"/>
      <w:divBdr>
        <w:top w:val="none" w:sz="0" w:space="0" w:color="auto"/>
        <w:left w:val="none" w:sz="0" w:space="0" w:color="auto"/>
        <w:bottom w:val="none" w:sz="0" w:space="0" w:color="auto"/>
        <w:right w:val="none" w:sz="0" w:space="0" w:color="auto"/>
      </w:divBdr>
    </w:div>
    <w:div w:id="2061442361">
      <w:bodyDiv w:val="1"/>
      <w:marLeft w:val="0"/>
      <w:marRight w:val="0"/>
      <w:marTop w:val="0"/>
      <w:marBottom w:val="0"/>
      <w:divBdr>
        <w:top w:val="none" w:sz="0" w:space="0" w:color="auto"/>
        <w:left w:val="none" w:sz="0" w:space="0" w:color="auto"/>
        <w:bottom w:val="none" w:sz="0" w:space="0" w:color="auto"/>
        <w:right w:val="none" w:sz="0" w:space="0" w:color="auto"/>
      </w:divBdr>
    </w:div>
    <w:div w:id="2102874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5CB8C-3C22-4365-A211-D604E63ACFE4}">
  <ds:schemaRefs>
    <ds:schemaRef ds:uri="http://schemas.openxmlformats.org/officeDocument/2006/bibliography"/>
  </ds:schemaRefs>
</ds:datastoreItem>
</file>

<file path=customXml/itemProps2.xml><?xml version="1.0" encoding="utf-8"?>
<ds:datastoreItem xmlns:ds="http://schemas.openxmlformats.org/officeDocument/2006/customXml" ds:itemID="{BACA7417-F0DC-433B-85F2-9CDBF4F0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The following are general and guiding principles to evaluate the plausibility and reasonableness of a budget</vt:lpstr>
    </vt:vector>
  </TitlesOfParts>
  <Company>European Commission</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general and guiding principles to evaluate the plausibility and reasonableness of a budget</dc:title>
  <dc:subject/>
  <dc:creator>wsw</dc:creator>
  <cp:keywords/>
  <cp:lastModifiedBy>MARZANO Elisa (DEVCO)</cp:lastModifiedBy>
  <cp:revision>2</cp:revision>
  <cp:lastPrinted>2018-02-13T13:14:00Z</cp:lastPrinted>
  <dcterms:created xsi:type="dcterms:W3CDTF">2019-06-28T09:11:00Z</dcterms:created>
  <dcterms:modified xsi:type="dcterms:W3CDTF">2019-06-28T09:11:00Z</dcterms:modified>
</cp:coreProperties>
</file>