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2" w:tblpY="-173"/>
        <w:tblW w:w="10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2"/>
        <w:gridCol w:w="7687"/>
      </w:tblGrid>
      <w:tr w:rsidR="002D2BFC" w:rsidRPr="006F1964" w14:paraId="4A893AB3" w14:textId="77777777" w:rsidTr="002D2BFC">
        <w:trPr>
          <w:trHeight w:val="1301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5BB4204F" w14:textId="77777777" w:rsidR="002D2BFC" w:rsidRPr="006F1964" w:rsidRDefault="002D2BFC" w:rsidP="002D2BFC">
            <w:pPr>
              <w:pStyle w:val="Title"/>
              <w:spacing w:before="100" w:beforeAutospacing="1" w:after="100" w:afterAutospacing="1"/>
              <w:ind w:right="141"/>
              <w:rPr>
                <w:rFonts w:cs="Arial"/>
                <w:smallCaps/>
                <w:sz w:val="20"/>
              </w:rPr>
            </w:pPr>
            <w:r w:rsidRPr="006F1964">
              <w:rPr>
                <w:rFonts w:cs="Arial"/>
                <w:smallCaps/>
                <w:noProof/>
                <w:sz w:val="20"/>
                <w:lang w:eastAsia="en-GB"/>
              </w:rPr>
              <w:drawing>
                <wp:inline distT="0" distB="0" distL="0" distR="0" wp14:anchorId="4E94E7A6" wp14:editId="4187AB37">
                  <wp:extent cx="1365885" cy="677545"/>
                  <wp:effectExtent l="0" t="0" r="571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14:paraId="284860F3" w14:textId="77777777" w:rsidR="002D2BFC" w:rsidRPr="006F1964" w:rsidRDefault="002D2BFC" w:rsidP="002D2BFC">
            <w:pPr>
              <w:pStyle w:val="Title"/>
              <w:spacing w:before="100" w:beforeAutospacing="1" w:after="100" w:afterAutospacing="1"/>
              <w:ind w:right="141"/>
              <w:rPr>
                <w:rFonts w:cs="Arial"/>
                <w:smallCaps/>
                <w:sz w:val="20"/>
              </w:rPr>
            </w:pPr>
            <w:r w:rsidRPr="006F1964">
              <w:rPr>
                <w:rFonts w:cs="Arial"/>
                <w:smallCaps/>
                <w:sz w:val="20"/>
              </w:rPr>
              <w:t>EUROPEAN COMMISSION</w:t>
            </w:r>
          </w:p>
          <w:p w14:paraId="7BBC137B" w14:textId="77777777" w:rsidR="002D2BFC" w:rsidRPr="006F1964" w:rsidRDefault="002D2BFC" w:rsidP="002D2BFC">
            <w:pPr>
              <w:pStyle w:val="Title"/>
              <w:spacing w:before="100" w:beforeAutospacing="1" w:after="100" w:afterAutospacing="1"/>
              <w:ind w:right="141"/>
              <w:rPr>
                <w:rFonts w:cs="Arial"/>
                <w:smallCaps/>
                <w:sz w:val="20"/>
              </w:rPr>
            </w:pPr>
            <w:r w:rsidRPr="006F1964">
              <w:rPr>
                <w:rFonts w:cs="Arial"/>
                <w:smallCaps/>
                <w:sz w:val="20"/>
              </w:rPr>
              <w:t>Directorate General for International Cooperation and Development</w:t>
            </w:r>
          </w:p>
          <w:p w14:paraId="79444147" w14:textId="77777777" w:rsidR="002D2BFC" w:rsidRPr="006F1964" w:rsidRDefault="002D2BFC" w:rsidP="00CD7E5B">
            <w:pPr>
              <w:pStyle w:val="Title"/>
              <w:spacing w:before="100" w:beforeAutospacing="1" w:after="100" w:afterAutospacing="1"/>
              <w:ind w:right="141"/>
              <w:rPr>
                <w:rFonts w:cs="Arial"/>
                <w:smallCaps/>
                <w:sz w:val="20"/>
              </w:rPr>
            </w:pPr>
          </w:p>
        </w:tc>
      </w:tr>
    </w:tbl>
    <w:p w14:paraId="0D9DD340" w14:textId="77777777" w:rsidR="002A6A1B" w:rsidRPr="002A6A1B" w:rsidRDefault="002A6A1B" w:rsidP="002A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A6A1B">
        <w:rPr>
          <w:rFonts w:ascii="Times New Roman" w:eastAsia="Times New Roman" w:hAnsi="Times New Roman" w:cs="Times New Roman"/>
          <w:b/>
        </w:rPr>
        <w:t>Meeting of the</w:t>
      </w:r>
      <w:r w:rsidRPr="002A6A1B">
        <w:rPr>
          <w:rFonts w:ascii="Times New Roman" w:eastAsia="Times New Roman" w:hAnsi="Times New Roman" w:cs="Times New Roman"/>
        </w:rPr>
        <w:t xml:space="preserve"> </w:t>
      </w:r>
      <w:r w:rsidRPr="002A6A1B">
        <w:rPr>
          <w:rFonts w:ascii="Times New Roman" w:eastAsia="Times New Roman" w:hAnsi="Times New Roman" w:cs="Times New Roman"/>
          <w:b/>
        </w:rPr>
        <w:t>Heads of EU Evaluation Services</w:t>
      </w:r>
      <w:r w:rsidRPr="002A6A1B">
        <w:rPr>
          <w:rFonts w:ascii="Times New Roman" w:eastAsia="Times New Roman" w:hAnsi="Times New Roman" w:cs="Times New Roman"/>
          <w:b/>
        </w:rPr>
        <w:br/>
        <w:t>for External/Development Cooperation (EU-HES)</w:t>
      </w:r>
    </w:p>
    <w:p w14:paraId="7ABDF924" w14:textId="77777777" w:rsidR="00303CAC" w:rsidRPr="00740923" w:rsidRDefault="00303CAC" w:rsidP="00303CAC">
      <w:pPr>
        <w:spacing w:before="120"/>
        <w:jc w:val="center"/>
        <w:rPr>
          <w:rFonts w:ascii="Arial" w:eastAsia="Times New Roman" w:hAnsi="Arial" w:cs="Arial"/>
          <w:b/>
          <w:lang w:val="en-US"/>
        </w:rPr>
      </w:pPr>
    </w:p>
    <w:p w14:paraId="650BD170" w14:textId="6E6F36E6" w:rsidR="00BA4018" w:rsidRPr="00DB03B2" w:rsidRDefault="00BA4018" w:rsidP="00BA4018">
      <w:pPr>
        <w:spacing w:before="120"/>
        <w:rPr>
          <w:rFonts w:ascii="Arial" w:eastAsia="Times New Roman" w:hAnsi="Arial" w:cs="Arial"/>
          <w:sz w:val="20"/>
          <w:szCs w:val="20"/>
          <w:lang w:val="fr-BE"/>
        </w:rPr>
      </w:pPr>
      <w:r w:rsidRPr="00DB03B2">
        <w:rPr>
          <w:rFonts w:ascii="Arial" w:eastAsia="Times New Roman" w:hAnsi="Arial" w:cs="Arial"/>
          <w:b/>
          <w:sz w:val="20"/>
          <w:szCs w:val="20"/>
          <w:lang w:val="fr-BE"/>
        </w:rPr>
        <w:t>Date</w:t>
      </w:r>
      <w:r w:rsidRPr="00DB03B2">
        <w:rPr>
          <w:rFonts w:ascii="Arial" w:eastAsia="Times New Roman" w:hAnsi="Arial" w:cs="Arial"/>
          <w:sz w:val="20"/>
          <w:szCs w:val="20"/>
          <w:lang w:val="fr-BE"/>
        </w:rPr>
        <w:t xml:space="preserve">: </w:t>
      </w:r>
      <w:r w:rsidR="008963D3">
        <w:rPr>
          <w:rFonts w:ascii="Arial" w:eastAsia="Times New Roman" w:hAnsi="Arial" w:cs="Arial"/>
          <w:sz w:val="20"/>
          <w:szCs w:val="20"/>
          <w:lang w:val="fr-BE"/>
        </w:rPr>
        <w:t>20 June 2019</w:t>
      </w:r>
    </w:p>
    <w:p w14:paraId="116E9D2B" w14:textId="77777777" w:rsidR="00BA4018" w:rsidRPr="00DB03B2" w:rsidRDefault="00BA4018" w:rsidP="00BA4018">
      <w:pPr>
        <w:spacing w:before="120"/>
        <w:rPr>
          <w:rFonts w:ascii="Arial" w:eastAsia="Times New Roman" w:hAnsi="Arial" w:cs="Arial"/>
          <w:sz w:val="20"/>
          <w:szCs w:val="20"/>
          <w:lang w:val="fr-BE"/>
        </w:rPr>
      </w:pPr>
      <w:r w:rsidRPr="00DB03B2">
        <w:rPr>
          <w:rFonts w:ascii="Arial" w:eastAsia="Times New Roman" w:hAnsi="Arial" w:cs="Arial"/>
          <w:b/>
          <w:sz w:val="20"/>
          <w:szCs w:val="20"/>
          <w:lang w:val="fr-BE"/>
        </w:rPr>
        <w:t>Place</w:t>
      </w:r>
      <w:r w:rsidRPr="00DB03B2">
        <w:rPr>
          <w:rFonts w:ascii="Arial" w:eastAsia="Times New Roman" w:hAnsi="Arial" w:cs="Arial"/>
          <w:sz w:val="20"/>
          <w:szCs w:val="20"/>
          <w:lang w:val="fr-BE"/>
        </w:rPr>
        <w:t xml:space="preserve">: </w:t>
      </w:r>
      <w:r w:rsidR="00DB03B2" w:rsidRPr="00DB03B2">
        <w:rPr>
          <w:rFonts w:ascii="Arial" w:eastAsia="Times New Roman" w:hAnsi="Arial" w:cs="Arial"/>
          <w:sz w:val="20"/>
          <w:szCs w:val="20"/>
          <w:lang w:val="fr-BE"/>
        </w:rPr>
        <w:t>DG DEVCO, Rue de la Loi 41, Brussels</w:t>
      </w:r>
    </w:p>
    <w:p w14:paraId="5B90282D" w14:textId="77777777" w:rsidR="00BA4018" w:rsidRPr="006F1964" w:rsidRDefault="00BA4018" w:rsidP="00BA4018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6F1964">
        <w:rPr>
          <w:rFonts w:ascii="Arial" w:eastAsia="Times New Roman" w:hAnsi="Arial" w:cs="Arial"/>
          <w:b/>
          <w:sz w:val="20"/>
          <w:szCs w:val="20"/>
        </w:rPr>
        <w:t>Attendees</w:t>
      </w:r>
      <w:r w:rsidRPr="006F1964">
        <w:rPr>
          <w:rFonts w:ascii="Arial" w:eastAsia="Times New Roman" w:hAnsi="Arial" w:cs="Arial"/>
          <w:sz w:val="20"/>
          <w:szCs w:val="20"/>
        </w:rPr>
        <w:t xml:space="preserve">: 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303CAC" w:rsidRPr="00A90437" w14:paraId="102EE588" w14:textId="77777777" w:rsidTr="00CD7E5B">
        <w:trPr>
          <w:trHeight w:val="240"/>
        </w:trPr>
        <w:tc>
          <w:tcPr>
            <w:tcW w:w="4820" w:type="dxa"/>
            <w:shd w:val="clear" w:color="auto" w:fill="FFFFFF"/>
            <w:hideMark/>
          </w:tcPr>
          <w:p w14:paraId="446230F8" w14:textId="77777777" w:rsidR="00CD2959" w:rsidRPr="006F1964" w:rsidRDefault="00B82F69" w:rsidP="000663CE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F1964">
              <w:rPr>
                <w:rFonts w:ascii="Arial" w:hAnsi="Arial" w:cs="Arial"/>
                <w:b/>
                <w:sz w:val="20"/>
                <w:szCs w:val="20"/>
                <w:u w:val="single"/>
              </w:rPr>
              <w:t>Member States</w:t>
            </w:r>
          </w:p>
        </w:tc>
        <w:tc>
          <w:tcPr>
            <w:tcW w:w="4961" w:type="dxa"/>
            <w:shd w:val="clear" w:color="auto" w:fill="FFFFFF"/>
          </w:tcPr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4961"/>
            </w:tblGrid>
            <w:tr w:rsidR="00303CAC" w:rsidRPr="006F1964" w14:paraId="7F9389F4" w14:textId="77777777" w:rsidTr="000F658C">
              <w:trPr>
                <w:trHeight w:val="240"/>
              </w:trPr>
              <w:tc>
                <w:tcPr>
                  <w:tcW w:w="4962" w:type="dxa"/>
                  <w:shd w:val="clear" w:color="auto" w:fill="FFFFFF"/>
                </w:tcPr>
                <w:p w14:paraId="05FD8625" w14:textId="77777777" w:rsidR="00303CAC" w:rsidRPr="006F1964" w:rsidRDefault="00303CAC" w:rsidP="000F658C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1964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FOR THE COMMISSION</w:t>
                  </w:r>
                </w:p>
              </w:tc>
              <w:tc>
                <w:tcPr>
                  <w:tcW w:w="4961" w:type="dxa"/>
                  <w:shd w:val="clear" w:color="auto" w:fill="FFFFFF"/>
                </w:tcPr>
                <w:p w14:paraId="6A0FEA11" w14:textId="77777777" w:rsidR="00303CAC" w:rsidRPr="006F1964" w:rsidRDefault="00303CAC" w:rsidP="000F658C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3CAC" w:rsidRPr="00A90437" w14:paraId="3EAA2F67" w14:textId="77777777" w:rsidTr="000F658C">
              <w:trPr>
                <w:trHeight w:val="240"/>
              </w:trPr>
              <w:tc>
                <w:tcPr>
                  <w:tcW w:w="9923" w:type="dxa"/>
                  <w:gridSpan w:val="2"/>
                  <w:shd w:val="clear" w:color="auto" w:fill="FFFFFF"/>
                </w:tcPr>
                <w:p w14:paraId="5A20588A" w14:textId="08527175" w:rsidR="000663CE" w:rsidRPr="008677BB" w:rsidRDefault="000663CE" w:rsidP="0006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fr-BE"/>
                    </w:rPr>
                  </w:pPr>
                  <w:r w:rsidRPr="008677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fr-BE"/>
                    </w:rPr>
                    <w:t xml:space="preserve">BORKOVEC Pavel, WALTER Egbert, GESSI Paola, </w:t>
                  </w:r>
                </w:p>
                <w:p w14:paraId="25F18C90" w14:textId="77777777" w:rsidR="00303CAC" w:rsidRPr="008677BB" w:rsidRDefault="000663CE" w:rsidP="000663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fr-BE"/>
                    </w:rPr>
                  </w:pPr>
                  <w:r w:rsidRPr="008677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fr-BE"/>
                    </w:rPr>
                    <w:t>SPINELLI Sara, KALAMPOKA Eleni</w:t>
                  </w:r>
                </w:p>
              </w:tc>
            </w:tr>
          </w:tbl>
          <w:p w14:paraId="21E95A03" w14:textId="77777777" w:rsidR="00303CAC" w:rsidRPr="008677BB" w:rsidRDefault="00303CAC">
            <w:pPr>
              <w:rPr>
                <w:sz w:val="20"/>
                <w:szCs w:val="20"/>
                <w:lang w:val="fr-BE"/>
              </w:rPr>
            </w:pPr>
          </w:p>
        </w:tc>
      </w:tr>
      <w:tr w:rsidR="00303CAC" w:rsidRPr="006F1964" w14:paraId="7D4F8DA6" w14:textId="77777777" w:rsidTr="00CD7E5B">
        <w:trPr>
          <w:trHeight w:val="240"/>
        </w:trPr>
        <w:tc>
          <w:tcPr>
            <w:tcW w:w="4820" w:type="dxa"/>
            <w:shd w:val="clear" w:color="auto" w:fill="FFFFFF"/>
            <w:hideMark/>
          </w:tcPr>
          <w:tbl>
            <w:tblPr>
              <w:tblW w:w="10100" w:type="dxa"/>
              <w:tblLayout w:type="fixed"/>
              <w:tblLook w:val="04A0" w:firstRow="1" w:lastRow="0" w:firstColumn="1" w:lastColumn="0" w:noHBand="0" w:noVBand="1"/>
            </w:tblPr>
            <w:tblGrid>
              <w:gridCol w:w="10100"/>
            </w:tblGrid>
            <w:tr w:rsidR="00303CAC" w:rsidRPr="00595830" w14:paraId="465DF1A9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D539C" w14:textId="77777777" w:rsidR="007F753E" w:rsidRDefault="00CD2959" w:rsidP="00303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Austria:</w:t>
                  </w:r>
                  <w:r w:rsidR="007F753E" w:rsidRPr="008D63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  <w:r w:rsidR="007F753E" w:rsidRPr="007F753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GANTERER Astrid</w:t>
                  </w:r>
                </w:p>
                <w:p w14:paraId="1F1FA013" w14:textId="77777777" w:rsidR="008D638C" w:rsidRDefault="007F753E" w:rsidP="008D6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Austria:</w:t>
                  </w:r>
                  <w:r w:rsidRPr="008D63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  <w:r w:rsidR="00CD2959"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BREDDY Sigrid</w:t>
                  </w:r>
                </w:p>
                <w:p w14:paraId="1C4A6FAB" w14:textId="41CAE0D2" w:rsidR="008D638C" w:rsidRPr="008D638C" w:rsidRDefault="008D638C" w:rsidP="008D6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Germany: PRAGUA </w:t>
                  </w:r>
                  <w:r w:rsidRPr="008D63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Claudia</w:t>
                  </w:r>
                </w:p>
                <w:p w14:paraId="0F4432CF" w14:textId="77777777" w:rsidR="00303CAC" w:rsidRPr="00595830" w:rsidRDefault="009665CC" w:rsidP="00303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Portugal: </w:t>
                  </w:r>
                  <w:r w:rsidR="00303CAC"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AFONSO Maria Manuela</w:t>
                  </w:r>
                </w:p>
              </w:tc>
            </w:tr>
            <w:tr w:rsidR="00303CAC" w:rsidRPr="000663CE" w14:paraId="0CFAF9D8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CBEA8" w14:textId="77777777" w:rsidR="00303CAC" w:rsidRPr="000663CE" w:rsidRDefault="009665CC" w:rsidP="00303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Belgium: </w:t>
                  </w:r>
                  <w:r w:rsidR="00303CAC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DE DECKER Cecilia</w:t>
                  </w:r>
                </w:p>
              </w:tc>
            </w:tr>
            <w:tr w:rsidR="00303CAC" w:rsidRPr="000663CE" w14:paraId="6AF63ABC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F7989" w14:textId="5542790A" w:rsidR="00303CAC" w:rsidRPr="000663CE" w:rsidRDefault="00FF6AD3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Sweden:</w:t>
                  </w: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PETTERSSON </w:t>
                  </w:r>
                  <w:r w:rsidR="00EB261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Jan</w:t>
                  </w:r>
                  <w:bookmarkStart w:id="0" w:name="_GoBack"/>
                  <w:bookmarkEnd w:id="0"/>
                </w:p>
              </w:tc>
            </w:tr>
            <w:tr w:rsidR="00303CAC" w:rsidRPr="000663CE" w14:paraId="1B41DA2F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82075" w14:textId="77777777" w:rsidR="00303CAC" w:rsidRPr="000663CE" w:rsidRDefault="009665CC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UK: </w:t>
                  </w:r>
                  <w:r w:rsidR="00FF6AD3" w:rsidRPr="000663C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OWENS Catherine </w:t>
                  </w:r>
                </w:p>
              </w:tc>
            </w:tr>
            <w:tr w:rsidR="00303CAC" w:rsidRPr="000663CE" w14:paraId="0C9DBD94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C00F6" w14:textId="77777777" w:rsidR="00303CAC" w:rsidRPr="000663CE" w:rsidRDefault="007F514E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Ireland: </w:t>
                  </w:r>
                  <w:r w:rsidR="00FF6AD3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KENNEDY Elaine</w:t>
                  </w:r>
                </w:p>
              </w:tc>
            </w:tr>
            <w:tr w:rsidR="00303CAC" w:rsidRPr="000663CE" w14:paraId="04D7AF33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E92F0" w14:textId="77777777" w:rsidR="00303CAC" w:rsidRPr="000663CE" w:rsidRDefault="00FF6AD3" w:rsidP="00CD29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Netherlands : </w:t>
                  </w:r>
                  <w:r w:rsidR="00CD2959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Van Poelje </w:t>
                  </w:r>
                  <w:r w:rsidR="00CD2959" w:rsidRPr="000663CE">
                    <w:rPr>
                      <w:i/>
                    </w:rPr>
                    <w:t xml:space="preserve"> </w:t>
                  </w:r>
                  <w:r w:rsidR="00CD2959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Rob</w:t>
                  </w:r>
                </w:p>
              </w:tc>
            </w:tr>
            <w:tr w:rsidR="00303CAC" w:rsidRPr="00595830" w14:paraId="0E54B656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8D8DE" w14:textId="77777777" w:rsidR="00303CAC" w:rsidRPr="00595830" w:rsidRDefault="007F514E" w:rsidP="00CD29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France: </w:t>
                  </w:r>
                  <w:r w:rsidR="00CD2959"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QUEVEDO SOLARES Ana Maria</w:t>
                  </w:r>
                </w:p>
              </w:tc>
            </w:tr>
            <w:tr w:rsidR="00303CAC" w:rsidRPr="000663CE" w14:paraId="5481C98D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3B41E" w14:textId="77777777" w:rsidR="00303CAC" w:rsidRPr="000663CE" w:rsidRDefault="007F514E" w:rsidP="00CD29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fr-BE"/>
                    </w:rPr>
                    <w:t>France :</w:t>
                  </w:r>
                  <w:r w:rsidR="00CD2959" w:rsidRPr="000663CE">
                    <w:rPr>
                      <w:i/>
                    </w:rPr>
                    <w:t xml:space="preserve"> </w:t>
                  </w:r>
                  <w:r w:rsidR="00CD2959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fr-BE"/>
                    </w:rPr>
                    <w:t xml:space="preserve">GADY-LAUMONIER Mauricette </w:t>
                  </w:r>
                </w:p>
              </w:tc>
            </w:tr>
            <w:tr w:rsidR="00303CAC" w:rsidRPr="00595830" w14:paraId="77EA25F6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DFA38" w14:textId="77777777" w:rsidR="00303CAC" w:rsidRPr="00595830" w:rsidRDefault="007F514E" w:rsidP="00CD29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 xml:space="preserve">Italy: </w:t>
                  </w:r>
                  <w:r w:rsidR="00CD2959"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PURELLO Santo</w:t>
                  </w:r>
                </w:p>
                <w:p w14:paraId="23150193" w14:textId="77777777" w:rsidR="00FF6AD3" w:rsidRPr="00595830" w:rsidRDefault="00FF6AD3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5958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s-ES"/>
                    </w:rPr>
                    <w:t>Italy: MARRONE Loredana</w:t>
                  </w:r>
                </w:p>
              </w:tc>
            </w:tr>
            <w:tr w:rsidR="00303CAC" w:rsidRPr="000663CE" w14:paraId="01D72D22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F4C18" w14:textId="77777777" w:rsidR="00303CAC" w:rsidRPr="000663CE" w:rsidRDefault="007F514E" w:rsidP="00303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Poland:</w:t>
                  </w:r>
                  <w:r w:rsidR="00AA2A06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303CAC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MROWKA Barbara</w:t>
                  </w:r>
                </w:p>
              </w:tc>
            </w:tr>
            <w:tr w:rsidR="00303CAC" w:rsidRPr="000663CE" w14:paraId="755B3169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B20EF" w14:textId="77777777" w:rsidR="00303CAC" w:rsidRPr="000663CE" w:rsidRDefault="007F514E" w:rsidP="00930F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Slovenia: </w:t>
                  </w:r>
                  <w:r w:rsidR="00303CAC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A</w:t>
                  </w:r>
                  <w:r w:rsidR="00930FC1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DLESIC Natasa</w:t>
                  </w:r>
                  <w:r w:rsidR="00303CAC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03CAC" w:rsidRPr="000663CE" w14:paraId="4038C17F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C8946" w14:textId="77777777" w:rsidR="00303CAC" w:rsidRDefault="007F514E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Denmark: </w:t>
                  </w:r>
                  <w:r w:rsidR="00FF6AD3"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HVIDT Nanna</w:t>
                  </w:r>
                </w:p>
                <w:p w14:paraId="46839004" w14:textId="6B6BB5E2" w:rsidR="00156779" w:rsidRPr="000663CE" w:rsidRDefault="00156779" w:rsidP="00FF6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Spain: </w:t>
                  </w:r>
                  <w:r w:rsidRPr="0015677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SANTA OLALLA PERALTA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Patricia</w:t>
                  </w:r>
                </w:p>
              </w:tc>
            </w:tr>
            <w:tr w:rsidR="00303CAC" w:rsidRPr="000663CE" w14:paraId="7FEF5462" w14:textId="77777777" w:rsidTr="00303CAC">
              <w:trPr>
                <w:trHeight w:val="300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3E905" w14:textId="77777777" w:rsidR="00CD2959" w:rsidRPr="000663CE" w:rsidRDefault="00CD2959" w:rsidP="00303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w:pPr>
                  <w:r w:rsidRPr="000663C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EIB: Adrian Costandache</w:t>
                  </w:r>
                </w:p>
              </w:tc>
            </w:tr>
          </w:tbl>
          <w:p w14:paraId="1B851F33" w14:textId="77777777" w:rsidR="00303CAC" w:rsidRPr="000663CE" w:rsidRDefault="00303CAC" w:rsidP="00CA44A0">
            <w:pPr>
              <w:spacing w:after="100" w:afterAutospacing="1"/>
              <w:rPr>
                <w:rFonts w:ascii="Times New Roman" w:hAnsi="Times New Roman" w:cs="Times New Roman"/>
                <w:i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  <w:shd w:val="clear" w:color="auto" w:fill="FFFFFF"/>
          </w:tcPr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4961"/>
            </w:tblGrid>
            <w:tr w:rsidR="00303CAC" w:rsidRPr="006F1964" w14:paraId="401006DD" w14:textId="77777777" w:rsidTr="000F658C">
              <w:trPr>
                <w:trHeight w:val="240"/>
              </w:trPr>
              <w:tc>
                <w:tcPr>
                  <w:tcW w:w="4962" w:type="dxa"/>
                  <w:shd w:val="clear" w:color="auto" w:fill="FFFFFF"/>
                </w:tcPr>
                <w:p w14:paraId="5D0ABB12" w14:textId="77777777" w:rsidR="00303CAC" w:rsidRPr="006F1964" w:rsidRDefault="00303CAC" w:rsidP="000F658C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shd w:val="clear" w:color="auto" w:fill="FFFFFF"/>
                </w:tcPr>
                <w:p w14:paraId="7FB78FAE" w14:textId="77777777" w:rsidR="00303CAC" w:rsidRPr="006F1964" w:rsidRDefault="00303CAC" w:rsidP="000F658C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7FD8" w:rsidRPr="006F1964" w14:paraId="67E53350" w14:textId="77777777" w:rsidTr="000F658C">
              <w:trPr>
                <w:trHeight w:val="240"/>
              </w:trPr>
              <w:tc>
                <w:tcPr>
                  <w:tcW w:w="9923" w:type="dxa"/>
                  <w:gridSpan w:val="2"/>
                  <w:shd w:val="clear" w:color="auto" w:fill="FFFFFF"/>
                </w:tcPr>
                <w:tbl>
                  <w:tblPr>
                    <w:tblW w:w="992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2"/>
                    <w:gridCol w:w="4961"/>
                  </w:tblGrid>
                  <w:tr w:rsidR="00067FD8" w:rsidRPr="006F1964" w14:paraId="4BBDED31" w14:textId="77777777" w:rsidTr="003E7FEE">
                    <w:trPr>
                      <w:trHeight w:val="240"/>
                    </w:trPr>
                    <w:tc>
                      <w:tcPr>
                        <w:tcW w:w="4962" w:type="dxa"/>
                        <w:shd w:val="clear" w:color="auto" w:fill="FFFFFF"/>
                      </w:tcPr>
                      <w:p w14:paraId="6C28665D" w14:textId="77777777" w:rsidR="00067FD8" w:rsidRPr="006F1964" w:rsidRDefault="00067FD8" w:rsidP="00067FD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1" w:type="dxa"/>
                        <w:shd w:val="clear" w:color="auto" w:fill="FFFFFF"/>
                      </w:tcPr>
                      <w:p w14:paraId="64EBF90A" w14:textId="77777777" w:rsidR="00067FD8" w:rsidRPr="006F1964" w:rsidRDefault="00067FD8" w:rsidP="00067FD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67FD8" w:rsidRPr="006F1964" w14:paraId="7557960C" w14:textId="77777777" w:rsidTr="003E7FEE">
                    <w:trPr>
                      <w:trHeight w:val="240"/>
                    </w:trPr>
                    <w:tc>
                      <w:tcPr>
                        <w:tcW w:w="9923" w:type="dxa"/>
                        <w:gridSpan w:val="2"/>
                        <w:shd w:val="clear" w:color="auto" w:fill="FFFFFF"/>
                      </w:tcPr>
                      <w:p w14:paraId="5041549B" w14:textId="77777777" w:rsidR="00067FD8" w:rsidRPr="006F1964" w:rsidRDefault="00067FD8" w:rsidP="00067FD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B3A0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For the European Parliament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41E4217B" w14:textId="3C243F19" w:rsidR="00067FD8" w:rsidRPr="006F1964" w:rsidRDefault="00067FD8" w:rsidP="00067FD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7FE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RIVERA Ruiz Rivera</w:t>
                  </w:r>
                </w:p>
              </w:tc>
            </w:tr>
          </w:tbl>
          <w:p w14:paraId="5EEE76C7" w14:textId="77777777" w:rsidR="00303CAC" w:rsidRPr="006F1964" w:rsidRDefault="00303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CAC" w:rsidRPr="006F1964" w14:paraId="79B117BD" w14:textId="77777777" w:rsidTr="00CD7E5B">
        <w:trPr>
          <w:trHeight w:val="374"/>
        </w:trPr>
        <w:tc>
          <w:tcPr>
            <w:tcW w:w="4820" w:type="dxa"/>
            <w:shd w:val="clear" w:color="auto" w:fill="FFFFFF"/>
          </w:tcPr>
          <w:p w14:paraId="6FFA25F1" w14:textId="77777777" w:rsidR="00303CAC" w:rsidRPr="006F1964" w:rsidRDefault="00303CAC" w:rsidP="00EA2BC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6A8E8C81" w14:textId="77777777" w:rsidR="00303CAC" w:rsidRPr="006F1964" w:rsidRDefault="00303CAC">
            <w:pPr>
              <w:rPr>
                <w:sz w:val="20"/>
                <w:szCs w:val="20"/>
              </w:rPr>
            </w:pPr>
          </w:p>
        </w:tc>
      </w:tr>
    </w:tbl>
    <w:p w14:paraId="19E89690" w14:textId="77777777" w:rsidR="00BC17AE" w:rsidRPr="00E91C8F" w:rsidRDefault="00BC17AE" w:rsidP="00BC17AE">
      <w:pPr>
        <w:jc w:val="center"/>
        <w:rPr>
          <w:rFonts w:ascii="Times New Roman" w:hAnsi="Times New Roman" w:cs="Times New Roman"/>
          <w:b/>
          <w:u w:val="single"/>
        </w:rPr>
      </w:pPr>
      <w:r w:rsidRPr="00E91C8F">
        <w:rPr>
          <w:rFonts w:ascii="Times New Roman" w:hAnsi="Times New Roman" w:cs="Times New Roman"/>
          <w:b/>
          <w:u w:val="single"/>
        </w:rPr>
        <w:t>Minutes of</w:t>
      </w:r>
      <w:r w:rsidR="00740923">
        <w:rPr>
          <w:rFonts w:ascii="Times New Roman" w:hAnsi="Times New Roman" w:cs="Times New Roman"/>
          <w:b/>
          <w:u w:val="single"/>
        </w:rPr>
        <w:t xml:space="preserve"> the</w:t>
      </w:r>
      <w:r w:rsidRPr="00E91C8F">
        <w:rPr>
          <w:rFonts w:ascii="Times New Roman" w:hAnsi="Times New Roman" w:cs="Times New Roman"/>
          <w:b/>
          <w:u w:val="single"/>
        </w:rPr>
        <w:t xml:space="preserve"> meeting</w:t>
      </w:r>
    </w:p>
    <w:p w14:paraId="0AE4D12E" w14:textId="77777777" w:rsidR="00B82F69" w:rsidRPr="006F1964" w:rsidRDefault="00B82F69" w:rsidP="00D761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399467" w14:textId="3DDD01DC" w:rsidR="005330E9" w:rsidRPr="006F1964" w:rsidRDefault="00B82F69" w:rsidP="00BE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1964">
        <w:rPr>
          <w:rFonts w:ascii="Times New Roman" w:hAnsi="Times New Roman" w:cs="Times New Roman"/>
          <w:sz w:val="20"/>
          <w:szCs w:val="20"/>
        </w:rPr>
        <w:t xml:space="preserve">Mr </w:t>
      </w:r>
      <w:r w:rsidR="00172DA5" w:rsidRPr="00172DA5">
        <w:rPr>
          <w:rFonts w:ascii="Times New Roman" w:hAnsi="Times New Roman" w:cs="Times New Roman"/>
          <w:sz w:val="20"/>
          <w:szCs w:val="20"/>
        </w:rPr>
        <w:t>Pavel Borkovec, Head of</w:t>
      </w:r>
      <w:r w:rsidR="004F77AF">
        <w:rPr>
          <w:rFonts w:ascii="Times New Roman" w:hAnsi="Times New Roman" w:cs="Times New Roman"/>
          <w:sz w:val="20"/>
          <w:szCs w:val="20"/>
        </w:rPr>
        <w:t xml:space="preserve"> Unit</w:t>
      </w:r>
      <w:r w:rsidR="00172DA5" w:rsidRPr="00172DA5">
        <w:rPr>
          <w:rFonts w:ascii="Times New Roman" w:hAnsi="Times New Roman" w:cs="Times New Roman"/>
          <w:sz w:val="20"/>
          <w:szCs w:val="20"/>
        </w:rPr>
        <w:t xml:space="preserve"> </w:t>
      </w:r>
      <w:r w:rsidR="004F77AF">
        <w:rPr>
          <w:rFonts w:ascii="Times New Roman" w:hAnsi="Times New Roman" w:cs="Times New Roman"/>
          <w:sz w:val="20"/>
          <w:szCs w:val="20"/>
        </w:rPr>
        <w:t>‘</w:t>
      </w:r>
      <w:r w:rsidR="00172DA5" w:rsidRPr="00172DA5">
        <w:rPr>
          <w:rFonts w:ascii="Times New Roman" w:hAnsi="Times New Roman" w:cs="Times New Roman"/>
          <w:sz w:val="20"/>
          <w:szCs w:val="20"/>
        </w:rPr>
        <w:t>Evaluation and Results</w:t>
      </w:r>
      <w:r w:rsidR="004F77AF">
        <w:rPr>
          <w:rFonts w:ascii="Times New Roman" w:hAnsi="Times New Roman" w:cs="Times New Roman"/>
          <w:sz w:val="20"/>
          <w:szCs w:val="20"/>
        </w:rPr>
        <w:t>’</w:t>
      </w:r>
      <w:r w:rsidRPr="006F1964">
        <w:rPr>
          <w:rFonts w:ascii="Times New Roman" w:hAnsi="Times New Roman" w:cs="Times New Roman"/>
          <w:sz w:val="20"/>
          <w:szCs w:val="20"/>
        </w:rPr>
        <w:t xml:space="preserve"> </w:t>
      </w:r>
      <w:r w:rsidR="00BE351E" w:rsidRPr="006F1964">
        <w:rPr>
          <w:rFonts w:ascii="Times New Roman" w:hAnsi="Times New Roman" w:cs="Times New Roman"/>
          <w:sz w:val="20"/>
          <w:szCs w:val="20"/>
        </w:rPr>
        <w:t xml:space="preserve">highlighted the importance of holding exchanges between Heads of EU Evaluation </w:t>
      </w:r>
      <w:r w:rsidR="00D761E6" w:rsidRPr="006F1964">
        <w:rPr>
          <w:rFonts w:ascii="Times New Roman" w:hAnsi="Times New Roman" w:cs="Times New Roman"/>
          <w:sz w:val="20"/>
          <w:szCs w:val="20"/>
        </w:rPr>
        <w:t>S</w:t>
      </w:r>
      <w:r w:rsidR="00BE351E" w:rsidRPr="006F1964">
        <w:rPr>
          <w:rFonts w:ascii="Times New Roman" w:hAnsi="Times New Roman" w:cs="Times New Roman"/>
          <w:sz w:val="20"/>
          <w:szCs w:val="20"/>
        </w:rPr>
        <w:t xml:space="preserve">ervices for External/Development Cooperation. </w:t>
      </w:r>
      <w:r w:rsidR="00172DA5" w:rsidRPr="006F1964">
        <w:rPr>
          <w:rFonts w:ascii="Times New Roman" w:hAnsi="Times New Roman" w:cs="Times New Roman"/>
          <w:sz w:val="20"/>
          <w:szCs w:val="20"/>
        </w:rPr>
        <w:t xml:space="preserve">He </w:t>
      </w:r>
      <w:r w:rsidR="00172DA5">
        <w:rPr>
          <w:rFonts w:ascii="Times New Roman" w:hAnsi="Times New Roman" w:cs="Times New Roman"/>
          <w:sz w:val="20"/>
          <w:szCs w:val="20"/>
        </w:rPr>
        <w:t xml:space="preserve">gave a snapshot of the recent organizational restructuring </w:t>
      </w:r>
      <w:r w:rsidR="004F77AF">
        <w:rPr>
          <w:rFonts w:ascii="Times New Roman" w:hAnsi="Times New Roman" w:cs="Times New Roman"/>
          <w:sz w:val="20"/>
          <w:szCs w:val="20"/>
        </w:rPr>
        <w:t>of DEVCO’s evaluation function</w:t>
      </w:r>
      <w:r w:rsidR="00172DA5">
        <w:rPr>
          <w:rFonts w:ascii="Times New Roman" w:hAnsi="Times New Roman" w:cs="Times New Roman"/>
          <w:sz w:val="20"/>
          <w:szCs w:val="20"/>
        </w:rPr>
        <w:t xml:space="preserve">. </w:t>
      </w:r>
      <w:r w:rsidRPr="006F1964">
        <w:rPr>
          <w:rFonts w:ascii="Times New Roman" w:hAnsi="Times New Roman" w:cs="Times New Roman"/>
          <w:sz w:val="20"/>
          <w:szCs w:val="20"/>
        </w:rPr>
        <w:t xml:space="preserve">The agenda </w:t>
      </w:r>
      <w:r w:rsidR="00BE351E" w:rsidRPr="006F1964">
        <w:rPr>
          <w:rFonts w:ascii="Times New Roman" w:hAnsi="Times New Roman" w:cs="Times New Roman"/>
          <w:sz w:val="20"/>
          <w:szCs w:val="20"/>
        </w:rPr>
        <w:t>was</w:t>
      </w:r>
      <w:r w:rsidRPr="006F1964">
        <w:rPr>
          <w:rFonts w:ascii="Times New Roman" w:hAnsi="Times New Roman" w:cs="Times New Roman"/>
          <w:sz w:val="20"/>
          <w:szCs w:val="20"/>
        </w:rPr>
        <w:t xml:space="preserve"> approved </w:t>
      </w:r>
      <w:r w:rsidR="004F77AF" w:rsidRPr="006F1964">
        <w:rPr>
          <w:rFonts w:ascii="Times New Roman" w:hAnsi="Times New Roman" w:cs="Times New Roman"/>
          <w:sz w:val="20"/>
          <w:szCs w:val="20"/>
        </w:rPr>
        <w:t>unanimously</w:t>
      </w:r>
      <w:r w:rsidR="009977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FED9DB" w14:textId="77777777" w:rsidR="005330E9" w:rsidRPr="006F1964" w:rsidRDefault="005330E9" w:rsidP="00BE3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F8875E" w14:textId="4DFB5CB7" w:rsidR="00BE351E" w:rsidRPr="006F1964" w:rsidRDefault="00BE351E" w:rsidP="00CD7E5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1964">
        <w:rPr>
          <w:rFonts w:ascii="Times New Roman" w:hAnsi="Times New Roman" w:cs="Times New Roman"/>
          <w:i/>
          <w:sz w:val="20"/>
          <w:szCs w:val="20"/>
        </w:rPr>
        <w:t>DG DEVCO's Evaluation Work Programme 201</w:t>
      </w:r>
      <w:r w:rsidR="004F77AF">
        <w:rPr>
          <w:rFonts w:ascii="Times New Roman" w:hAnsi="Times New Roman" w:cs="Times New Roman"/>
          <w:i/>
          <w:sz w:val="20"/>
          <w:szCs w:val="20"/>
        </w:rPr>
        <w:t>9</w:t>
      </w:r>
      <w:r w:rsidRPr="006F1964">
        <w:rPr>
          <w:rFonts w:ascii="Times New Roman" w:hAnsi="Times New Roman" w:cs="Times New Roman"/>
          <w:i/>
          <w:sz w:val="20"/>
          <w:szCs w:val="20"/>
        </w:rPr>
        <w:t>-202</w:t>
      </w:r>
      <w:r w:rsidR="004F77AF">
        <w:rPr>
          <w:rFonts w:ascii="Times New Roman" w:hAnsi="Times New Roman" w:cs="Times New Roman"/>
          <w:i/>
          <w:sz w:val="20"/>
          <w:szCs w:val="20"/>
        </w:rPr>
        <w:t>3</w:t>
      </w:r>
      <w:r w:rsidRPr="006F1964">
        <w:rPr>
          <w:rFonts w:ascii="Times New Roman" w:hAnsi="Times New Roman" w:cs="Times New Roman"/>
          <w:i/>
          <w:sz w:val="20"/>
          <w:szCs w:val="20"/>
        </w:rPr>
        <w:t xml:space="preserve"> for Strategic Evaluations</w:t>
      </w:r>
    </w:p>
    <w:p w14:paraId="0E6DEEB4" w14:textId="77777777" w:rsidR="00D761E6" w:rsidRDefault="00D761E6" w:rsidP="00BE3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B22CB" w14:textId="4C204A7B" w:rsidR="005E1ED8" w:rsidRDefault="00275F26" w:rsidP="009977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 Borkovec </w:t>
      </w:r>
      <w:r w:rsidR="004F77AF">
        <w:rPr>
          <w:rFonts w:ascii="Times New Roman" w:hAnsi="Times New Roman" w:cs="Times New Roman"/>
          <w:sz w:val="20"/>
          <w:szCs w:val="20"/>
        </w:rPr>
        <w:t xml:space="preserve">and Mr Egbert Walter, Head of Section for strategic evaluations </w:t>
      </w:r>
      <w:r>
        <w:rPr>
          <w:rFonts w:ascii="Times New Roman" w:hAnsi="Times New Roman" w:cs="Times New Roman"/>
          <w:sz w:val="20"/>
          <w:szCs w:val="20"/>
        </w:rPr>
        <w:t xml:space="preserve">presented the strategic evaluations </w:t>
      </w:r>
      <w:r w:rsidR="004F77A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geographical and thematic</w:t>
      </w:r>
      <w:r w:rsidR="004F77A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which are going to be launched in the years 2019 and 2020. </w:t>
      </w:r>
      <w:r w:rsidR="004F77AF">
        <w:rPr>
          <w:rFonts w:ascii="Times New Roman" w:hAnsi="Times New Roman" w:cs="Times New Roman"/>
          <w:sz w:val="20"/>
          <w:szCs w:val="20"/>
        </w:rPr>
        <w:t>R</w:t>
      </w:r>
      <w:r w:rsidR="005E1ED8">
        <w:rPr>
          <w:rFonts w:ascii="Times New Roman" w:hAnsi="Times New Roman" w:cs="Times New Roman"/>
          <w:sz w:val="20"/>
          <w:szCs w:val="20"/>
        </w:rPr>
        <w:t>ecent developments, which touch upon the improvement of the business process</w:t>
      </w:r>
      <w:r w:rsidR="004F77AF">
        <w:rPr>
          <w:rFonts w:ascii="Times New Roman" w:hAnsi="Times New Roman" w:cs="Times New Roman"/>
          <w:sz w:val="20"/>
          <w:szCs w:val="20"/>
        </w:rPr>
        <w:t xml:space="preserve"> were shared</w:t>
      </w:r>
      <w:r w:rsidR="005E1ED8">
        <w:rPr>
          <w:rFonts w:ascii="Times New Roman" w:hAnsi="Times New Roman" w:cs="Times New Roman"/>
          <w:sz w:val="20"/>
          <w:szCs w:val="20"/>
        </w:rPr>
        <w:t xml:space="preserve"> such as:</w:t>
      </w:r>
    </w:p>
    <w:p w14:paraId="6B229073" w14:textId="4CD61F41" w:rsidR="00A02B62" w:rsidRPr="005E1ED8" w:rsidRDefault="004F77AF" w:rsidP="00B70C8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Idea to </w:t>
      </w:r>
      <w:r w:rsidR="005E1ED8" w:rsidRPr="005E1ED8">
        <w:rPr>
          <w:rFonts w:ascii="Times New Roman" w:hAnsi="Times New Roman" w:cs="Times New Roman"/>
          <w:sz w:val="20"/>
          <w:szCs w:val="20"/>
        </w:rPr>
        <w:t xml:space="preserve">testing a number of machine learning possibilities (AI), </w:t>
      </w:r>
      <w:r w:rsidR="005E1ED8">
        <w:rPr>
          <w:rFonts w:ascii="Times New Roman" w:hAnsi="Times New Roman" w:cs="Times New Roman"/>
          <w:sz w:val="20"/>
          <w:szCs w:val="20"/>
        </w:rPr>
        <w:t>w</w:t>
      </w:r>
      <w:r w:rsidR="003F0E4C" w:rsidRPr="005E1ED8">
        <w:rPr>
          <w:rFonts w:ascii="Times New Roman" w:hAnsi="Times New Roman" w:cs="Times New Roman"/>
          <w:sz w:val="20"/>
          <w:szCs w:val="20"/>
        </w:rPr>
        <w:t xml:space="preserve">orking </w:t>
      </w:r>
      <w:r w:rsidR="007B7E6F">
        <w:rPr>
          <w:rFonts w:ascii="Times New Roman" w:hAnsi="Times New Roman" w:cs="Times New Roman"/>
          <w:sz w:val="20"/>
          <w:szCs w:val="20"/>
        </w:rPr>
        <w:t xml:space="preserve">upfront </w:t>
      </w:r>
      <w:r w:rsidR="003F0E4C" w:rsidRPr="005E1ED8">
        <w:rPr>
          <w:rFonts w:ascii="Times New Roman" w:hAnsi="Times New Roman" w:cs="Times New Roman"/>
          <w:sz w:val="20"/>
          <w:szCs w:val="20"/>
        </w:rPr>
        <w:t xml:space="preserve">on the evaluability of </w:t>
      </w:r>
      <w:r w:rsidR="007B7E6F">
        <w:rPr>
          <w:rFonts w:ascii="Times New Roman" w:hAnsi="Times New Roman" w:cs="Times New Roman"/>
          <w:sz w:val="20"/>
          <w:szCs w:val="20"/>
          <w:lang w:val="en-US"/>
        </w:rPr>
        <w:t>selected</w:t>
      </w:r>
      <w:r w:rsidR="003F0E4C" w:rsidRPr="005E1ED8">
        <w:rPr>
          <w:rFonts w:ascii="Times New Roman" w:hAnsi="Times New Roman" w:cs="Times New Roman"/>
          <w:sz w:val="20"/>
          <w:szCs w:val="20"/>
          <w:lang w:val="en-US"/>
        </w:rPr>
        <w:t xml:space="preserve"> topics</w:t>
      </w:r>
      <w:r w:rsidR="007B7E6F">
        <w:rPr>
          <w:rFonts w:ascii="Times New Roman" w:hAnsi="Times New Roman" w:cs="Times New Roman"/>
          <w:sz w:val="20"/>
          <w:szCs w:val="20"/>
          <w:lang w:val="en-US"/>
        </w:rPr>
        <w:t xml:space="preserve"> where appropriate</w:t>
      </w:r>
      <w:r w:rsidR="003F0E4C" w:rsidRPr="005E1ED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E1ED8" w:rsidRPr="005E1ED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B7E6F">
        <w:rPr>
          <w:rFonts w:ascii="Times New Roman" w:hAnsi="Times New Roman" w:cs="Times New Roman"/>
          <w:sz w:val="20"/>
          <w:szCs w:val="20"/>
          <w:lang w:val="en-US"/>
        </w:rPr>
        <w:t xml:space="preserve">determining timely scope in the inception report in order to reduce delay until </w:t>
      </w:r>
      <w:r w:rsidR="005E1ED8" w:rsidRPr="005E1ED8">
        <w:rPr>
          <w:rFonts w:ascii="Times New Roman" w:hAnsi="Times New Roman" w:cs="Times New Roman"/>
          <w:sz w:val="20"/>
          <w:szCs w:val="20"/>
          <w:lang w:val="en-US"/>
        </w:rPr>
        <w:t xml:space="preserve">presentation to the management, systematic peer review etc </w:t>
      </w:r>
    </w:p>
    <w:p w14:paraId="280C694A" w14:textId="77777777" w:rsidR="005330E9" w:rsidRPr="006F1964" w:rsidRDefault="005330E9" w:rsidP="005330E9">
      <w:pPr>
        <w:pStyle w:val="ListParagraph"/>
        <w:spacing w:after="0" w:line="240" w:lineRule="auto"/>
        <w:ind w:left="7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3009BB" w14:textId="5670C94E" w:rsidR="00CD7E5B" w:rsidRDefault="00C02CBC" w:rsidP="00C02CB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2CBC">
        <w:rPr>
          <w:rFonts w:ascii="Times New Roman" w:hAnsi="Times New Roman" w:cs="Times New Roman"/>
          <w:i/>
          <w:sz w:val="20"/>
          <w:szCs w:val="20"/>
        </w:rPr>
        <w:t xml:space="preserve">From the external evaluation of European Union’s Policy Coherence for Development (PCD) (2009-2016) to the Staff Working Document and </w:t>
      </w:r>
      <w:r w:rsidR="00595830">
        <w:rPr>
          <w:rFonts w:ascii="Times New Roman" w:hAnsi="Times New Roman" w:cs="Times New Roman"/>
          <w:i/>
          <w:sz w:val="20"/>
          <w:szCs w:val="20"/>
        </w:rPr>
        <w:t>rel</w:t>
      </w:r>
      <w:r w:rsidR="00997708">
        <w:rPr>
          <w:rFonts w:ascii="Times New Roman" w:hAnsi="Times New Roman" w:cs="Times New Roman"/>
          <w:i/>
          <w:sz w:val="20"/>
          <w:szCs w:val="20"/>
        </w:rPr>
        <w:t>ated</w:t>
      </w:r>
      <w:r w:rsidR="0059583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2CBC">
        <w:rPr>
          <w:rFonts w:ascii="Times New Roman" w:hAnsi="Times New Roman" w:cs="Times New Roman"/>
          <w:i/>
          <w:sz w:val="20"/>
          <w:szCs w:val="20"/>
        </w:rPr>
        <w:t>Council Conclusions on PCD</w:t>
      </w:r>
    </w:p>
    <w:p w14:paraId="70F24092" w14:textId="77777777" w:rsidR="00C02CBC" w:rsidRPr="00C02CBC" w:rsidRDefault="00C02CBC" w:rsidP="00C02CBC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A401C6" w14:textId="6486CAD6" w:rsidR="00D21D66" w:rsidRPr="005E1ED8" w:rsidRDefault="005330E9" w:rsidP="009977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lastRenderedPageBreak/>
        <w:t xml:space="preserve">Ms </w:t>
      </w:r>
      <w:r w:rsidR="00C02CBC" w:rsidRPr="005E1ED8">
        <w:rPr>
          <w:rFonts w:ascii="Times New Roman" w:hAnsi="Times New Roman" w:cs="Times New Roman"/>
          <w:sz w:val="20"/>
          <w:szCs w:val="20"/>
        </w:rPr>
        <w:t>Eleni Kalampoka</w:t>
      </w:r>
      <w:r w:rsidR="00997708">
        <w:rPr>
          <w:rFonts w:ascii="Times New Roman" w:hAnsi="Times New Roman" w:cs="Times New Roman"/>
          <w:sz w:val="20"/>
          <w:szCs w:val="20"/>
        </w:rPr>
        <w:t>, evaluation manager,</w:t>
      </w:r>
      <w:r w:rsidR="00C02CBC" w:rsidRPr="005E1ED8">
        <w:rPr>
          <w:rFonts w:ascii="Times New Roman" w:hAnsi="Times New Roman" w:cs="Times New Roman"/>
          <w:sz w:val="20"/>
          <w:szCs w:val="20"/>
        </w:rPr>
        <w:t xml:space="preserve"> </w:t>
      </w:r>
      <w:r w:rsidRPr="005E1ED8">
        <w:rPr>
          <w:rFonts w:ascii="Times New Roman" w:hAnsi="Times New Roman" w:cs="Times New Roman"/>
          <w:sz w:val="20"/>
          <w:szCs w:val="20"/>
        </w:rPr>
        <w:t>present</w:t>
      </w:r>
      <w:r w:rsidR="00997708">
        <w:rPr>
          <w:rFonts w:ascii="Times New Roman" w:hAnsi="Times New Roman" w:cs="Times New Roman"/>
          <w:sz w:val="20"/>
          <w:szCs w:val="20"/>
        </w:rPr>
        <w:t>ed</w:t>
      </w:r>
      <w:r w:rsidR="00D21D66" w:rsidRPr="005E1ED8">
        <w:rPr>
          <w:rFonts w:ascii="Times New Roman" w:hAnsi="Times New Roman" w:cs="Times New Roman"/>
          <w:sz w:val="20"/>
          <w:szCs w:val="20"/>
        </w:rPr>
        <w:t xml:space="preserve"> the PCD evaluation. Th</w:t>
      </w:r>
      <w:r w:rsidR="00997708">
        <w:rPr>
          <w:rFonts w:ascii="Times New Roman" w:hAnsi="Times New Roman" w:cs="Times New Roman"/>
          <w:sz w:val="20"/>
          <w:szCs w:val="20"/>
        </w:rPr>
        <w:t>is</w:t>
      </w:r>
      <w:r w:rsidR="00D21D66" w:rsidRPr="005E1ED8">
        <w:rPr>
          <w:rFonts w:ascii="Times New Roman" w:hAnsi="Times New Roman" w:cs="Times New Roman"/>
          <w:sz w:val="20"/>
          <w:szCs w:val="20"/>
        </w:rPr>
        <w:t xml:space="preserve"> external evaluation was carried out in response to calls </w:t>
      </w:r>
      <w:r w:rsidR="00997708">
        <w:rPr>
          <w:rFonts w:ascii="Times New Roman" w:hAnsi="Times New Roman" w:cs="Times New Roman"/>
          <w:sz w:val="20"/>
          <w:szCs w:val="20"/>
        </w:rPr>
        <w:t>from</w:t>
      </w:r>
      <w:r w:rsidR="00D21D66" w:rsidRPr="005E1ED8">
        <w:rPr>
          <w:rFonts w:ascii="Times New Roman" w:hAnsi="Times New Roman" w:cs="Times New Roman"/>
          <w:sz w:val="20"/>
          <w:szCs w:val="20"/>
        </w:rPr>
        <w:t xml:space="preserve"> the Council of the EU and the European Parliament, both of which have stressed the need for the EU to invest more resources in evidence-based analysis of PCD. </w:t>
      </w:r>
      <w:r w:rsidR="007231F0" w:rsidRPr="005E1ED8">
        <w:rPr>
          <w:rFonts w:ascii="Times New Roman" w:hAnsi="Times New Roman" w:cs="Times New Roman"/>
          <w:sz w:val="20"/>
          <w:szCs w:val="20"/>
        </w:rPr>
        <w:t>Moreover,</w:t>
      </w:r>
      <w:r w:rsidR="00D21D66" w:rsidRPr="005E1ED8">
        <w:rPr>
          <w:rFonts w:ascii="Times New Roman" w:hAnsi="Times New Roman" w:cs="Times New Roman"/>
          <w:sz w:val="20"/>
          <w:szCs w:val="20"/>
        </w:rPr>
        <w:t xml:space="preserve"> both Institutions reiterated the need to explore the development impact of key policies, and asked for an independent assessment of progress to further improve monitoring, implementation and follow-up</w:t>
      </w:r>
      <w:r w:rsidR="00D80096">
        <w:rPr>
          <w:rFonts w:ascii="Times New Roman" w:hAnsi="Times New Roman" w:cs="Times New Roman"/>
          <w:sz w:val="20"/>
          <w:szCs w:val="20"/>
        </w:rPr>
        <w:t xml:space="preserve">. </w:t>
      </w:r>
      <w:r w:rsidR="00D21D66" w:rsidRPr="005E1ED8">
        <w:rPr>
          <w:rFonts w:ascii="Times New Roman" w:hAnsi="Times New Roman" w:cs="Times New Roman"/>
          <w:sz w:val="20"/>
          <w:szCs w:val="20"/>
        </w:rPr>
        <w:t xml:space="preserve">Focus was cast on the methodology and </w:t>
      </w:r>
      <w:r w:rsidR="00D80096">
        <w:rPr>
          <w:rFonts w:ascii="Times New Roman" w:hAnsi="Times New Roman" w:cs="Times New Roman"/>
          <w:sz w:val="20"/>
          <w:szCs w:val="20"/>
        </w:rPr>
        <w:t xml:space="preserve">on </w:t>
      </w:r>
      <w:r w:rsidR="00D21D66" w:rsidRPr="005E1ED8">
        <w:rPr>
          <w:rFonts w:ascii="Times New Roman" w:hAnsi="Times New Roman" w:cs="Times New Roman"/>
          <w:sz w:val="20"/>
          <w:szCs w:val="20"/>
        </w:rPr>
        <w:t>the presentation of the conclusions and recommendations</w:t>
      </w:r>
      <w:r w:rsidR="00595830">
        <w:rPr>
          <w:rFonts w:ascii="Times New Roman" w:hAnsi="Times New Roman" w:cs="Times New Roman"/>
          <w:sz w:val="20"/>
          <w:szCs w:val="20"/>
        </w:rPr>
        <w:t xml:space="preserve"> of th</w:t>
      </w:r>
      <w:r w:rsidR="00D80096">
        <w:rPr>
          <w:rFonts w:ascii="Times New Roman" w:hAnsi="Times New Roman" w:cs="Times New Roman"/>
          <w:sz w:val="20"/>
          <w:szCs w:val="20"/>
        </w:rPr>
        <w:t xml:space="preserve">is external </w:t>
      </w:r>
      <w:r w:rsidR="00595830">
        <w:rPr>
          <w:rFonts w:ascii="Times New Roman" w:hAnsi="Times New Roman" w:cs="Times New Roman"/>
          <w:sz w:val="20"/>
          <w:szCs w:val="20"/>
        </w:rPr>
        <w:t>evaluation</w:t>
      </w:r>
      <w:r w:rsidR="00D21D66" w:rsidRPr="005E1ED8">
        <w:rPr>
          <w:rFonts w:ascii="Times New Roman" w:hAnsi="Times New Roman" w:cs="Times New Roman"/>
          <w:sz w:val="20"/>
          <w:szCs w:val="20"/>
        </w:rPr>
        <w:t>.</w:t>
      </w:r>
    </w:p>
    <w:p w14:paraId="66E4CF96" w14:textId="75B62B6D" w:rsidR="00D21D66" w:rsidRPr="005E1ED8" w:rsidRDefault="00D21D66" w:rsidP="009977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Ms Paola Gessi</w:t>
      </w:r>
      <w:r w:rsidR="00997708">
        <w:rPr>
          <w:rFonts w:ascii="Times New Roman" w:hAnsi="Times New Roman" w:cs="Times New Roman"/>
          <w:sz w:val="20"/>
          <w:szCs w:val="20"/>
        </w:rPr>
        <w:t xml:space="preserve">, </w:t>
      </w:r>
      <w:r w:rsidR="00704632">
        <w:rPr>
          <w:rFonts w:ascii="Times New Roman" w:hAnsi="Times New Roman" w:cs="Times New Roman"/>
          <w:sz w:val="20"/>
          <w:szCs w:val="20"/>
        </w:rPr>
        <w:t>policy officer</w:t>
      </w:r>
      <w:r w:rsidRPr="005E1ED8">
        <w:rPr>
          <w:rFonts w:ascii="Times New Roman" w:hAnsi="Times New Roman" w:cs="Times New Roman"/>
          <w:sz w:val="20"/>
          <w:szCs w:val="20"/>
        </w:rPr>
        <w:t xml:space="preserve"> present</w:t>
      </w:r>
      <w:r w:rsidR="00997708">
        <w:rPr>
          <w:rFonts w:ascii="Times New Roman" w:hAnsi="Times New Roman" w:cs="Times New Roman"/>
          <w:sz w:val="20"/>
          <w:szCs w:val="20"/>
        </w:rPr>
        <w:t>ed</w:t>
      </w:r>
      <w:r w:rsidRPr="005E1ED8">
        <w:rPr>
          <w:rFonts w:ascii="Times New Roman" w:hAnsi="Times New Roman" w:cs="Times New Roman"/>
          <w:sz w:val="20"/>
          <w:szCs w:val="20"/>
        </w:rPr>
        <w:t xml:space="preserve"> the</w:t>
      </w:r>
      <w:r w:rsidR="00997708">
        <w:rPr>
          <w:rFonts w:ascii="Times New Roman" w:hAnsi="Times New Roman" w:cs="Times New Roman"/>
          <w:sz w:val="20"/>
          <w:szCs w:val="20"/>
        </w:rPr>
        <w:t xml:space="preserve"> related</w:t>
      </w:r>
      <w:r w:rsidRPr="005E1ED8">
        <w:rPr>
          <w:rFonts w:ascii="Times New Roman" w:hAnsi="Times New Roman" w:cs="Times New Roman"/>
          <w:sz w:val="20"/>
          <w:szCs w:val="20"/>
        </w:rPr>
        <w:t xml:space="preserve"> </w:t>
      </w:r>
      <w:r w:rsidR="00595830">
        <w:rPr>
          <w:rFonts w:ascii="Times New Roman" w:hAnsi="Times New Roman" w:cs="Times New Roman"/>
          <w:sz w:val="20"/>
          <w:szCs w:val="20"/>
        </w:rPr>
        <w:t xml:space="preserve">Commission </w:t>
      </w:r>
      <w:r w:rsidRPr="005E1ED8">
        <w:rPr>
          <w:rFonts w:ascii="Times New Roman" w:hAnsi="Times New Roman" w:cs="Times New Roman"/>
          <w:sz w:val="20"/>
          <w:szCs w:val="20"/>
        </w:rPr>
        <w:t>Staff Working Document</w:t>
      </w:r>
      <w:r w:rsidR="00997708">
        <w:rPr>
          <w:rFonts w:ascii="Times New Roman" w:hAnsi="Times New Roman" w:cs="Times New Roman"/>
          <w:sz w:val="20"/>
          <w:szCs w:val="20"/>
        </w:rPr>
        <w:t xml:space="preserve"> (SWD)</w:t>
      </w:r>
      <w:r w:rsidR="00595830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="00595830">
        <w:rPr>
          <w:rFonts w:ascii="Times New Roman" w:hAnsi="Times New Roman" w:cs="Times New Roman"/>
          <w:sz w:val="20"/>
          <w:szCs w:val="20"/>
        </w:rPr>
        <w:t xml:space="preserve">, which is the position of </w:t>
      </w:r>
      <w:r w:rsidR="003D78D6">
        <w:rPr>
          <w:rFonts w:ascii="Times New Roman" w:hAnsi="Times New Roman" w:cs="Times New Roman"/>
          <w:sz w:val="20"/>
          <w:szCs w:val="20"/>
        </w:rPr>
        <w:t xml:space="preserve">the </w:t>
      </w:r>
      <w:r w:rsidR="00595830">
        <w:rPr>
          <w:rFonts w:ascii="Times New Roman" w:hAnsi="Times New Roman" w:cs="Times New Roman"/>
          <w:sz w:val="20"/>
          <w:szCs w:val="20"/>
        </w:rPr>
        <w:t xml:space="preserve">Commission services with regard to the external evaluation findings and conclusions, and the Council conclusions on </w:t>
      </w:r>
      <w:r w:rsidRPr="005E1ED8">
        <w:rPr>
          <w:rFonts w:ascii="Times New Roman" w:hAnsi="Times New Roman" w:cs="Times New Roman"/>
          <w:sz w:val="20"/>
          <w:szCs w:val="20"/>
        </w:rPr>
        <w:t>PCD</w:t>
      </w:r>
      <w:r w:rsidR="00595830">
        <w:rPr>
          <w:rStyle w:val="FootnoteReference"/>
          <w:rFonts w:ascii="Times New Roman" w:hAnsi="Times New Roman" w:cs="Times New Roman"/>
          <w:sz w:val="20"/>
          <w:szCs w:val="20"/>
        </w:rPr>
        <w:footnoteReference w:id="2"/>
      </w:r>
      <w:r w:rsidRPr="005E1ED8">
        <w:rPr>
          <w:rFonts w:ascii="Times New Roman" w:hAnsi="Times New Roman" w:cs="Times New Roman"/>
          <w:sz w:val="20"/>
          <w:szCs w:val="20"/>
        </w:rPr>
        <w:t xml:space="preserve">. 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Both the SWD and the Council </w:t>
      </w:r>
      <w:r w:rsidR="00997708">
        <w:rPr>
          <w:rFonts w:ascii="Times New Roman" w:hAnsi="Times New Roman" w:cs="Times New Roman"/>
          <w:sz w:val="20"/>
          <w:szCs w:val="20"/>
        </w:rPr>
        <w:t>c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onclusions put forward the Commission’s capacity to adapt </w:t>
      </w:r>
      <w:r w:rsidR="003D78D6">
        <w:rPr>
          <w:rFonts w:ascii="Times New Roman" w:hAnsi="Times New Roman" w:cs="Times New Roman"/>
          <w:sz w:val="20"/>
          <w:szCs w:val="20"/>
        </w:rPr>
        <w:t xml:space="preserve">the PCD </w:t>
      </w:r>
      <w:r w:rsidR="007231F0" w:rsidRPr="005E1ED8">
        <w:rPr>
          <w:rFonts w:ascii="Times New Roman" w:hAnsi="Times New Roman" w:cs="Times New Roman"/>
          <w:sz w:val="20"/>
          <w:szCs w:val="20"/>
        </w:rPr>
        <w:t>approach to the global changing development context</w:t>
      </w:r>
      <w:r w:rsidR="003D78D6">
        <w:rPr>
          <w:rFonts w:ascii="Times New Roman" w:hAnsi="Times New Roman" w:cs="Times New Roman"/>
          <w:sz w:val="20"/>
          <w:szCs w:val="20"/>
        </w:rPr>
        <w:t>, notably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 the Agenda</w:t>
      </w:r>
      <w:r w:rsidR="00997708">
        <w:rPr>
          <w:rFonts w:ascii="Times New Roman" w:hAnsi="Times New Roman" w:cs="Times New Roman"/>
          <w:sz w:val="20"/>
          <w:szCs w:val="20"/>
        </w:rPr>
        <w:t xml:space="preserve"> 2030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 and the new European Consensus on Development.</w:t>
      </w:r>
      <w:r w:rsidR="003D78D6">
        <w:rPr>
          <w:rFonts w:ascii="Times New Roman" w:hAnsi="Times New Roman" w:cs="Times New Roman"/>
          <w:sz w:val="20"/>
          <w:szCs w:val="20"/>
        </w:rPr>
        <w:t xml:space="preserve"> She also recalled that both documents highlight the 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importance of </w:t>
      </w:r>
      <w:r w:rsidR="00997708">
        <w:rPr>
          <w:rFonts w:ascii="Times New Roman" w:hAnsi="Times New Roman" w:cs="Times New Roman"/>
          <w:sz w:val="20"/>
          <w:szCs w:val="20"/>
        </w:rPr>
        <w:t>i</w:t>
      </w:r>
      <w:r w:rsidRPr="005E1ED8">
        <w:rPr>
          <w:rFonts w:ascii="Times New Roman" w:hAnsi="Times New Roman" w:cs="Times New Roman"/>
          <w:sz w:val="20"/>
          <w:szCs w:val="20"/>
        </w:rPr>
        <w:t>mpact assessments</w:t>
      </w:r>
      <w:r w:rsidR="003D78D6">
        <w:rPr>
          <w:rFonts w:ascii="Times New Roman" w:hAnsi="Times New Roman" w:cs="Times New Roman"/>
          <w:sz w:val="20"/>
          <w:szCs w:val="20"/>
        </w:rPr>
        <w:t>,</w:t>
      </w:r>
      <w:r w:rsidR="007231F0" w:rsidRPr="005E1ED8">
        <w:rPr>
          <w:rFonts w:ascii="Times New Roman" w:hAnsi="Times New Roman" w:cs="Times New Roman"/>
          <w:sz w:val="20"/>
          <w:szCs w:val="20"/>
        </w:rPr>
        <w:t xml:space="preserve"> </w:t>
      </w:r>
      <w:r w:rsidR="003D78D6">
        <w:rPr>
          <w:rFonts w:ascii="Times New Roman" w:hAnsi="Times New Roman" w:cs="Times New Roman"/>
          <w:sz w:val="20"/>
          <w:szCs w:val="20"/>
        </w:rPr>
        <w:t xml:space="preserve">as a tool to implement </w:t>
      </w:r>
      <w:r w:rsidR="007231F0" w:rsidRPr="005E1ED8">
        <w:rPr>
          <w:rFonts w:ascii="Times New Roman" w:hAnsi="Times New Roman" w:cs="Times New Roman"/>
          <w:sz w:val="20"/>
          <w:szCs w:val="20"/>
        </w:rPr>
        <w:t>PCD</w:t>
      </w:r>
      <w:r w:rsidR="003D78D6">
        <w:rPr>
          <w:rFonts w:ascii="Times New Roman" w:hAnsi="Times New Roman" w:cs="Times New Roman"/>
          <w:sz w:val="20"/>
          <w:szCs w:val="20"/>
        </w:rPr>
        <w:t>, and the pivotal r</w:t>
      </w:r>
      <w:r w:rsidR="007231F0" w:rsidRPr="005E1ED8">
        <w:rPr>
          <w:rFonts w:ascii="Times New Roman" w:hAnsi="Times New Roman" w:cs="Times New Roman"/>
          <w:sz w:val="20"/>
          <w:szCs w:val="20"/>
        </w:rPr>
        <w:t>ole of EU D</w:t>
      </w:r>
      <w:r w:rsidRPr="005E1ED8">
        <w:rPr>
          <w:rFonts w:ascii="Times New Roman" w:hAnsi="Times New Roman" w:cs="Times New Roman"/>
          <w:sz w:val="20"/>
          <w:szCs w:val="20"/>
        </w:rPr>
        <w:t>elegations</w:t>
      </w:r>
      <w:r w:rsidR="00D06572">
        <w:rPr>
          <w:rFonts w:ascii="Times New Roman" w:hAnsi="Times New Roman" w:cs="Times New Roman"/>
          <w:sz w:val="20"/>
          <w:szCs w:val="20"/>
        </w:rPr>
        <w:t xml:space="preserve"> for</w:t>
      </w:r>
      <w:r w:rsidR="003D78D6">
        <w:rPr>
          <w:rFonts w:ascii="Times New Roman" w:hAnsi="Times New Roman" w:cs="Times New Roman"/>
          <w:sz w:val="20"/>
          <w:szCs w:val="20"/>
        </w:rPr>
        <w:t xml:space="preserve"> PCD policy dialogue and on</w:t>
      </w:r>
      <w:r w:rsidR="00D06572">
        <w:rPr>
          <w:rFonts w:ascii="Times New Roman" w:hAnsi="Times New Roman" w:cs="Times New Roman"/>
          <w:sz w:val="20"/>
          <w:szCs w:val="20"/>
        </w:rPr>
        <w:t xml:space="preserve"> the reporting on</w:t>
      </w:r>
      <w:r w:rsidR="003D78D6">
        <w:rPr>
          <w:rFonts w:ascii="Times New Roman" w:hAnsi="Times New Roman" w:cs="Times New Roman"/>
          <w:sz w:val="20"/>
          <w:szCs w:val="20"/>
        </w:rPr>
        <w:t xml:space="preserve"> impacts of EU </w:t>
      </w:r>
      <w:r w:rsidR="00EB0542">
        <w:rPr>
          <w:rFonts w:ascii="Times New Roman" w:hAnsi="Times New Roman" w:cs="Times New Roman"/>
          <w:sz w:val="20"/>
          <w:szCs w:val="20"/>
        </w:rPr>
        <w:t>non-development</w:t>
      </w:r>
      <w:r w:rsidR="003D78D6">
        <w:rPr>
          <w:rFonts w:ascii="Times New Roman" w:hAnsi="Times New Roman" w:cs="Times New Roman"/>
          <w:sz w:val="20"/>
          <w:szCs w:val="20"/>
        </w:rPr>
        <w:t xml:space="preserve"> policies in third partner countries.</w:t>
      </w:r>
    </w:p>
    <w:p w14:paraId="72FC9258" w14:textId="77777777" w:rsidR="00D21D66" w:rsidRDefault="00D21D66" w:rsidP="00D21D66">
      <w:pPr>
        <w:pStyle w:val="PCD-Normal"/>
        <w:rPr>
          <w:sz w:val="22"/>
          <w:szCs w:val="22"/>
        </w:rPr>
      </w:pPr>
    </w:p>
    <w:p w14:paraId="5E87268A" w14:textId="77777777" w:rsidR="00A0420C" w:rsidRDefault="007231F0" w:rsidP="002448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48C0">
        <w:rPr>
          <w:rFonts w:ascii="Times New Roman" w:hAnsi="Times New Roman" w:cs="Times New Roman"/>
          <w:i/>
          <w:sz w:val="20"/>
          <w:szCs w:val="20"/>
        </w:rPr>
        <w:t>Taking stock of the Commission’s Better Regulation Agenda; Scope, process and lessons learnt on</w:t>
      </w:r>
      <w:r w:rsidRPr="007231F0">
        <w:rPr>
          <w:rFonts w:ascii="Times New Roman" w:hAnsi="Times New Roman" w:cs="Times New Roman"/>
          <w:i/>
          <w:sz w:val="20"/>
          <w:szCs w:val="20"/>
        </w:rPr>
        <w:t xml:space="preserve"> evaluations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01DE5D9E" w14:textId="77777777" w:rsidR="005E1ED8" w:rsidRDefault="005E1ED8" w:rsidP="005E1E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D22006" w14:textId="237D73F6" w:rsidR="00704632" w:rsidRPr="005E1ED8" w:rsidRDefault="00704632" w:rsidP="00704632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Ms Sara Spinelli explained the process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E1ED8">
        <w:rPr>
          <w:rFonts w:ascii="Times New Roman" w:hAnsi="Times New Roman" w:cs="Times New Roman"/>
          <w:sz w:val="20"/>
          <w:szCs w:val="20"/>
        </w:rPr>
        <w:t xml:space="preserve">scope </w:t>
      </w:r>
      <w:r>
        <w:rPr>
          <w:rFonts w:ascii="Times New Roman" w:hAnsi="Times New Roman" w:cs="Times New Roman"/>
          <w:sz w:val="20"/>
          <w:szCs w:val="20"/>
        </w:rPr>
        <w:t xml:space="preserve">and results </w:t>
      </w:r>
      <w:r w:rsidRPr="005E1ED8"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E1ED8">
        <w:rPr>
          <w:rFonts w:ascii="Times New Roman" w:hAnsi="Times New Roman" w:cs="Times New Roman"/>
          <w:sz w:val="20"/>
          <w:szCs w:val="20"/>
        </w:rPr>
        <w:t>stock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5E1ED8">
        <w:rPr>
          <w:rFonts w:ascii="Times New Roman" w:hAnsi="Times New Roman" w:cs="Times New Roman"/>
          <w:sz w:val="20"/>
          <w:szCs w:val="20"/>
        </w:rPr>
        <w:t xml:space="preserve">taking of the Commission’s Better Regulation Agenda. </w:t>
      </w:r>
      <w:r>
        <w:rPr>
          <w:rFonts w:ascii="Times New Roman" w:hAnsi="Times New Roman" w:cs="Times New Roman"/>
          <w:sz w:val="20"/>
          <w:szCs w:val="20"/>
        </w:rPr>
        <w:t>With a focus on evaluations, s</w:t>
      </w:r>
      <w:r w:rsidRPr="005E1ED8">
        <w:rPr>
          <w:rFonts w:ascii="Times New Roman" w:hAnsi="Times New Roman" w:cs="Times New Roman"/>
          <w:sz w:val="20"/>
          <w:szCs w:val="20"/>
        </w:rPr>
        <w:t>he illustrated the lessons learnt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5E1ED8">
        <w:rPr>
          <w:rFonts w:ascii="Times New Roman" w:hAnsi="Times New Roman" w:cs="Times New Roman"/>
          <w:sz w:val="20"/>
          <w:szCs w:val="20"/>
        </w:rPr>
        <w:t xml:space="preserve"> the achievements</w:t>
      </w:r>
      <w:r>
        <w:rPr>
          <w:rFonts w:ascii="Times New Roman" w:hAnsi="Times New Roman" w:cs="Times New Roman"/>
          <w:sz w:val="20"/>
          <w:szCs w:val="20"/>
        </w:rPr>
        <w:t>, mainly due to the implementation of the evaluate-first principle; also, she elaborated on</w:t>
      </w:r>
      <w:r w:rsidR="006042D5">
        <w:rPr>
          <w:rFonts w:ascii="Times New Roman" w:hAnsi="Times New Roman" w:cs="Times New Roman"/>
          <w:sz w:val="20"/>
          <w:szCs w:val="20"/>
        </w:rPr>
        <w:t xml:space="preserve"> </w:t>
      </w:r>
      <w:r w:rsidRPr="005E1ED8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areas for improvement including</w:t>
      </w:r>
      <w:r w:rsidRPr="005E1ED8">
        <w:rPr>
          <w:rFonts w:ascii="Times New Roman" w:hAnsi="Times New Roman" w:cs="Times New Roman"/>
          <w:sz w:val="20"/>
          <w:szCs w:val="20"/>
        </w:rPr>
        <w:t xml:space="preserve"> the level of design, timing, objectivity.</w:t>
      </w:r>
    </w:p>
    <w:p w14:paraId="64B4133A" w14:textId="77777777" w:rsidR="007A4CC6" w:rsidRDefault="007A4CC6" w:rsidP="007A4C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527D25" w14:textId="60F5AB3A" w:rsidR="007A4CC6" w:rsidRDefault="007A4CC6" w:rsidP="007A4CC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CC6">
        <w:rPr>
          <w:rFonts w:ascii="Times New Roman" w:hAnsi="Times New Roman" w:cs="Times New Roman"/>
          <w:i/>
          <w:sz w:val="20"/>
          <w:szCs w:val="20"/>
        </w:rPr>
        <w:t>Use of Satellite imagery, geo-spatial data and mobile phones in evaluations conducted in hard-to-reach areas, presentation by Marco Lorenzoni, Evaluation expert, Evaluation Support Service</w:t>
      </w:r>
      <w:r w:rsidR="00997708">
        <w:rPr>
          <w:rFonts w:ascii="Times New Roman" w:hAnsi="Times New Roman" w:cs="Times New Roman"/>
          <w:i/>
          <w:sz w:val="20"/>
          <w:szCs w:val="20"/>
        </w:rPr>
        <w:t xml:space="preserve"> (ESS)</w:t>
      </w:r>
      <w:r w:rsidRPr="007A4CC6">
        <w:rPr>
          <w:rFonts w:ascii="Times New Roman" w:hAnsi="Times New Roman" w:cs="Times New Roman"/>
          <w:i/>
          <w:sz w:val="20"/>
          <w:szCs w:val="20"/>
        </w:rPr>
        <w:t xml:space="preserve">, DEVCO </w:t>
      </w:r>
      <w:r w:rsidR="00997708">
        <w:rPr>
          <w:rFonts w:ascii="Times New Roman" w:hAnsi="Times New Roman" w:cs="Times New Roman"/>
          <w:i/>
          <w:sz w:val="20"/>
          <w:szCs w:val="20"/>
        </w:rPr>
        <w:t>Evaluation and Results unit</w:t>
      </w:r>
    </w:p>
    <w:p w14:paraId="5697F5EB" w14:textId="77777777" w:rsidR="0043572D" w:rsidRDefault="0043572D" w:rsidP="0043572D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C20D6B" w14:textId="5D5F08DF" w:rsidR="0043572D" w:rsidRPr="00997708" w:rsidRDefault="0043572D" w:rsidP="009977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572D">
        <w:rPr>
          <w:rFonts w:ascii="Times New Roman" w:hAnsi="Times New Roman" w:cs="Times New Roman"/>
          <w:sz w:val="20"/>
          <w:szCs w:val="20"/>
        </w:rPr>
        <w:t xml:space="preserve">Mr Marco Lorenzoni shared the constraints, techniques and ethical aspects raised in evaluations in hard to reach areas and highlighted the lessons learnt from a series of conferences recently </w:t>
      </w:r>
      <w:r w:rsidR="00997708">
        <w:rPr>
          <w:rFonts w:ascii="Times New Roman" w:hAnsi="Times New Roman" w:cs="Times New Roman"/>
          <w:sz w:val="20"/>
          <w:szCs w:val="20"/>
        </w:rPr>
        <w:t>organised</w:t>
      </w:r>
      <w:r w:rsidRPr="0043572D">
        <w:rPr>
          <w:rFonts w:ascii="Times New Roman" w:hAnsi="Times New Roman" w:cs="Times New Roman"/>
          <w:sz w:val="20"/>
          <w:szCs w:val="20"/>
        </w:rPr>
        <w:t xml:space="preserve"> by </w:t>
      </w:r>
      <w:r w:rsidR="00997708">
        <w:rPr>
          <w:rFonts w:ascii="Times New Roman" w:hAnsi="Times New Roman" w:cs="Times New Roman"/>
          <w:sz w:val="20"/>
          <w:szCs w:val="20"/>
        </w:rPr>
        <w:t>DEVCO</w:t>
      </w:r>
      <w:r w:rsidRPr="0043572D">
        <w:rPr>
          <w:rFonts w:ascii="Times New Roman" w:hAnsi="Times New Roman" w:cs="Times New Roman"/>
          <w:sz w:val="20"/>
          <w:szCs w:val="20"/>
        </w:rPr>
        <w:t>. Mr Ziad Moussa complemented by using concrete examples derived from his working experience as an evaluator</w:t>
      </w:r>
      <w:r w:rsidRPr="0043572D">
        <w:rPr>
          <w:sz w:val="20"/>
          <w:szCs w:val="20"/>
          <w:lang w:val="en-US"/>
        </w:rPr>
        <w:t xml:space="preserve">. </w:t>
      </w:r>
    </w:p>
    <w:p w14:paraId="15897B92" w14:textId="77777777" w:rsidR="007A4CC6" w:rsidRDefault="007A4CC6" w:rsidP="007A4C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563E45" w14:textId="77777777" w:rsidR="007A4CC6" w:rsidRDefault="007A4CC6" w:rsidP="007A4CC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CC6">
        <w:rPr>
          <w:rFonts w:ascii="Times New Roman" w:hAnsi="Times New Roman" w:cs="Times New Roman"/>
          <w:i/>
          <w:sz w:val="20"/>
          <w:szCs w:val="20"/>
        </w:rPr>
        <w:t>DFID’s reflections on its future evaluation portfolio – four strategic shifts, presentation by Catherine Owens, Head of Evaluation Unit DFID</w:t>
      </w:r>
    </w:p>
    <w:p w14:paraId="459FB9AE" w14:textId="77777777" w:rsidR="007A4CC6" w:rsidRPr="007A4CC6" w:rsidRDefault="007A4CC6" w:rsidP="00997708">
      <w:pPr>
        <w:pStyle w:val="ListParagraph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BA30F2C" w14:textId="77777777" w:rsidR="007A4CC6" w:rsidRPr="005E1ED8" w:rsidRDefault="007A4CC6" w:rsidP="009977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Ms Catherine Owens familiarised the participants with the decentralised system in DFID and elaborated on the following approaches for tackling rigi</w:t>
      </w:r>
      <w:r w:rsidR="005E1ED8">
        <w:rPr>
          <w:rFonts w:ascii="Times New Roman" w:hAnsi="Times New Roman" w:cs="Times New Roman"/>
          <w:sz w:val="20"/>
          <w:szCs w:val="20"/>
        </w:rPr>
        <w:t>di</w:t>
      </w:r>
      <w:r w:rsidRPr="005E1ED8">
        <w:rPr>
          <w:rFonts w:ascii="Times New Roman" w:hAnsi="Times New Roman" w:cs="Times New Roman"/>
          <w:sz w:val="20"/>
          <w:szCs w:val="20"/>
        </w:rPr>
        <w:t xml:space="preserve">ties and problems. </w:t>
      </w:r>
    </w:p>
    <w:p w14:paraId="5989BEFC" w14:textId="77777777" w:rsidR="007B3C6C" w:rsidRPr="005E1ED8" w:rsidRDefault="00C56899" w:rsidP="005E1ED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Strengthened real time monitoring</w:t>
      </w:r>
    </w:p>
    <w:p w14:paraId="1470A5A3" w14:textId="77777777" w:rsidR="007B3C6C" w:rsidRPr="005E1ED8" w:rsidRDefault="00C56899" w:rsidP="005E1ED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Greater support to adaptive programming</w:t>
      </w:r>
    </w:p>
    <w:p w14:paraId="408F1AC2" w14:textId="77777777" w:rsidR="007B3C6C" w:rsidRPr="005E1ED8" w:rsidRDefault="00C56899" w:rsidP="005E1ED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Fewer, but higher priority evaluations</w:t>
      </w:r>
    </w:p>
    <w:p w14:paraId="4D025553" w14:textId="77777777" w:rsidR="007B3C6C" w:rsidRPr="005E1ED8" w:rsidRDefault="00C56899" w:rsidP="005E1ED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E1ED8">
        <w:rPr>
          <w:rFonts w:ascii="Times New Roman" w:hAnsi="Times New Roman" w:cs="Times New Roman"/>
          <w:sz w:val="20"/>
          <w:szCs w:val="20"/>
        </w:rPr>
        <w:t>Better use of evidence</w:t>
      </w:r>
    </w:p>
    <w:p w14:paraId="6D902A9D" w14:textId="77777777" w:rsidR="007A4CC6" w:rsidRPr="007A4CC6" w:rsidRDefault="007A4CC6" w:rsidP="007A4CC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BFC497" w14:textId="77777777" w:rsidR="00C56899" w:rsidRPr="006F1964" w:rsidRDefault="007B6A0A" w:rsidP="00C56899">
      <w:pPr>
        <w:shd w:val="clear" w:color="auto" w:fill="BFBFBF" w:themeFill="background1" w:themeFillShade="BF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Key issues</w:t>
      </w:r>
    </w:p>
    <w:p w14:paraId="2DE5C2ED" w14:textId="77777777" w:rsidR="00C56899" w:rsidRDefault="00C56899" w:rsidP="00C56899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MS presented the approaches </w:t>
      </w:r>
      <w:r w:rsidR="007B6A0A">
        <w:rPr>
          <w:rFonts w:ascii="Times New Roman" w:hAnsi="Times New Roman" w:cs="Times New Roman"/>
          <w:i/>
          <w:sz w:val="20"/>
          <w:szCs w:val="20"/>
        </w:rPr>
        <w:t>they are following</w:t>
      </w:r>
      <w:r>
        <w:rPr>
          <w:rFonts w:ascii="Times New Roman" w:hAnsi="Times New Roman" w:cs="Times New Roman"/>
          <w:i/>
          <w:sz w:val="20"/>
          <w:szCs w:val="20"/>
        </w:rPr>
        <w:t xml:space="preserve"> and </w:t>
      </w:r>
      <w:r w:rsidR="007B6A0A">
        <w:rPr>
          <w:rFonts w:ascii="Times New Roman" w:hAnsi="Times New Roman" w:cs="Times New Roman"/>
          <w:i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sz w:val="20"/>
          <w:szCs w:val="20"/>
        </w:rPr>
        <w:t xml:space="preserve">structures built for </w:t>
      </w:r>
      <w:r w:rsidR="005E1ED8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7B6A0A">
        <w:rPr>
          <w:rFonts w:ascii="Times New Roman" w:hAnsi="Times New Roman" w:cs="Times New Roman"/>
          <w:i/>
          <w:sz w:val="20"/>
          <w:szCs w:val="20"/>
        </w:rPr>
        <w:t>uptake of the evaluations.</w:t>
      </w:r>
    </w:p>
    <w:p w14:paraId="1035CF1D" w14:textId="1B76D806" w:rsidR="00C56899" w:rsidRDefault="001B608A" w:rsidP="00C56899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Joint evaluations: </w:t>
      </w:r>
      <w:r w:rsidR="005E1ED8">
        <w:rPr>
          <w:rFonts w:ascii="Times New Roman" w:hAnsi="Times New Roman" w:cs="Times New Roman"/>
          <w:i/>
          <w:sz w:val="20"/>
          <w:szCs w:val="20"/>
        </w:rPr>
        <w:t>Feedback was</w:t>
      </w:r>
      <w:r w:rsidR="00C56899">
        <w:rPr>
          <w:rFonts w:ascii="Times New Roman" w:hAnsi="Times New Roman" w:cs="Times New Roman"/>
          <w:i/>
          <w:sz w:val="20"/>
          <w:szCs w:val="20"/>
        </w:rPr>
        <w:t xml:space="preserve"> requested regarding the interest </w:t>
      </w:r>
      <w:r w:rsidR="00D7580F">
        <w:rPr>
          <w:rFonts w:ascii="Times New Roman" w:hAnsi="Times New Roman" w:cs="Times New Roman"/>
          <w:i/>
          <w:sz w:val="20"/>
          <w:szCs w:val="20"/>
        </w:rPr>
        <w:t>in participating</w:t>
      </w:r>
      <w:r w:rsidR="00C56899">
        <w:rPr>
          <w:rFonts w:ascii="Times New Roman" w:hAnsi="Times New Roman" w:cs="Times New Roman"/>
          <w:i/>
          <w:sz w:val="20"/>
          <w:szCs w:val="20"/>
        </w:rPr>
        <w:t xml:space="preserve"> in a joint evaluation with Niger. </w:t>
      </w:r>
      <w:r w:rsidR="00997708">
        <w:rPr>
          <w:rFonts w:ascii="Times New Roman" w:hAnsi="Times New Roman" w:cs="Times New Roman"/>
          <w:i/>
          <w:sz w:val="20"/>
          <w:szCs w:val="20"/>
        </w:rPr>
        <w:t xml:space="preserve">AFD expressed potential interest. </w:t>
      </w:r>
      <w:r w:rsidR="00C56899">
        <w:rPr>
          <w:rFonts w:ascii="Times New Roman" w:hAnsi="Times New Roman" w:cs="Times New Roman"/>
          <w:i/>
          <w:sz w:val="20"/>
          <w:szCs w:val="20"/>
        </w:rPr>
        <w:t xml:space="preserve">The launch of the evaluation </w:t>
      </w:r>
      <w:r>
        <w:rPr>
          <w:rFonts w:ascii="Times New Roman" w:hAnsi="Times New Roman" w:cs="Times New Roman"/>
          <w:i/>
          <w:sz w:val="20"/>
          <w:szCs w:val="20"/>
        </w:rPr>
        <w:t xml:space="preserve">probably </w:t>
      </w:r>
      <w:r w:rsidR="00C56899">
        <w:rPr>
          <w:rFonts w:ascii="Times New Roman" w:hAnsi="Times New Roman" w:cs="Times New Roman"/>
          <w:i/>
          <w:sz w:val="20"/>
          <w:szCs w:val="20"/>
        </w:rPr>
        <w:t>is postponed</w:t>
      </w:r>
      <w:r>
        <w:rPr>
          <w:rFonts w:ascii="Times New Roman" w:hAnsi="Times New Roman" w:cs="Times New Roman"/>
          <w:i/>
          <w:sz w:val="20"/>
          <w:szCs w:val="20"/>
        </w:rPr>
        <w:t xml:space="preserve"> by a few months into</w:t>
      </w:r>
      <w:r w:rsidR="00C5689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1B608A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6899">
        <w:rPr>
          <w:rFonts w:ascii="Times New Roman" w:hAnsi="Times New Roman" w:cs="Times New Roman"/>
          <w:i/>
          <w:sz w:val="20"/>
          <w:szCs w:val="20"/>
        </w:rPr>
        <w:t>semester of 2020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7B574BD2" w14:textId="3CF9059C" w:rsidR="007B6A0A" w:rsidRDefault="007B6A0A" w:rsidP="00C56899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1B608A">
        <w:rPr>
          <w:rFonts w:ascii="Times New Roman" w:hAnsi="Times New Roman" w:cs="Times New Roman"/>
          <w:i/>
          <w:sz w:val="20"/>
          <w:szCs w:val="20"/>
        </w:rPr>
        <w:t>broad</w:t>
      </w:r>
      <w:r>
        <w:rPr>
          <w:rFonts w:ascii="Times New Roman" w:hAnsi="Times New Roman" w:cs="Times New Roman"/>
          <w:i/>
          <w:sz w:val="20"/>
          <w:szCs w:val="20"/>
        </w:rPr>
        <w:t xml:space="preserve"> discussion was triggered by how to improve the quality of our evaluations. Issues spanning from the quality of the guidelines of ToRs, number of the EQs, evaluability exercises,</w:t>
      </w:r>
      <w:r w:rsidR="000D064F">
        <w:rPr>
          <w:rFonts w:ascii="Times New Roman" w:hAnsi="Times New Roman" w:cs="Times New Roman"/>
          <w:i/>
          <w:sz w:val="20"/>
          <w:szCs w:val="20"/>
        </w:rPr>
        <w:t xml:space="preserve"> quantification of data, </w:t>
      </w:r>
      <w:r>
        <w:rPr>
          <w:rFonts w:ascii="Times New Roman" w:hAnsi="Times New Roman" w:cs="Times New Roman"/>
          <w:i/>
          <w:sz w:val="20"/>
          <w:szCs w:val="20"/>
        </w:rPr>
        <w:t>quality a</w:t>
      </w:r>
      <w:r w:rsidR="000D064F">
        <w:rPr>
          <w:rFonts w:ascii="Times New Roman" w:hAnsi="Times New Roman" w:cs="Times New Roman"/>
          <w:i/>
          <w:sz w:val="20"/>
          <w:szCs w:val="20"/>
        </w:rPr>
        <w:t>ssurance, till uptake of the evaluations</w:t>
      </w:r>
    </w:p>
    <w:p w14:paraId="5F04B1A5" w14:textId="4B355119" w:rsidR="007B6A0A" w:rsidRPr="006065DF" w:rsidRDefault="000D064F" w:rsidP="00C56899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DEVCO mentioned the quality</w:t>
      </w:r>
      <w:r w:rsidR="001B608A">
        <w:rPr>
          <w:rFonts w:ascii="Times New Roman" w:hAnsi="Times New Roman" w:cs="Times New Roman"/>
          <w:i/>
          <w:sz w:val="20"/>
          <w:szCs w:val="20"/>
        </w:rPr>
        <w:t xml:space="preserve"> assurance</w:t>
      </w:r>
      <w:r>
        <w:rPr>
          <w:rFonts w:ascii="Times New Roman" w:hAnsi="Times New Roman" w:cs="Times New Roman"/>
          <w:i/>
          <w:sz w:val="20"/>
          <w:szCs w:val="20"/>
        </w:rPr>
        <w:t xml:space="preserve"> study, an exercise recently embarked on. Key findings, conclusions </w:t>
      </w:r>
      <w:r w:rsidRPr="006065DF">
        <w:rPr>
          <w:rFonts w:ascii="Times New Roman" w:hAnsi="Times New Roman" w:cs="Times New Roman"/>
          <w:i/>
          <w:sz w:val="20"/>
          <w:szCs w:val="20"/>
        </w:rPr>
        <w:t xml:space="preserve">and recommendations can be presented during the next HES group meeting. </w:t>
      </w:r>
    </w:p>
    <w:p w14:paraId="521FF89B" w14:textId="0DE22B71" w:rsidR="000D064F" w:rsidRPr="006065DF" w:rsidRDefault="000D064F" w:rsidP="00C56899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65DF">
        <w:rPr>
          <w:rFonts w:ascii="Times New Roman" w:hAnsi="Times New Roman" w:cs="Times New Roman"/>
          <w:i/>
          <w:sz w:val="20"/>
          <w:szCs w:val="20"/>
        </w:rPr>
        <w:t xml:space="preserve">MS have recommended that topics </w:t>
      </w:r>
      <w:r w:rsidR="001B608A">
        <w:rPr>
          <w:rFonts w:ascii="Times New Roman" w:hAnsi="Times New Roman" w:cs="Times New Roman"/>
          <w:i/>
          <w:sz w:val="20"/>
          <w:szCs w:val="20"/>
        </w:rPr>
        <w:t>around</w:t>
      </w:r>
      <w:r w:rsidRPr="006065DF">
        <w:rPr>
          <w:rFonts w:ascii="Times New Roman" w:hAnsi="Times New Roman" w:cs="Times New Roman"/>
          <w:i/>
          <w:sz w:val="20"/>
          <w:szCs w:val="20"/>
        </w:rPr>
        <w:t xml:space="preserve"> improv</w:t>
      </w:r>
      <w:r w:rsidR="001B608A">
        <w:rPr>
          <w:rFonts w:ascii="Times New Roman" w:hAnsi="Times New Roman" w:cs="Times New Roman"/>
          <w:i/>
          <w:sz w:val="20"/>
          <w:szCs w:val="20"/>
        </w:rPr>
        <w:t>ing</w:t>
      </w:r>
      <w:r w:rsidRPr="006065DF">
        <w:rPr>
          <w:rFonts w:ascii="Times New Roman" w:hAnsi="Times New Roman" w:cs="Times New Roman"/>
          <w:i/>
          <w:sz w:val="20"/>
          <w:szCs w:val="20"/>
        </w:rPr>
        <w:t xml:space="preserve"> the quality of evaluations be inserted </w:t>
      </w:r>
      <w:r w:rsidR="00920CB6" w:rsidRPr="006065DF">
        <w:rPr>
          <w:rFonts w:ascii="Times New Roman" w:hAnsi="Times New Roman" w:cs="Times New Roman"/>
          <w:i/>
          <w:sz w:val="20"/>
          <w:szCs w:val="20"/>
        </w:rPr>
        <w:t>in the agenda of this expert group meetings</w:t>
      </w:r>
    </w:p>
    <w:p w14:paraId="2F914134" w14:textId="77777777" w:rsidR="00BD672B" w:rsidRPr="006065DF" w:rsidRDefault="00BD672B" w:rsidP="006065DF">
      <w:pPr>
        <w:pStyle w:val="ListParagraph"/>
        <w:numPr>
          <w:ilvl w:val="0"/>
          <w:numId w:val="21"/>
        </w:numPr>
        <w:shd w:val="clear" w:color="auto" w:fill="F2F2F2" w:themeFill="background1" w:themeFillShade="F2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65DF">
        <w:rPr>
          <w:rFonts w:ascii="Times New Roman" w:hAnsi="Times New Roman" w:cs="Times New Roman"/>
          <w:i/>
          <w:sz w:val="20"/>
          <w:szCs w:val="20"/>
        </w:rPr>
        <w:t xml:space="preserve">MS communicated their experience with evaluations using for example </w:t>
      </w:r>
      <w:r w:rsidR="00E32AA3">
        <w:rPr>
          <w:rFonts w:ascii="Times New Roman" w:hAnsi="Times New Roman" w:cs="Times New Roman"/>
          <w:i/>
          <w:sz w:val="20"/>
          <w:szCs w:val="20"/>
        </w:rPr>
        <w:t>Satellite image vis a vis the presentation ‘</w:t>
      </w:r>
      <w:r w:rsidR="00E32AA3" w:rsidRPr="007A4CC6">
        <w:rPr>
          <w:rFonts w:ascii="Times New Roman" w:hAnsi="Times New Roman" w:cs="Times New Roman"/>
          <w:i/>
          <w:sz w:val="20"/>
          <w:szCs w:val="20"/>
        </w:rPr>
        <w:t>Use of Satellite imagery, geo-spatial data and mobile phones in evaluations conducted in hard-to-reach areas</w:t>
      </w:r>
      <w:r w:rsidR="00E32AA3">
        <w:rPr>
          <w:rFonts w:ascii="Times New Roman" w:hAnsi="Times New Roman" w:cs="Times New Roman"/>
          <w:i/>
          <w:sz w:val="20"/>
          <w:szCs w:val="20"/>
        </w:rPr>
        <w:t>’</w:t>
      </w:r>
      <w:r w:rsidRPr="006065D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27F3B22" w14:textId="510DB4AB" w:rsidR="007A4CC6" w:rsidRPr="006065DF" w:rsidRDefault="001B608A" w:rsidP="00FC4FDA">
      <w:pPr>
        <w:pStyle w:val="ListParagraph"/>
        <w:numPr>
          <w:ilvl w:val="0"/>
          <w:numId w:val="21"/>
        </w:numPr>
        <w:shd w:val="clear" w:color="auto" w:fill="F2F2F2" w:themeFill="background1" w:themeFillShade="F2"/>
        <w:jc w:val="both"/>
      </w:pPr>
      <w:r>
        <w:rPr>
          <w:rFonts w:ascii="Times New Roman" w:hAnsi="Times New Roman" w:cs="Times New Roman"/>
          <w:i/>
          <w:sz w:val="20"/>
          <w:szCs w:val="20"/>
        </w:rPr>
        <w:t xml:space="preserve">Participants </w:t>
      </w:r>
      <w:r w:rsidR="00987193">
        <w:rPr>
          <w:rFonts w:ascii="Times New Roman" w:hAnsi="Times New Roman" w:cs="Times New Roman"/>
          <w:i/>
          <w:sz w:val="20"/>
          <w:szCs w:val="20"/>
        </w:rPr>
        <w:t>suggested</w:t>
      </w:r>
      <w:r w:rsidR="00987193" w:rsidRPr="006065DF">
        <w:rPr>
          <w:rFonts w:ascii="Times New Roman" w:hAnsi="Times New Roman" w:cs="Times New Roman"/>
          <w:i/>
          <w:sz w:val="20"/>
          <w:szCs w:val="20"/>
        </w:rPr>
        <w:t xml:space="preserve"> to</w:t>
      </w:r>
      <w:r w:rsidR="00BD672B" w:rsidRPr="006065DF">
        <w:rPr>
          <w:rFonts w:ascii="Times New Roman" w:hAnsi="Times New Roman" w:cs="Times New Roman"/>
          <w:i/>
          <w:sz w:val="20"/>
          <w:szCs w:val="20"/>
        </w:rPr>
        <w:t xml:space="preserve"> explore the possibility of </w:t>
      </w:r>
      <w:r w:rsidR="00BA4CDD">
        <w:rPr>
          <w:rFonts w:ascii="Times New Roman" w:hAnsi="Times New Roman" w:cs="Times New Roman"/>
          <w:i/>
          <w:sz w:val="20"/>
          <w:szCs w:val="20"/>
        </w:rPr>
        <w:t>holding</w:t>
      </w:r>
      <w:r w:rsidR="004613ED" w:rsidRPr="006065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D672B" w:rsidRPr="006065DF">
        <w:rPr>
          <w:rFonts w:ascii="Times New Roman" w:hAnsi="Times New Roman" w:cs="Times New Roman"/>
          <w:i/>
          <w:sz w:val="20"/>
          <w:szCs w:val="20"/>
        </w:rPr>
        <w:t xml:space="preserve">this meeting twice a year. </w:t>
      </w:r>
      <w:r w:rsidR="00FC4FDA" w:rsidRPr="006065DF">
        <w:rPr>
          <w:rFonts w:ascii="Times New Roman" w:hAnsi="Times New Roman" w:cs="Times New Roman"/>
          <w:i/>
          <w:sz w:val="20"/>
          <w:szCs w:val="20"/>
        </w:rPr>
        <w:t xml:space="preserve">Email from the HoU will be sent to the MS  with a proposal for a possible date and place </w:t>
      </w:r>
    </w:p>
    <w:p w14:paraId="160C7FFD" w14:textId="77777777" w:rsidR="007231F0" w:rsidRDefault="007231F0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7896D177" w14:textId="77777777" w:rsidR="00C56899" w:rsidRDefault="00C56899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4CEECA26" w14:textId="77777777" w:rsidR="00C56899" w:rsidRDefault="00C56899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7FCE00D2" w14:textId="77777777" w:rsidR="00A90437" w:rsidRDefault="00A90437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1D028382" w14:textId="77777777" w:rsidR="00A90437" w:rsidRDefault="00A90437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47BD897" w14:textId="77777777" w:rsidR="00A90437" w:rsidRDefault="00A90437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1E30BB7A" w14:textId="77777777" w:rsidR="00A90437" w:rsidRDefault="00A90437" w:rsidP="0024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Cc: all PPT presentations</w:t>
      </w:r>
    </w:p>
    <w:sectPr w:rsidR="00A90437" w:rsidSect="007025AF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F07BB" w14:textId="77777777" w:rsidR="00896095" w:rsidRDefault="00896095" w:rsidP="004D2B5E">
      <w:pPr>
        <w:spacing w:after="0" w:line="240" w:lineRule="auto"/>
      </w:pPr>
      <w:r>
        <w:separator/>
      </w:r>
    </w:p>
  </w:endnote>
  <w:endnote w:type="continuationSeparator" w:id="0">
    <w:p w14:paraId="271DA99E" w14:textId="77777777" w:rsidR="00896095" w:rsidRDefault="00896095" w:rsidP="004D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utiger Linotype">
    <w:altName w:val="Times New Roman"/>
    <w:charset w:val="00"/>
    <w:family w:val="swiss"/>
    <w:pitch w:val="variable"/>
    <w:sig w:usb0="000000F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BF54" w14:textId="77777777" w:rsidR="00896095" w:rsidRDefault="00896095" w:rsidP="004D2B5E">
      <w:pPr>
        <w:spacing w:after="0" w:line="240" w:lineRule="auto"/>
      </w:pPr>
      <w:r>
        <w:separator/>
      </w:r>
    </w:p>
  </w:footnote>
  <w:footnote w:type="continuationSeparator" w:id="0">
    <w:p w14:paraId="10A68C9E" w14:textId="77777777" w:rsidR="00896095" w:rsidRDefault="00896095" w:rsidP="004D2B5E">
      <w:pPr>
        <w:spacing w:after="0" w:line="240" w:lineRule="auto"/>
      </w:pPr>
      <w:r>
        <w:continuationSeparator/>
      </w:r>
    </w:p>
  </w:footnote>
  <w:footnote w:id="1">
    <w:p w14:paraId="7B908263" w14:textId="77777777" w:rsidR="00595830" w:rsidRDefault="005958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SWD (2019) 88 Final</w:t>
      </w:r>
    </w:p>
  </w:footnote>
  <w:footnote w:id="2">
    <w:p w14:paraId="71E710FD" w14:textId="77777777" w:rsidR="00595830" w:rsidRDefault="00595830">
      <w:pPr>
        <w:pStyle w:val="FootnoteText"/>
      </w:pPr>
      <w:r>
        <w:rPr>
          <w:rStyle w:val="FootnoteReference"/>
        </w:rPr>
        <w:footnoteRef/>
      </w:r>
      <w:r>
        <w:t xml:space="preserve"> Council conclusions on Policy coherence for development (PCD) adopted on 16 May 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7C9"/>
    <w:multiLevelType w:val="hybridMultilevel"/>
    <w:tmpl w:val="2030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DF9"/>
    <w:multiLevelType w:val="hybridMultilevel"/>
    <w:tmpl w:val="5CAA80BA"/>
    <w:lvl w:ilvl="0" w:tplc="C1E4F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A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C1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82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C2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C9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28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47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EB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306C72"/>
    <w:multiLevelType w:val="hybridMultilevel"/>
    <w:tmpl w:val="5EE261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F6E12"/>
    <w:multiLevelType w:val="hybridMultilevel"/>
    <w:tmpl w:val="F78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799C"/>
    <w:multiLevelType w:val="hybridMultilevel"/>
    <w:tmpl w:val="9AA414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2C31"/>
    <w:multiLevelType w:val="hybridMultilevel"/>
    <w:tmpl w:val="2EEC7C2A"/>
    <w:lvl w:ilvl="0" w:tplc="DCA09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45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245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00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EF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6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04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0C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866787"/>
    <w:multiLevelType w:val="hybridMultilevel"/>
    <w:tmpl w:val="C89450FE"/>
    <w:lvl w:ilvl="0" w:tplc="654472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00963"/>
    <w:multiLevelType w:val="hybridMultilevel"/>
    <w:tmpl w:val="D448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3639"/>
    <w:multiLevelType w:val="hybridMultilevel"/>
    <w:tmpl w:val="9A94C2F0"/>
    <w:lvl w:ilvl="0" w:tplc="5BA89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13B29"/>
    <w:multiLevelType w:val="hybridMultilevel"/>
    <w:tmpl w:val="92A8B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03169"/>
    <w:multiLevelType w:val="hybridMultilevel"/>
    <w:tmpl w:val="5DB8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73C5A"/>
    <w:multiLevelType w:val="hybridMultilevel"/>
    <w:tmpl w:val="7810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C31CB"/>
    <w:multiLevelType w:val="hybridMultilevel"/>
    <w:tmpl w:val="0E6A560E"/>
    <w:lvl w:ilvl="0" w:tplc="080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4920120"/>
    <w:multiLevelType w:val="hybridMultilevel"/>
    <w:tmpl w:val="9CB0A31E"/>
    <w:lvl w:ilvl="0" w:tplc="24729C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4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40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C7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A9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AA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830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8B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EF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82237"/>
    <w:multiLevelType w:val="hybridMultilevel"/>
    <w:tmpl w:val="B4743C92"/>
    <w:lvl w:ilvl="0" w:tplc="F0E28D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A70A0"/>
    <w:multiLevelType w:val="hybridMultilevel"/>
    <w:tmpl w:val="E8A6A5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6776FD"/>
    <w:multiLevelType w:val="hybridMultilevel"/>
    <w:tmpl w:val="165653CC"/>
    <w:lvl w:ilvl="0" w:tplc="38B60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0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88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41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E8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A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E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E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6A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132FCA"/>
    <w:multiLevelType w:val="hybridMultilevel"/>
    <w:tmpl w:val="480C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4593F"/>
    <w:multiLevelType w:val="hybridMultilevel"/>
    <w:tmpl w:val="DAA6A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6106"/>
    <w:multiLevelType w:val="hybridMultilevel"/>
    <w:tmpl w:val="B6CC5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B7509"/>
    <w:multiLevelType w:val="hybridMultilevel"/>
    <w:tmpl w:val="1C16E020"/>
    <w:lvl w:ilvl="0" w:tplc="C16E2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327A6"/>
    <w:multiLevelType w:val="multilevel"/>
    <w:tmpl w:val="E8A46BE6"/>
    <w:lvl w:ilvl="0">
      <w:start w:val="1"/>
      <w:numFmt w:val="decimal"/>
      <w:pStyle w:val="Heading1"/>
      <w:lvlText w:val="%1"/>
      <w:lvlJc w:val="left"/>
      <w:pPr>
        <w:tabs>
          <w:tab w:val="num" w:pos="1707"/>
        </w:tabs>
        <w:ind w:left="170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51"/>
        </w:tabs>
        <w:ind w:left="1851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C0504D"/>
        <w:spacing w:val="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9"/>
        </w:tabs>
        <w:ind w:left="21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3"/>
        </w:tabs>
        <w:ind w:left="22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7"/>
        </w:tabs>
        <w:ind w:left="24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1"/>
        </w:tabs>
        <w:ind w:left="25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9"/>
        </w:tabs>
        <w:ind w:left="2859" w:hanging="1584"/>
      </w:pPr>
      <w:rPr>
        <w:rFonts w:hint="default"/>
      </w:rPr>
    </w:lvl>
  </w:abstractNum>
  <w:abstractNum w:abstractNumId="22" w15:restartNumberingAfterBreak="0">
    <w:nsid w:val="5D083826"/>
    <w:multiLevelType w:val="hybridMultilevel"/>
    <w:tmpl w:val="B44C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575E"/>
    <w:multiLevelType w:val="hybridMultilevel"/>
    <w:tmpl w:val="4962966A"/>
    <w:lvl w:ilvl="0" w:tplc="DE2A8748">
      <w:start w:val="1"/>
      <w:numFmt w:val="decimal"/>
      <w:lvlText w:val="2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1264E"/>
    <w:multiLevelType w:val="hybridMultilevel"/>
    <w:tmpl w:val="7E249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93FD7"/>
    <w:multiLevelType w:val="hybridMultilevel"/>
    <w:tmpl w:val="B9EE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E51DE"/>
    <w:multiLevelType w:val="hybridMultilevel"/>
    <w:tmpl w:val="1586F352"/>
    <w:lvl w:ilvl="0" w:tplc="53401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28C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8F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8F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6C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9A3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3CB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00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F6A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3F839E4"/>
    <w:multiLevelType w:val="hybridMultilevel"/>
    <w:tmpl w:val="1B38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84C44"/>
    <w:multiLevelType w:val="hybridMultilevel"/>
    <w:tmpl w:val="A72E3B6E"/>
    <w:lvl w:ilvl="0" w:tplc="900A5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4"/>
  </w:num>
  <w:num w:numId="6">
    <w:abstractNumId w:val="0"/>
  </w:num>
  <w:num w:numId="7">
    <w:abstractNumId w:val="9"/>
  </w:num>
  <w:num w:numId="8">
    <w:abstractNumId w:val="8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5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27"/>
  </w:num>
  <w:num w:numId="19">
    <w:abstractNumId w:val="15"/>
  </w:num>
  <w:num w:numId="20">
    <w:abstractNumId w:val="20"/>
  </w:num>
  <w:num w:numId="21">
    <w:abstractNumId w:val="4"/>
  </w:num>
  <w:num w:numId="22">
    <w:abstractNumId w:val="12"/>
  </w:num>
  <w:num w:numId="23">
    <w:abstractNumId w:val="14"/>
  </w:num>
  <w:num w:numId="24">
    <w:abstractNumId w:val="10"/>
  </w:num>
  <w:num w:numId="25">
    <w:abstractNumId w:val="28"/>
  </w:num>
  <w:num w:numId="26">
    <w:abstractNumId w:val="1"/>
  </w:num>
  <w:num w:numId="27">
    <w:abstractNumId w:val="16"/>
  </w:num>
  <w:num w:numId="28">
    <w:abstractNumId w:val="26"/>
  </w:num>
  <w:num w:numId="29">
    <w:abstractNumId w:val="5"/>
  </w:num>
  <w:num w:numId="30">
    <w:abstractNumId w:val="2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18"/>
    <w:rsid w:val="00043ED9"/>
    <w:rsid w:val="000469AB"/>
    <w:rsid w:val="000663CE"/>
    <w:rsid w:val="00067FD8"/>
    <w:rsid w:val="000A5CBD"/>
    <w:rsid w:val="000D064F"/>
    <w:rsid w:val="00127C5A"/>
    <w:rsid w:val="001342D3"/>
    <w:rsid w:val="00156779"/>
    <w:rsid w:val="00172DA5"/>
    <w:rsid w:val="00191F0E"/>
    <w:rsid w:val="001B608A"/>
    <w:rsid w:val="001C4C59"/>
    <w:rsid w:val="001D7AD0"/>
    <w:rsid w:val="001F33B4"/>
    <w:rsid w:val="0020055B"/>
    <w:rsid w:val="0023130B"/>
    <w:rsid w:val="00236A6A"/>
    <w:rsid w:val="002448C0"/>
    <w:rsid w:val="00275F26"/>
    <w:rsid w:val="002A6A1B"/>
    <w:rsid w:val="002B039E"/>
    <w:rsid w:val="002D2BFC"/>
    <w:rsid w:val="002E5D76"/>
    <w:rsid w:val="00300F6B"/>
    <w:rsid w:val="00303CAC"/>
    <w:rsid w:val="0030496C"/>
    <w:rsid w:val="00320F30"/>
    <w:rsid w:val="00350BF9"/>
    <w:rsid w:val="00351AA0"/>
    <w:rsid w:val="00367212"/>
    <w:rsid w:val="0037058C"/>
    <w:rsid w:val="003720C2"/>
    <w:rsid w:val="00385D4F"/>
    <w:rsid w:val="003923DB"/>
    <w:rsid w:val="003963FE"/>
    <w:rsid w:val="003A2CE5"/>
    <w:rsid w:val="003A3C4E"/>
    <w:rsid w:val="003D612B"/>
    <w:rsid w:val="003D78D6"/>
    <w:rsid w:val="003F0E4C"/>
    <w:rsid w:val="0043572D"/>
    <w:rsid w:val="00451E9E"/>
    <w:rsid w:val="00454814"/>
    <w:rsid w:val="004613ED"/>
    <w:rsid w:val="00490B19"/>
    <w:rsid w:val="004B0809"/>
    <w:rsid w:val="004D2B5E"/>
    <w:rsid w:val="004F77AF"/>
    <w:rsid w:val="004F7EF6"/>
    <w:rsid w:val="00502C5E"/>
    <w:rsid w:val="005162E5"/>
    <w:rsid w:val="005200CB"/>
    <w:rsid w:val="005267BE"/>
    <w:rsid w:val="005330E9"/>
    <w:rsid w:val="00552193"/>
    <w:rsid w:val="005579FF"/>
    <w:rsid w:val="005674D2"/>
    <w:rsid w:val="00570A1F"/>
    <w:rsid w:val="005949CF"/>
    <w:rsid w:val="00595830"/>
    <w:rsid w:val="005A02A9"/>
    <w:rsid w:val="005A31EB"/>
    <w:rsid w:val="005A639A"/>
    <w:rsid w:val="005E1ED8"/>
    <w:rsid w:val="005F654B"/>
    <w:rsid w:val="006042D5"/>
    <w:rsid w:val="00604962"/>
    <w:rsid w:val="006065DF"/>
    <w:rsid w:val="00617EC5"/>
    <w:rsid w:val="00633999"/>
    <w:rsid w:val="00637119"/>
    <w:rsid w:val="00641EC4"/>
    <w:rsid w:val="0065098A"/>
    <w:rsid w:val="00663BD7"/>
    <w:rsid w:val="006717C7"/>
    <w:rsid w:val="0067245A"/>
    <w:rsid w:val="00693531"/>
    <w:rsid w:val="006C367A"/>
    <w:rsid w:val="006E79B0"/>
    <w:rsid w:val="006F1964"/>
    <w:rsid w:val="007025AF"/>
    <w:rsid w:val="00704632"/>
    <w:rsid w:val="00710DFE"/>
    <w:rsid w:val="007117E5"/>
    <w:rsid w:val="0071389E"/>
    <w:rsid w:val="00716B3D"/>
    <w:rsid w:val="00720A86"/>
    <w:rsid w:val="00722D7F"/>
    <w:rsid w:val="007231F0"/>
    <w:rsid w:val="00740923"/>
    <w:rsid w:val="00751E1A"/>
    <w:rsid w:val="007631D8"/>
    <w:rsid w:val="0077002B"/>
    <w:rsid w:val="007A4CC6"/>
    <w:rsid w:val="007B3C6C"/>
    <w:rsid w:val="007B6A0A"/>
    <w:rsid w:val="007B7E6F"/>
    <w:rsid w:val="007D42F6"/>
    <w:rsid w:val="007D5034"/>
    <w:rsid w:val="007F514E"/>
    <w:rsid w:val="007F753E"/>
    <w:rsid w:val="008121D3"/>
    <w:rsid w:val="00824342"/>
    <w:rsid w:val="00832A85"/>
    <w:rsid w:val="00844034"/>
    <w:rsid w:val="008677BB"/>
    <w:rsid w:val="0087242C"/>
    <w:rsid w:val="00896095"/>
    <w:rsid w:val="008963D3"/>
    <w:rsid w:val="008A3089"/>
    <w:rsid w:val="008A7D10"/>
    <w:rsid w:val="008C3B82"/>
    <w:rsid w:val="008D638C"/>
    <w:rsid w:val="008E2804"/>
    <w:rsid w:val="008F502C"/>
    <w:rsid w:val="00916663"/>
    <w:rsid w:val="00920CB6"/>
    <w:rsid w:val="00930FC1"/>
    <w:rsid w:val="00934731"/>
    <w:rsid w:val="009665CC"/>
    <w:rsid w:val="00966760"/>
    <w:rsid w:val="00981B06"/>
    <w:rsid w:val="00987193"/>
    <w:rsid w:val="00994A2A"/>
    <w:rsid w:val="00997708"/>
    <w:rsid w:val="009A1DDF"/>
    <w:rsid w:val="009C2885"/>
    <w:rsid w:val="009C2EE4"/>
    <w:rsid w:val="009F4F65"/>
    <w:rsid w:val="00A02B62"/>
    <w:rsid w:val="00A0420C"/>
    <w:rsid w:val="00A11469"/>
    <w:rsid w:val="00A20F0D"/>
    <w:rsid w:val="00A215EA"/>
    <w:rsid w:val="00A324CD"/>
    <w:rsid w:val="00A56AFF"/>
    <w:rsid w:val="00A61B83"/>
    <w:rsid w:val="00A669BC"/>
    <w:rsid w:val="00A70716"/>
    <w:rsid w:val="00A87FEF"/>
    <w:rsid w:val="00A90437"/>
    <w:rsid w:val="00A95D1C"/>
    <w:rsid w:val="00AA2A06"/>
    <w:rsid w:val="00AA2A73"/>
    <w:rsid w:val="00AA7428"/>
    <w:rsid w:val="00AB044E"/>
    <w:rsid w:val="00AC2C25"/>
    <w:rsid w:val="00AD5B3E"/>
    <w:rsid w:val="00AF2473"/>
    <w:rsid w:val="00B02886"/>
    <w:rsid w:val="00B033DF"/>
    <w:rsid w:val="00B15FB5"/>
    <w:rsid w:val="00B43313"/>
    <w:rsid w:val="00B5181F"/>
    <w:rsid w:val="00B60184"/>
    <w:rsid w:val="00B64987"/>
    <w:rsid w:val="00B80049"/>
    <w:rsid w:val="00B82363"/>
    <w:rsid w:val="00B82F69"/>
    <w:rsid w:val="00B875E2"/>
    <w:rsid w:val="00BA0241"/>
    <w:rsid w:val="00BA4018"/>
    <w:rsid w:val="00BA4CDD"/>
    <w:rsid w:val="00BC17AE"/>
    <w:rsid w:val="00BC73FC"/>
    <w:rsid w:val="00BD4D23"/>
    <w:rsid w:val="00BD4F3A"/>
    <w:rsid w:val="00BD672B"/>
    <w:rsid w:val="00BE351E"/>
    <w:rsid w:val="00C02CBC"/>
    <w:rsid w:val="00C17F6B"/>
    <w:rsid w:val="00C404B7"/>
    <w:rsid w:val="00C53EA4"/>
    <w:rsid w:val="00C56899"/>
    <w:rsid w:val="00C7608C"/>
    <w:rsid w:val="00C92357"/>
    <w:rsid w:val="00CA44A0"/>
    <w:rsid w:val="00CC12CB"/>
    <w:rsid w:val="00CD017C"/>
    <w:rsid w:val="00CD2959"/>
    <w:rsid w:val="00CD7E5B"/>
    <w:rsid w:val="00CF5186"/>
    <w:rsid w:val="00D06572"/>
    <w:rsid w:val="00D12237"/>
    <w:rsid w:val="00D21D66"/>
    <w:rsid w:val="00D27BD1"/>
    <w:rsid w:val="00D4369C"/>
    <w:rsid w:val="00D5516A"/>
    <w:rsid w:val="00D64719"/>
    <w:rsid w:val="00D652D4"/>
    <w:rsid w:val="00D7580F"/>
    <w:rsid w:val="00D761E6"/>
    <w:rsid w:val="00D80096"/>
    <w:rsid w:val="00DB03B2"/>
    <w:rsid w:val="00DD3E2C"/>
    <w:rsid w:val="00DE679E"/>
    <w:rsid w:val="00DF2FD8"/>
    <w:rsid w:val="00E24ABE"/>
    <w:rsid w:val="00E30847"/>
    <w:rsid w:val="00E30ED3"/>
    <w:rsid w:val="00E32161"/>
    <w:rsid w:val="00E32AA3"/>
    <w:rsid w:val="00E55DD5"/>
    <w:rsid w:val="00E7290B"/>
    <w:rsid w:val="00E74925"/>
    <w:rsid w:val="00E83EBB"/>
    <w:rsid w:val="00E91C8F"/>
    <w:rsid w:val="00E94BB9"/>
    <w:rsid w:val="00E9618C"/>
    <w:rsid w:val="00EA2BCB"/>
    <w:rsid w:val="00EB0542"/>
    <w:rsid w:val="00EB2618"/>
    <w:rsid w:val="00EB72E8"/>
    <w:rsid w:val="00EC3B5D"/>
    <w:rsid w:val="00ED37A2"/>
    <w:rsid w:val="00F02FCF"/>
    <w:rsid w:val="00F227C4"/>
    <w:rsid w:val="00F50BA3"/>
    <w:rsid w:val="00F67EAB"/>
    <w:rsid w:val="00F9501A"/>
    <w:rsid w:val="00FA18BB"/>
    <w:rsid w:val="00FA669B"/>
    <w:rsid w:val="00FB18AA"/>
    <w:rsid w:val="00FB1E53"/>
    <w:rsid w:val="00FB62E8"/>
    <w:rsid w:val="00FC4F89"/>
    <w:rsid w:val="00FC4FDA"/>
    <w:rsid w:val="00FE1104"/>
    <w:rsid w:val="00FE4F0B"/>
    <w:rsid w:val="00FF5D70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28ADFB"/>
  <w15:docId w15:val="{20CE5EED-A9D0-4194-B648-84472BBB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0D"/>
  </w:style>
  <w:style w:type="paragraph" w:styleId="Heading1">
    <w:name w:val="heading 1"/>
    <w:basedOn w:val="Normal"/>
    <w:next w:val="Normal"/>
    <w:link w:val="Heading1Char"/>
    <w:uiPriority w:val="9"/>
    <w:qFormat/>
    <w:rsid w:val="00D652D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BKP-Heading2"/>
    <w:basedOn w:val="Normal"/>
    <w:next w:val="Normal"/>
    <w:link w:val="Heading2Char"/>
    <w:autoRedefine/>
    <w:uiPriority w:val="9"/>
    <w:qFormat/>
    <w:rsid w:val="00D652D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cs="Arial"/>
      <w:b/>
      <w:bCs/>
      <w:iCs/>
      <w:color w:val="C00000"/>
      <w:sz w:val="28"/>
      <w:szCs w:val="28"/>
    </w:rPr>
  </w:style>
  <w:style w:type="paragraph" w:styleId="Heading3">
    <w:name w:val="heading 3"/>
    <w:aliases w:val="BKP-Heading3"/>
    <w:basedOn w:val="Normal"/>
    <w:next w:val="Normal"/>
    <w:link w:val="Heading3Char"/>
    <w:autoRedefine/>
    <w:uiPriority w:val="9"/>
    <w:qFormat/>
    <w:rsid w:val="00D652D4"/>
    <w:pPr>
      <w:keepNext/>
      <w:numPr>
        <w:ilvl w:val="2"/>
        <w:numId w:val="4"/>
      </w:numPr>
      <w:spacing w:before="240" w:after="60" w:line="240" w:lineRule="auto"/>
      <w:outlineLvl w:val="2"/>
    </w:pPr>
    <w:rPr>
      <w:rFonts w:cs="Arial"/>
      <w:bCs/>
      <w:color w:val="C00000"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KP-Heading1">
    <w:name w:val="BKP-Heading1"/>
    <w:basedOn w:val="Heading1"/>
    <w:link w:val="BKP-Heading1Char"/>
    <w:autoRedefine/>
    <w:qFormat/>
    <w:rsid w:val="00D652D4"/>
    <w:pPr>
      <w:keepLines w:val="0"/>
      <w:spacing w:before="240" w:after="60" w:line="240" w:lineRule="auto"/>
    </w:pPr>
    <w:rPr>
      <w:rFonts w:ascii="Frutiger Linotype" w:eastAsiaTheme="minorHAnsi" w:hAnsi="Frutiger Linotype" w:cs="Arial"/>
      <w:caps/>
      <w:color w:val="C0504D"/>
      <w:kern w:val="32"/>
      <w:sz w:val="32"/>
      <w:szCs w:val="32"/>
    </w:rPr>
  </w:style>
  <w:style w:type="character" w:customStyle="1" w:styleId="BKP-Heading1Char">
    <w:name w:val="BKP-Heading1 Char"/>
    <w:basedOn w:val="DefaultParagraphFont"/>
    <w:link w:val="BKP-Heading1"/>
    <w:rsid w:val="00D652D4"/>
    <w:rPr>
      <w:rFonts w:ascii="Frutiger Linotype" w:hAnsi="Frutiger Linotype" w:cs="Arial"/>
      <w:b/>
      <w:bCs/>
      <w:caps/>
      <w:color w:val="C0504D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65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BKP-Heading2 Char"/>
    <w:basedOn w:val="DefaultParagraphFont"/>
    <w:link w:val="Heading2"/>
    <w:uiPriority w:val="9"/>
    <w:rsid w:val="00D652D4"/>
    <w:rPr>
      <w:rFonts w:cs="Arial"/>
      <w:b/>
      <w:bCs/>
      <w:iCs/>
      <w:color w:val="C00000"/>
      <w:sz w:val="28"/>
      <w:szCs w:val="28"/>
    </w:rPr>
  </w:style>
  <w:style w:type="character" w:customStyle="1" w:styleId="Heading3Char">
    <w:name w:val="Heading 3 Char"/>
    <w:aliases w:val="BKP-Heading3 Char"/>
    <w:basedOn w:val="DefaultParagraphFont"/>
    <w:link w:val="Heading3"/>
    <w:uiPriority w:val="9"/>
    <w:rsid w:val="00D652D4"/>
    <w:rPr>
      <w:rFonts w:cs="Arial"/>
      <w:bCs/>
      <w:color w:val="C00000"/>
      <w:sz w:val="24"/>
      <w:szCs w:val="28"/>
      <w:u w:val="single"/>
    </w:rPr>
  </w:style>
  <w:style w:type="paragraph" w:styleId="Title">
    <w:name w:val="Title"/>
    <w:basedOn w:val="Normal"/>
    <w:link w:val="TitleChar"/>
    <w:uiPriority w:val="99"/>
    <w:qFormat/>
    <w:rsid w:val="00BA401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BA4018"/>
    <w:rPr>
      <w:rFonts w:ascii="Arial" w:eastAsia="Times New Roman" w:hAnsi="Arial" w:cs="Times New Roman"/>
      <w:b/>
      <w:kern w:val="28"/>
      <w:sz w:val="32"/>
      <w:szCs w:val="20"/>
    </w:rPr>
  </w:style>
  <w:style w:type="paragraph" w:styleId="ListParagraph">
    <w:name w:val="List Paragraph"/>
    <w:basedOn w:val="Normal"/>
    <w:uiPriority w:val="34"/>
    <w:qFormat/>
    <w:rsid w:val="00702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B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B5E"/>
  </w:style>
  <w:style w:type="paragraph" w:styleId="Footer">
    <w:name w:val="footer"/>
    <w:basedOn w:val="Normal"/>
    <w:link w:val="FooterChar"/>
    <w:uiPriority w:val="99"/>
    <w:unhideWhenUsed/>
    <w:rsid w:val="004D2B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B5E"/>
  </w:style>
  <w:style w:type="paragraph" w:styleId="FootnoteText">
    <w:name w:val="footnote text"/>
    <w:basedOn w:val="Normal"/>
    <w:link w:val="FootnoteTextChar"/>
    <w:uiPriority w:val="99"/>
    <w:semiHidden/>
    <w:unhideWhenUsed/>
    <w:rsid w:val="004D2B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B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B5E"/>
    <w:rPr>
      <w:vertAlign w:val="superscript"/>
    </w:rPr>
  </w:style>
  <w:style w:type="paragraph" w:customStyle="1" w:styleId="Contact">
    <w:name w:val="Contact"/>
    <w:basedOn w:val="Normal"/>
    <w:next w:val="Normal"/>
    <w:uiPriority w:val="99"/>
    <w:rsid w:val="00F02FCF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CD-Normal">
    <w:name w:val="PCD-Normal"/>
    <w:basedOn w:val="Normal"/>
    <w:qFormat/>
    <w:rsid w:val="00D21D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7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2967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59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593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9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2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56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03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41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31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89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3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85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4C8C-1585-4265-BEA3-BD8E6511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nfs-Researcher</dc:creator>
  <cp:lastModifiedBy>KALAMPOKA Eleni (DEVCO)</cp:lastModifiedBy>
  <cp:revision>13</cp:revision>
  <cp:lastPrinted>2019-10-04T15:13:00Z</cp:lastPrinted>
  <dcterms:created xsi:type="dcterms:W3CDTF">2019-09-23T08:06:00Z</dcterms:created>
  <dcterms:modified xsi:type="dcterms:W3CDTF">2019-10-08T14:42:00Z</dcterms:modified>
</cp:coreProperties>
</file>